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F08" w:rsidRDefault="00550375">
      <w:pPr>
        <w:jc w:val="center"/>
        <w:rPr>
          <w:rFonts w:ascii="宋体" w:eastAsia="宋体" w:hAnsi="宋体"/>
          <w:b/>
          <w:sz w:val="32"/>
          <w:szCs w:val="32"/>
        </w:rPr>
      </w:pPr>
      <w:bookmarkStart w:id="0" w:name="_GoBack"/>
      <w:bookmarkEnd w:id="0"/>
      <w:r>
        <w:rPr>
          <w:rFonts w:ascii="宋体" w:eastAsia="宋体" w:hAnsi="宋体" w:hint="eastAsia"/>
          <w:b/>
          <w:sz w:val="32"/>
          <w:szCs w:val="32"/>
        </w:rPr>
        <w:t>广州医科大学附属番禺中心医院污水处理在线监测维护</w:t>
      </w:r>
    </w:p>
    <w:p w:rsidR="00657F08" w:rsidRDefault="00550375">
      <w:pPr>
        <w:jc w:val="center"/>
        <w:rPr>
          <w:rFonts w:ascii="宋体" w:eastAsia="宋体" w:hAnsi="宋体"/>
          <w:b/>
          <w:sz w:val="32"/>
          <w:szCs w:val="32"/>
        </w:rPr>
      </w:pPr>
      <w:r>
        <w:rPr>
          <w:rFonts w:ascii="宋体" w:eastAsia="宋体" w:hAnsi="宋体" w:hint="eastAsia"/>
          <w:b/>
          <w:sz w:val="32"/>
          <w:szCs w:val="32"/>
        </w:rPr>
        <w:t>服务采购项目用户需求</w:t>
      </w:r>
    </w:p>
    <w:p w:rsidR="00657F08" w:rsidRDefault="00550375">
      <w:pPr>
        <w:pStyle w:val="ab"/>
        <w:numPr>
          <w:ilvl w:val="0"/>
          <w:numId w:val="2"/>
        </w:numPr>
        <w:tabs>
          <w:tab w:val="left" w:pos="709"/>
        </w:tabs>
        <w:ind w:left="0" w:firstLineChars="0" w:firstLine="0"/>
        <w:rPr>
          <w:rFonts w:ascii="黑体" w:eastAsia="黑体" w:hAnsi="黑体" w:cs="黑体"/>
          <w:sz w:val="28"/>
          <w:szCs w:val="28"/>
        </w:rPr>
      </w:pPr>
      <w:r>
        <w:rPr>
          <w:rFonts w:ascii="黑体" w:eastAsia="黑体" w:hAnsi="黑体" w:cs="黑体" w:hint="eastAsia"/>
          <w:sz w:val="28"/>
          <w:szCs w:val="28"/>
        </w:rPr>
        <w:t>项目概况</w:t>
      </w:r>
    </w:p>
    <w:p w:rsidR="00657F08" w:rsidRDefault="00550375">
      <w:pPr>
        <w:pStyle w:val="30"/>
        <w:numPr>
          <w:ilvl w:val="0"/>
          <w:numId w:val="3"/>
        </w:numPr>
        <w:tabs>
          <w:tab w:val="clear" w:pos="851"/>
        </w:tabs>
        <w:ind w:firstLineChars="200" w:firstLine="482"/>
        <w:outlineLvl w:val="9"/>
        <w:rPr>
          <w:rFonts w:hAnsi="宋体" w:cs="宋体"/>
          <w:sz w:val="24"/>
          <w:szCs w:val="24"/>
        </w:rPr>
      </w:pPr>
      <w:r>
        <w:rPr>
          <w:rFonts w:hAnsi="宋体" w:hint="eastAsia"/>
          <w:b/>
          <w:bCs/>
          <w:color w:val="000000" w:themeColor="text1"/>
          <w:sz w:val="24"/>
          <w:szCs w:val="24"/>
        </w:rPr>
        <w:t>项目背景</w:t>
      </w:r>
      <w:r>
        <w:rPr>
          <w:rFonts w:hAnsi="宋体" w:hint="eastAsia"/>
          <w:color w:val="000000" w:themeColor="text1"/>
          <w:sz w:val="24"/>
          <w:szCs w:val="24"/>
        </w:rPr>
        <w:t>：广州医科大学附属</w:t>
      </w:r>
      <w:r>
        <w:rPr>
          <w:rFonts w:hAnsi="宋体" w:cs="宋体" w:hint="eastAsia"/>
          <w:color w:val="000000" w:themeColor="text1"/>
          <w:sz w:val="24"/>
          <w:szCs w:val="24"/>
        </w:rPr>
        <w:t>番禺中心医院用地面积为</w:t>
      </w:r>
      <w:r>
        <w:rPr>
          <w:rFonts w:hAnsi="宋体" w:cs="宋体"/>
          <w:color w:val="000000" w:themeColor="text1"/>
          <w:sz w:val="24"/>
          <w:szCs w:val="24"/>
        </w:rPr>
        <w:t>146922.6平方米（其中西区95481.5平方米，东区51441.1平方米），总建筑面积20.5万平方米（其中西区17.03万平方米，3.47万平方米），核定床位数1534张</w:t>
      </w:r>
      <w:r>
        <w:rPr>
          <w:rFonts w:hAnsi="宋体" w:cs="宋体" w:hint="eastAsia"/>
          <w:color w:val="000000" w:themeColor="text1"/>
          <w:sz w:val="24"/>
          <w:szCs w:val="24"/>
        </w:rPr>
        <w:t>。</w:t>
      </w:r>
      <w:r>
        <w:rPr>
          <w:rFonts w:hAnsi="宋体" w:cs="宋体"/>
          <w:color w:val="000000" w:themeColor="text1"/>
          <w:sz w:val="24"/>
          <w:szCs w:val="24"/>
        </w:rPr>
        <w:t>设置两个污水处理站，分别是：1、自建综合污水处理站，处理</w:t>
      </w:r>
      <w:r>
        <w:rPr>
          <w:rFonts w:hAnsi="宋体" w:cs="宋体" w:hint="eastAsia"/>
          <w:color w:val="000000" w:themeColor="text1"/>
          <w:sz w:val="24"/>
          <w:szCs w:val="24"/>
        </w:rPr>
        <w:t>能力</w:t>
      </w:r>
      <w:r>
        <w:rPr>
          <w:rFonts w:hAnsi="宋体" w:cs="宋体"/>
          <w:color w:val="000000" w:themeColor="text1"/>
          <w:sz w:val="24"/>
          <w:szCs w:val="24"/>
        </w:rPr>
        <w:t>1722t/d，非传染病废水采用“格栅渠+调节池+一级生化池+二级生化池+沉淀池+消毒池”处理工艺处理后达标排放至市政污水管网排入前锋净水厂进一步处理；2、自建传染病污水处置站，处理</w:t>
      </w:r>
      <w:r>
        <w:rPr>
          <w:rFonts w:hAnsi="宋体" w:cs="宋体" w:hint="eastAsia"/>
          <w:color w:val="000000" w:themeColor="text1"/>
          <w:sz w:val="24"/>
          <w:szCs w:val="24"/>
        </w:rPr>
        <w:t>能力</w:t>
      </w:r>
      <w:r>
        <w:rPr>
          <w:rFonts w:hAnsi="宋体" w:cs="宋体"/>
          <w:color w:val="000000" w:themeColor="text1"/>
          <w:sz w:val="24"/>
          <w:szCs w:val="24"/>
        </w:rPr>
        <w:t>48t/d，传染病废水采用“格栅+预消毒池+水解池+接触氧化池+沉淀池+消毒池”处理工艺处理后达标排放至市政污水管网排入前锋净水厂进一步处理</w:t>
      </w:r>
      <w:r>
        <w:rPr>
          <w:rFonts w:hAnsi="宋体" w:cs="宋体" w:hint="eastAsia"/>
          <w:color w:val="000000" w:themeColor="text1"/>
          <w:sz w:val="24"/>
          <w:szCs w:val="24"/>
        </w:rPr>
        <w:t>。</w:t>
      </w:r>
    </w:p>
    <w:p w:rsidR="00657F08" w:rsidRDefault="00550375">
      <w:pPr>
        <w:pStyle w:val="30"/>
        <w:numPr>
          <w:ilvl w:val="0"/>
          <w:numId w:val="3"/>
        </w:numPr>
        <w:tabs>
          <w:tab w:val="clear" w:pos="851"/>
        </w:tabs>
        <w:ind w:firstLineChars="200" w:firstLine="482"/>
        <w:outlineLvl w:val="9"/>
        <w:rPr>
          <w:rFonts w:hAnsi="宋体" w:cs="宋体"/>
          <w:sz w:val="24"/>
          <w:szCs w:val="24"/>
        </w:rPr>
      </w:pPr>
      <w:r>
        <w:rPr>
          <w:rFonts w:hAnsi="宋体" w:cs="宋体" w:hint="eastAsia"/>
          <w:b/>
          <w:bCs/>
          <w:sz w:val="24"/>
          <w:szCs w:val="24"/>
        </w:rPr>
        <w:t>项目目标</w:t>
      </w:r>
      <w:r>
        <w:rPr>
          <w:rFonts w:hAnsi="宋体" w:cs="宋体" w:hint="eastAsia"/>
          <w:sz w:val="24"/>
          <w:szCs w:val="24"/>
        </w:rPr>
        <w:t>：本项目包括</w:t>
      </w:r>
      <w:r>
        <w:rPr>
          <w:rFonts w:hAnsi="宋体" w:hint="eastAsia"/>
          <w:color w:val="000000" w:themeColor="text1"/>
          <w:sz w:val="24"/>
          <w:szCs w:val="24"/>
        </w:rPr>
        <w:t>广州医科大学附属</w:t>
      </w:r>
      <w:r>
        <w:rPr>
          <w:rFonts w:hAnsi="宋体" w:cs="宋体" w:hint="eastAsia"/>
          <w:color w:val="000000" w:themeColor="text1"/>
          <w:sz w:val="24"/>
          <w:szCs w:val="24"/>
        </w:rPr>
        <w:t>番禺中心医院</w:t>
      </w:r>
      <w:r>
        <w:rPr>
          <w:rFonts w:hAnsi="宋体" w:cs="宋体" w:hint="eastAsia"/>
          <w:sz w:val="24"/>
          <w:szCs w:val="24"/>
        </w:rPr>
        <w:t>综合污水处理、传染污水处理两个站点的水质（包括但不限于COD、PH、流量各项指标）在线监测服务，主要工作内容包括:</w:t>
      </w:r>
    </w:p>
    <w:p w:rsidR="00657F08" w:rsidRDefault="00550375">
      <w:pPr>
        <w:pStyle w:val="0"/>
        <w:numPr>
          <w:ilvl w:val="0"/>
          <w:numId w:val="4"/>
        </w:numPr>
        <w:spacing w:line="360"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在线监测系统设备的保障:自合同生效后10天内完成在线监测设备配置、安装调试；并保证合同期内符合相关行业标准和要求，提供准确合格的在线监测服务。</w:t>
      </w:r>
    </w:p>
    <w:p w:rsidR="00657F08" w:rsidRDefault="00550375">
      <w:pPr>
        <w:pStyle w:val="0"/>
        <w:numPr>
          <w:ilvl w:val="0"/>
          <w:numId w:val="4"/>
        </w:numPr>
        <w:spacing w:line="360" w:lineRule="auto"/>
        <w:ind w:firstLineChars="200" w:firstLine="480"/>
        <w:rPr>
          <w:rFonts w:ascii="宋体" w:hAnsi="宋体" w:cs="宋体"/>
          <w:sz w:val="24"/>
          <w:szCs w:val="24"/>
        </w:rPr>
      </w:pPr>
      <w:r>
        <w:rPr>
          <w:rFonts w:ascii="宋体" w:hAnsi="宋体" w:cs="宋体" w:hint="eastAsia"/>
          <w:color w:val="000000"/>
          <w:sz w:val="24"/>
          <w:szCs w:val="24"/>
          <w:shd w:val="clear" w:color="auto" w:fill="FFFFFF"/>
        </w:rPr>
        <w:t>每周恒常巡检设备运行状况并记录，建立相应技术档案，每年一次向环保部门汇报。</w:t>
      </w:r>
    </w:p>
    <w:p w:rsidR="00657F08" w:rsidRDefault="00550375">
      <w:pPr>
        <w:pStyle w:val="0"/>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一年一次委托第三方对仪器做计量校准并出具证书并交采购人留档。</w:t>
      </w:r>
    </w:p>
    <w:p w:rsidR="00657F08" w:rsidRDefault="00550375">
      <w:pPr>
        <w:pStyle w:val="0"/>
        <w:numPr>
          <w:ilvl w:val="0"/>
          <w:numId w:val="4"/>
        </w:numPr>
        <w:spacing w:line="360" w:lineRule="auto"/>
        <w:ind w:firstLineChars="200" w:firstLine="480"/>
        <w:rPr>
          <w:rFonts w:ascii="宋体" w:hAnsi="宋体" w:cs="宋体"/>
          <w:sz w:val="24"/>
          <w:szCs w:val="24"/>
        </w:rPr>
      </w:pPr>
      <w:r>
        <w:rPr>
          <w:rFonts w:ascii="宋体" w:hAnsi="宋体" w:cs="宋体" w:hint="eastAsia"/>
          <w:sz w:val="24"/>
          <w:szCs w:val="24"/>
        </w:rPr>
        <w:t>监测水质频次不低于12次/天，</w:t>
      </w:r>
      <w:r>
        <w:rPr>
          <w:rFonts w:ascii="宋体" w:hAnsi="宋体" w:cs="宋体" w:hint="eastAsia"/>
          <w:color w:val="000000"/>
          <w:sz w:val="24"/>
          <w:szCs w:val="24"/>
          <w:shd w:val="clear" w:color="auto" w:fill="FFFFFF"/>
        </w:rPr>
        <w:t>日常监测须满足环保部门最新要求，及时处理各相关平台任务。</w:t>
      </w:r>
    </w:p>
    <w:p w:rsidR="00657F08" w:rsidRDefault="00550375">
      <w:pPr>
        <w:pStyle w:val="0"/>
        <w:widowControl w:val="0"/>
        <w:numPr>
          <w:ilvl w:val="255"/>
          <w:numId w:val="0"/>
        </w:numPr>
        <w:spacing w:line="360" w:lineRule="auto"/>
        <w:ind w:leftChars="200" w:left="420"/>
        <w:rPr>
          <w:rFonts w:ascii="宋体" w:hAnsi="宋体" w:cs="宋体"/>
          <w:sz w:val="24"/>
          <w:szCs w:val="24"/>
        </w:rPr>
      </w:pPr>
      <w:r>
        <w:rPr>
          <w:rFonts w:ascii="宋体" w:hAnsi="宋体" w:cs="宋体"/>
          <w:sz w:val="24"/>
          <w:szCs w:val="24"/>
        </w:rPr>
        <w:t>（三）采购期限：60个月</w:t>
      </w:r>
    </w:p>
    <w:p w:rsidR="00657F08" w:rsidRDefault="00550375">
      <w:pPr>
        <w:pStyle w:val="ab"/>
        <w:numPr>
          <w:ilvl w:val="0"/>
          <w:numId w:val="2"/>
        </w:numPr>
        <w:tabs>
          <w:tab w:val="left" w:pos="709"/>
        </w:tabs>
        <w:ind w:left="0" w:firstLineChars="0" w:firstLine="0"/>
        <w:rPr>
          <w:rFonts w:ascii="黑体" w:eastAsia="黑体" w:hAnsi="黑体" w:cs="黑体"/>
          <w:sz w:val="28"/>
          <w:szCs w:val="28"/>
        </w:rPr>
      </w:pPr>
      <w:r>
        <w:rPr>
          <w:rFonts w:ascii="黑体" w:eastAsia="黑体" w:hAnsi="黑体" w:cs="黑体" w:hint="eastAsia"/>
          <w:sz w:val="28"/>
          <w:szCs w:val="28"/>
        </w:rPr>
        <w:t>报价范围的定义</w:t>
      </w:r>
    </w:p>
    <w:p w:rsidR="00657F08" w:rsidRDefault="00550375">
      <w:pPr>
        <w:pStyle w:val="ab"/>
        <w:tabs>
          <w:tab w:val="left" w:pos="709"/>
        </w:tabs>
        <w:spacing w:line="360" w:lineRule="auto"/>
        <w:ind w:firstLine="480"/>
        <w:rPr>
          <w:rFonts w:ascii="宋体" w:eastAsia="宋体" w:hAnsi="宋体" w:cs="宋体"/>
          <w:color w:val="FF0000"/>
          <w:sz w:val="24"/>
          <w:szCs w:val="24"/>
        </w:rPr>
      </w:pPr>
      <w:r>
        <w:rPr>
          <w:rFonts w:ascii="宋体" w:eastAsia="宋体" w:hAnsi="宋体" w:cs="宋体" w:hint="eastAsia"/>
          <w:sz w:val="24"/>
          <w:szCs w:val="24"/>
        </w:rPr>
        <w:t>污水监测仪器设备投入、维护费及药剂费用、标液费用、设备配件更换、人员成本、工具物料等费用</w:t>
      </w:r>
    </w:p>
    <w:p w:rsidR="00657F08" w:rsidRDefault="00550375">
      <w:pPr>
        <w:pStyle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不可预见的其他突发事件应急费用及合同实施过程中不可预见费用等。服务期内如遇政府调整企业人员最低工资标准、社会保险等费用，本项目不做调整，请投标人做好风险评估。</w:t>
      </w:r>
    </w:p>
    <w:p w:rsidR="00657F08" w:rsidRDefault="00550375">
      <w:pPr>
        <w:pStyle w:val="0"/>
        <w:spacing w:line="360" w:lineRule="auto"/>
        <w:ind w:firstLine="0"/>
        <w:jc w:val="center"/>
        <w:rPr>
          <w:rFonts w:ascii="宋体" w:hAnsi="宋体" w:cs="宋体"/>
          <w:sz w:val="24"/>
          <w:szCs w:val="24"/>
        </w:rPr>
      </w:pPr>
      <w:r>
        <w:rPr>
          <w:rFonts w:ascii="宋体" w:hAnsi="宋体" w:cs="宋体" w:hint="eastAsia"/>
          <w:sz w:val="24"/>
          <w:szCs w:val="24"/>
        </w:rPr>
        <w:t>报价清单表</w:t>
      </w:r>
    </w:p>
    <w:tbl>
      <w:tblPr>
        <w:tblStyle w:val="a9"/>
        <w:tblW w:w="0" w:type="auto"/>
        <w:jc w:val="center"/>
        <w:tblLook w:val="04A0" w:firstRow="1" w:lastRow="0" w:firstColumn="1" w:lastColumn="0" w:noHBand="0" w:noVBand="1"/>
      </w:tblPr>
      <w:tblGrid>
        <w:gridCol w:w="2090"/>
        <w:gridCol w:w="2064"/>
        <w:gridCol w:w="2064"/>
        <w:gridCol w:w="2078"/>
      </w:tblGrid>
      <w:tr w:rsidR="00657F08">
        <w:trPr>
          <w:trHeight w:val="952"/>
          <w:jc w:val="center"/>
        </w:trPr>
        <w:tc>
          <w:tcPr>
            <w:tcW w:w="2129" w:type="dxa"/>
            <w:tcBorders>
              <w:tl2br w:val="single" w:sz="4" w:space="0" w:color="auto"/>
            </w:tcBorders>
          </w:tcPr>
          <w:p w:rsidR="00657F08" w:rsidRDefault="00550375">
            <w:pPr>
              <w:pStyle w:val="0"/>
              <w:spacing w:line="360" w:lineRule="auto"/>
              <w:ind w:leftChars="228" w:left="959" w:hangingChars="200" w:hanging="480"/>
              <w:rPr>
                <w:rFonts w:ascii="宋体" w:hAnsi="宋体" w:cs="宋体"/>
                <w:sz w:val="24"/>
                <w:szCs w:val="24"/>
              </w:rPr>
            </w:pPr>
            <w:bookmarkStart w:id="1" w:name="_Hlk162419450"/>
            <w:r>
              <w:rPr>
                <w:rFonts w:ascii="宋体" w:hAnsi="宋体" w:cs="宋体" w:hint="eastAsia"/>
                <w:sz w:val="24"/>
                <w:szCs w:val="24"/>
              </w:rPr>
              <w:t xml:space="preserve">      报价</w:t>
            </w:r>
          </w:p>
          <w:p w:rsidR="00657F08" w:rsidRDefault="00550375">
            <w:pPr>
              <w:pStyle w:val="0"/>
              <w:spacing w:line="360" w:lineRule="auto"/>
              <w:ind w:firstLine="0"/>
              <w:rPr>
                <w:rFonts w:ascii="宋体" w:hAnsi="宋体" w:cs="宋体"/>
                <w:sz w:val="24"/>
                <w:szCs w:val="24"/>
              </w:rPr>
            </w:pPr>
            <w:r>
              <w:rPr>
                <w:rFonts w:ascii="宋体" w:hAnsi="宋体" w:cs="宋体" w:hint="eastAsia"/>
                <w:sz w:val="24"/>
                <w:szCs w:val="24"/>
              </w:rPr>
              <w:t>费用项目</w:t>
            </w:r>
          </w:p>
        </w:tc>
        <w:tc>
          <w:tcPr>
            <w:tcW w:w="2130" w:type="dxa"/>
            <w:vAlign w:val="center"/>
          </w:tcPr>
          <w:p w:rsidR="00657F08" w:rsidRDefault="00550375">
            <w:pPr>
              <w:pStyle w:val="0"/>
              <w:spacing w:line="360" w:lineRule="auto"/>
              <w:ind w:firstLineChars="200" w:firstLine="480"/>
              <w:jc w:val="both"/>
              <w:rPr>
                <w:rFonts w:ascii="宋体" w:hAnsi="宋体" w:cs="宋体"/>
                <w:sz w:val="24"/>
                <w:szCs w:val="24"/>
              </w:rPr>
            </w:pPr>
            <w:r>
              <w:rPr>
                <w:rFonts w:ascii="宋体" w:hAnsi="宋体" w:cs="宋体" w:hint="eastAsia"/>
                <w:sz w:val="24"/>
                <w:szCs w:val="24"/>
              </w:rPr>
              <w:t>单价（元）</w:t>
            </w:r>
          </w:p>
        </w:tc>
        <w:tc>
          <w:tcPr>
            <w:tcW w:w="2130" w:type="dxa"/>
            <w:vAlign w:val="center"/>
          </w:tcPr>
          <w:p w:rsidR="00657F08" w:rsidRDefault="00550375">
            <w:pPr>
              <w:pStyle w:val="0"/>
              <w:spacing w:line="360" w:lineRule="auto"/>
              <w:jc w:val="both"/>
              <w:rPr>
                <w:rFonts w:ascii="宋体" w:hAnsi="宋体" w:cs="宋体"/>
                <w:sz w:val="24"/>
                <w:szCs w:val="24"/>
              </w:rPr>
            </w:pPr>
            <w:r>
              <w:rPr>
                <w:rFonts w:ascii="宋体" w:hAnsi="宋体" w:cs="宋体" w:hint="eastAsia"/>
                <w:sz w:val="24"/>
                <w:szCs w:val="24"/>
              </w:rPr>
              <w:t>总价（元）</w:t>
            </w:r>
          </w:p>
        </w:tc>
        <w:tc>
          <w:tcPr>
            <w:tcW w:w="2130" w:type="dxa"/>
            <w:vAlign w:val="center"/>
          </w:tcPr>
          <w:p w:rsidR="00657F08" w:rsidRDefault="00550375">
            <w:pPr>
              <w:pStyle w:val="0"/>
              <w:spacing w:line="360" w:lineRule="auto"/>
              <w:ind w:firstLineChars="300" w:firstLine="720"/>
              <w:jc w:val="both"/>
              <w:rPr>
                <w:rFonts w:ascii="宋体" w:hAnsi="宋体" w:cs="宋体"/>
                <w:sz w:val="24"/>
                <w:szCs w:val="24"/>
              </w:rPr>
            </w:pPr>
            <w:r>
              <w:rPr>
                <w:rFonts w:ascii="宋体" w:hAnsi="宋体" w:cs="宋体" w:hint="eastAsia"/>
                <w:sz w:val="24"/>
                <w:szCs w:val="24"/>
              </w:rPr>
              <w:t>备注</w:t>
            </w:r>
          </w:p>
        </w:tc>
      </w:tr>
      <w:tr w:rsidR="00657F08">
        <w:trPr>
          <w:jc w:val="center"/>
        </w:trPr>
        <w:tc>
          <w:tcPr>
            <w:tcW w:w="2129" w:type="dxa"/>
            <w:vAlign w:val="center"/>
          </w:tcPr>
          <w:p w:rsidR="00657F08" w:rsidRDefault="00550375">
            <w:pPr>
              <w:pStyle w:val="0"/>
              <w:spacing w:line="360" w:lineRule="auto"/>
              <w:ind w:firstLine="0"/>
              <w:rPr>
                <w:rFonts w:ascii="宋体" w:hAnsi="宋体" w:cs="宋体"/>
                <w:sz w:val="24"/>
                <w:szCs w:val="24"/>
              </w:rPr>
            </w:pPr>
            <w:r>
              <w:rPr>
                <w:rFonts w:ascii="宋体" w:hAnsi="宋体" w:cs="宋体" w:hint="eastAsia"/>
                <w:sz w:val="24"/>
                <w:szCs w:val="24"/>
              </w:rPr>
              <w:t>设备费用（设备投入、维护）</w:t>
            </w: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r>
      <w:tr w:rsidR="00657F08">
        <w:trPr>
          <w:trHeight w:val="596"/>
          <w:jc w:val="center"/>
        </w:trPr>
        <w:tc>
          <w:tcPr>
            <w:tcW w:w="2129" w:type="dxa"/>
            <w:vAlign w:val="center"/>
          </w:tcPr>
          <w:p w:rsidR="00657F08" w:rsidRDefault="00550375">
            <w:pPr>
              <w:pStyle w:val="0"/>
              <w:spacing w:line="360" w:lineRule="auto"/>
              <w:rPr>
                <w:rFonts w:ascii="宋体" w:hAnsi="宋体" w:cs="宋体"/>
                <w:sz w:val="24"/>
                <w:szCs w:val="24"/>
              </w:rPr>
            </w:pPr>
            <w:r>
              <w:rPr>
                <w:rFonts w:ascii="宋体" w:hAnsi="宋体" w:cs="宋体" w:hint="eastAsia"/>
                <w:sz w:val="24"/>
                <w:szCs w:val="24"/>
              </w:rPr>
              <w:t>药剂费用</w:t>
            </w: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r>
      <w:tr w:rsidR="00657F08">
        <w:trPr>
          <w:trHeight w:val="513"/>
          <w:jc w:val="center"/>
        </w:trPr>
        <w:tc>
          <w:tcPr>
            <w:tcW w:w="2129" w:type="dxa"/>
            <w:vAlign w:val="center"/>
          </w:tcPr>
          <w:p w:rsidR="00657F08" w:rsidRDefault="00550375">
            <w:pPr>
              <w:pStyle w:val="0"/>
              <w:spacing w:line="360" w:lineRule="auto"/>
              <w:rPr>
                <w:rFonts w:ascii="宋体" w:hAnsi="宋体" w:cs="宋体"/>
                <w:sz w:val="24"/>
                <w:szCs w:val="24"/>
              </w:rPr>
            </w:pPr>
            <w:r>
              <w:rPr>
                <w:rFonts w:ascii="宋体" w:hAnsi="宋体" w:cs="宋体" w:hint="eastAsia"/>
                <w:sz w:val="24"/>
                <w:szCs w:val="24"/>
              </w:rPr>
              <w:t>人员成本</w:t>
            </w: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r>
      <w:tr w:rsidR="00657F08">
        <w:trPr>
          <w:trHeight w:val="581"/>
          <w:jc w:val="center"/>
        </w:trPr>
        <w:tc>
          <w:tcPr>
            <w:tcW w:w="2129" w:type="dxa"/>
            <w:vAlign w:val="center"/>
          </w:tcPr>
          <w:p w:rsidR="00657F08" w:rsidRDefault="00550375">
            <w:pPr>
              <w:pStyle w:val="0"/>
              <w:spacing w:line="360" w:lineRule="auto"/>
              <w:ind w:firstLineChars="50" w:firstLine="120"/>
              <w:rPr>
                <w:rFonts w:ascii="宋体" w:hAnsi="宋体" w:cs="宋体"/>
                <w:sz w:val="24"/>
                <w:szCs w:val="24"/>
              </w:rPr>
            </w:pPr>
            <w:r>
              <w:rPr>
                <w:rFonts w:ascii="宋体" w:hAnsi="宋体" w:cs="宋体" w:hint="eastAsia"/>
                <w:sz w:val="24"/>
                <w:szCs w:val="24"/>
              </w:rPr>
              <w:t>其它工具物料</w:t>
            </w: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c>
          <w:tcPr>
            <w:tcW w:w="2130" w:type="dxa"/>
          </w:tcPr>
          <w:p w:rsidR="00657F08" w:rsidRDefault="00657F08">
            <w:pPr>
              <w:pStyle w:val="0"/>
              <w:spacing w:line="360" w:lineRule="auto"/>
              <w:rPr>
                <w:rFonts w:ascii="宋体" w:hAnsi="宋体" w:cs="宋体"/>
                <w:sz w:val="24"/>
                <w:szCs w:val="24"/>
              </w:rPr>
            </w:pPr>
          </w:p>
        </w:tc>
      </w:tr>
    </w:tbl>
    <w:bookmarkEnd w:id="1"/>
    <w:p w:rsidR="00657F08" w:rsidRDefault="00550375">
      <w:pPr>
        <w:pStyle w:val="0"/>
        <w:spacing w:line="360" w:lineRule="auto"/>
        <w:ind w:firstLineChars="200" w:firstLine="480"/>
        <w:rPr>
          <w:rFonts w:ascii="宋体" w:hAnsi="宋体" w:cs="宋体"/>
          <w:sz w:val="24"/>
          <w:szCs w:val="24"/>
        </w:rPr>
      </w:pPr>
      <w:r>
        <w:rPr>
          <w:rFonts w:ascii="宋体" w:hAnsi="宋体" w:cs="宋体" w:hint="eastAsia"/>
          <w:sz w:val="24"/>
          <w:szCs w:val="24"/>
        </w:rPr>
        <w:t>备注：报价清单表仅供参考，投标人可结合自身情况，</w:t>
      </w:r>
      <w:r>
        <w:rPr>
          <w:rFonts w:ascii="宋体" w:hAnsi="宋体" w:cs="宋体"/>
          <w:sz w:val="24"/>
          <w:szCs w:val="24"/>
        </w:rPr>
        <w:t>对服务方案进行</w:t>
      </w:r>
      <w:r>
        <w:rPr>
          <w:rFonts w:ascii="宋体" w:hAnsi="宋体" w:cs="宋体" w:hint="eastAsia"/>
          <w:sz w:val="24"/>
          <w:szCs w:val="24"/>
        </w:rPr>
        <w:t>合理报价。</w:t>
      </w:r>
    </w:p>
    <w:p w:rsidR="00657F08" w:rsidRDefault="00550375">
      <w:pPr>
        <w:pStyle w:val="ab"/>
        <w:numPr>
          <w:ilvl w:val="0"/>
          <w:numId w:val="2"/>
        </w:numPr>
        <w:tabs>
          <w:tab w:val="left" w:pos="709"/>
        </w:tabs>
        <w:ind w:left="0" w:firstLineChars="0" w:firstLine="0"/>
        <w:rPr>
          <w:rFonts w:ascii="黑体" w:eastAsia="黑体" w:hAnsi="黑体" w:cs="黑体"/>
          <w:sz w:val="28"/>
          <w:szCs w:val="28"/>
        </w:rPr>
      </w:pPr>
      <w:r>
        <w:rPr>
          <w:rFonts w:ascii="黑体" w:eastAsia="黑体" w:hAnsi="黑体" w:cs="黑体" w:hint="eastAsia"/>
          <w:sz w:val="28"/>
          <w:szCs w:val="28"/>
        </w:rPr>
        <w:t>资格要求及政策要求</w:t>
      </w:r>
    </w:p>
    <w:p w:rsidR="00657F08" w:rsidRDefault="00550375">
      <w:pPr>
        <w:numPr>
          <w:ilvl w:val="0"/>
          <w:numId w:val="5"/>
        </w:numPr>
        <w:spacing w:line="360" w:lineRule="auto"/>
        <w:ind w:firstLineChars="200" w:firstLine="480"/>
        <w:rPr>
          <w:rFonts w:ascii="宋体" w:eastAsia="宋体" w:hAnsi="宋体"/>
          <w:sz w:val="24"/>
          <w:szCs w:val="24"/>
        </w:rPr>
      </w:pPr>
      <w:r>
        <w:rPr>
          <w:rFonts w:ascii="宋体" w:eastAsia="宋体" w:hAnsi="宋体" w:cs="宋体" w:hint="eastAsia"/>
          <w:sz w:val="24"/>
          <w:szCs w:val="24"/>
        </w:rPr>
        <w:t>从事污染源自动监控设施的操作和管理人员，应当经省级生态环境行政主管部门委托的中介机构进行岗位培训并通过考核。运营维护工程师须持证上岗（自动监控（污废水)运行工或污染源自动监测（污废水运维工）），需提供相关证明复印件并加盖公章。</w:t>
      </w:r>
    </w:p>
    <w:p w:rsidR="00657F08" w:rsidRDefault="00550375">
      <w:pPr>
        <w:numPr>
          <w:ilvl w:val="0"/>
          <w:numId w:val="5"/>
        </w:numPr>
        <w:spacing w:line="360" w:lineRule="auto"/>
        <w:ind w:firstLineChars="200" w:firstLine="480"/>
        <w:rPr>
          <w:rFonts w:ascii="宋体" w:eastAsia="宋体" w:hAnsi="宋体"/>
          <w:sz w:val="24"/>
          <w:szCs w:val="24"/>
        </w:rPr>
      </w:pPr>
      <w:r>
        <w:rPr>
          <w:rFonts w:ascii="宋体" w:eastAsia="宋体" w:hAnsi="宋体" w:cs="宋体" w:hint="eastAsia"/>
          <w:color w:val="000000"/>
          <w:sz w:val="24"/>
          <w:szCs w:val="24"/>
          <w:shd w:val="clear" w:color="auto" w:fill="FFFFFF"/>
        </w:rPr>
        <w:t>供应商未被列入“信用中国”网站(</w:t>
      </w:r>
      <w:r>
        <w:rPr>
          <w:rFonts w:ascii="Times New Roman" w:eastAsia="宋体" w:hAnsi="Times New Roman" w:cs="Times New Roman"/>
          <w:color w:val="000000"/>
          <w:sz w:val="24"/>
          <w:szCs w:val="24"/>
          <w:shd w:val="clear" w:color="auto" w:fill="FFFFFF"/>
        </w:rPr>
        <w:t>www.creditchina.gov.cn</w:t>
      </w:r>
      <w:r>
        <w:rPr>
          <w:rFonts w:ascii="宋体" w:eastAsia="宋体" w:hAnsi="宋体" w:cs="宋体" w:hint="eastAsia"/>
          <w:color w:val="000000"/>
          <w:sz w:val="24"/>
          <w:szCs w:val="24"/>
          <w:shd w:val="clear" w:color="auto" w:fill="FFFFFF"/>
        </w:rPr>
        <w:t>)“记录失信被执行人或重大税收违法案件当事人名单或政府采购严重违法失信行为”记录名单；不处于中国政府采购网(</w:t>
      </w:r>
      <w:r>
        <w:rPr>
          <w:rFonts w:ascii="Times New Roman" w:eastAsia="宋体" w:hAnsi="Times New Roman" w:cs="Times New Roman"/>
          <w:color w:val="000000"/>
          <w:sz w:val="24"/>
          <w:szCs w:val="24"/>
          <w:shd w:val="clear" w:color="auto" w:fill="FFFFFF"/>
        </w:rPr>
        <w:t>www.ccgp.gov.cn</w:t>
      </w:r>
      <w:r>
        <w:rPr>
          <w:rFonts w:ascii="宋体" w:eastAsia="宋体" w:hAnsi="宋体" w:cs="宋体" w:hint="eastAsia"/>
          <w:color w:val="000000"/>
          <w:sz w:val="24"/>
          <w:szCs w:val="24"/>
          <w:shd w:val="clear" w:color="auto" w:fill="FFFFFF"/>
        </w:rPr>
        <w:t>)“政府采购严重违法失信行为信息记录”中的禁止参加政府采购活动期间。（以资格审查人员于投标（响应）截止时间当天在“信用中国”网站（</w:t>
      </w:r>
      <w:r>
        <w:rPr>
          <w:rFonts w:ascii="Times New Roman" w:eastAsia="宋体" w:hAnsi="Times New Roman" w:cs="Times New Roman"/>
          <w:color w:val="000000"/>
          <w:sz w:val="24"/>
          <w:szCs w:val="24"/>
          <w:shd w:val="clear" w:color="auto" w:fill="FFFFFF"/>
        </w:rPr>
        <w:t>www.creditchina.gov.cn</w:t>
      </w:r>
      <w:r>
        <w:rPr>
          <w:rFonts w:ascii="宋体" w:eastAsia="宋体" w:hAnsi="宋体" w:cs="宋体" w:hint="eastAsia"/>
          <w:color w:val="000000"/>
          <w:sz w:val="24"/>
          <w:szCs w:val="24"/>
          <w:shd w:val="clear" w:color="auto" w:fill="FFFFFF"/>
        </w:rPr>
        <w:t>）及中国政府采购网（</w:t>
      </w:r>
      <w:r>
        <w:rPr>
          <w:rFonts w:ascii="Times New Roman" w:eastAsia="宋体" w:hAnsi="Times New Roman" w:cs="Times New Roman"/>
          <w:color w:val="000000"/>
          <w:sz w:val="24"/>
          <w:szCs w:val="24"/>
          <w:shd w:val="clear" w:color="auto" w:fill="FFFFFF"/>
        </w:rPr>
        <w:t>http://www.ccgp.gov.cn/</w:t>
      </w:r>
      <w:r>
        <w:rPr>
          <w:rFonts w:ascii="宋体" w:eastAsia="宋体" w:hAnsi="宋体" w:cs="宋体" w:hint="eastAsia"/>
          <w:color w:val="000000"/>
          <w:sz w:val="24"/>
          <w:szCs w:val="24"/>
          <w:shd w:val="clear" w:color="auto" w:fill="FFFFFF"/>
        </w:rPr>
        <w:t>）查询结果为准，如相关失信记录已失效，供应商需提供相关证明资料）。</w:t>
      </w:r>
    </w:p>
    <w:p w:rsidR="00657F08" w:rsidRDefault="00550375">
      <w:pPr>
        <w:pStyle w:val="ab"/>
        <w:numPr>
          <w:ilvl w:val="0"/>
          <w:numId w:val="2"/>
        </w:numPr>
        <w:tabs>
          <w:tab w:val="left" w:pos="709"/>
        </w:tabs>
        <w:ind w:left="0" w:firstLineChars="0" w:firstLine="0"/>
        <w:rPr>
          <w:rFonts w:ascii="黑体" w:eastAsia="黑体" w:hAnsi="黑体" w:cs="黑体"/>
          <w:sz w:val="28"/>
          <w:szCs w:val="28"/>
        </w:rPr>
      </w:pPr>
      <w:r>
        <w:rPr>
          <w:rFonts w:ascii="黑体" w:eastAsia="黑体" w:hAnsi="黑体" w:cs="黑体" w:hint="eastAsia"/>
          <w:sz w:val="28"/>
          <w:szCs w:val="28"/>
        </w:rPr>
        <w:t>是否面向中小企业或小微企业</w:t>
      </w:r>
    </w:p>
    <w:p w:rsidR="00657F08" w:rsidRDefault="00550375">
      <w:pPr>
        <w:pStyle w:val="ab"/>
        <w:tabs>
          <w:tab w:val="left" w:pos="709"/>
        </w:tabs>
        <w:ind w:firstLine="480"/>
        <w:rPr>
          <w:rFonts w:ascii="宋体" w:eastAsia="宋体" w:hAnsi="宋体"/>
          <w:sz w:val="28"/>
          <w:szCs w:val="28"/>
        </w:rPr>
      </w:pPr>
      <w:r>
        <w:rPr>
          <w:rFonts w:ascii="宋体" w:eastAsia="宋体" w:hAnsi="宋体" w:hint="eastAsia"/>
          <w:sz w:val="24"/>
          <w:szCs w:val="24"/>
        </w:rPr>
        <w:t>是</w:t>
      </w:r>
    </w:p>
    <w:p w:rsidR="00657F08" w:rsidRDefault="00550375">
      <w:pPr>
        <w:pStyle w:val="ab"/>
        <w:numPr>
          <w:ilvl w:val="0"/>
          <w:numId w:val="2"/>
        </w:numPr>
        <w:tabs>
          <w:tab w:val="left" w:pos="709"/>
        </w:tabs>
        <w:ind w:left="0" w:firstLineChars="0" w:firstLine="0"/>
        <w:rPr>
          <w:rFonts w:ascii="黑体" w:eastAsia="黑体" w:hAnsi="黑体" w:cs="黑体"/>
          <w:sz w:val="28"/>
          <w:szCs w:val="28"/>
        </w:rPr>
      </w:pPr>
      <w:r>
        <w:rPr>
          <w:rFonts w:ascii="黑体" w:eastAsia="黑体" w:hAnsi="黑体" w:cs="黑体" w:hint="eastAsia"/>
          <w:sz w:val="28"/>
          <w:szCs w:val="28"/>
        </w:rPr>
        <w:t>是否接受联合体投标</w:t>
      </w:r>
    </w:p>
    <w:p w:rsidR="00657F08" w:rsidRDefault="00550375">
      <w:pPr>
        <w:pStyle w:val="ab"/>
        <w:tabs>
          <w:tab w:val="left" w:pos="709"/>
        </w:tabs>
        <w:ind w:firstLine="480"/>
        <w:rPr>
          <w:rFonts w:ascii="宋体" w:eastAsia="宋体" w:hAnsi="宋体"/>
          <w:sz w:val="24"/>
          <w:szCs w:val="24"/>
        </w:rPr>
      </w:pPr>
      <w:r>
        <w:rPr>
          <w:rFonts w:ascii="宋体" w:eastAsia="宋体" w:hAnsi="宋体" w:hint="eastAsia"/>
          <w:sz w:val="24"/>
          <w:szCs w:val="24"/>
        </w:rPr>
        <w:lastRenderedPageBreak/>
        <w:t>否</w:t>
      </w:r>
    </w:p>
    <w:p w:rsidR="00657F08" w:rsidRDefault="00550375">
      <w:pPr>
        <w:pStyle w:val="ab"/>
        <w:numPr>
          <w:ilvl w:val="0"/>
          <w:numId w:val="2"/>
        </w:numPr>
        <w:tabs>
          <w:tab w:val="left" w:pos="709"/>
        </w:tabs>
        <w:ind w:left="0" w:firstLineChars="0" w:firstLine="0"/>
        <w:rPr>
          <w:rFonts w:ascii="黑体" w:eastAsia="黑体" w:hAnsi="黑体" w:cs="黑体"/>
          <w:sz w:val="28"/>
          <w:szCs w:val="28"/>
        </w:rPr>
      </w:pPr>
      <w:r>
        <w:rPr>
          <w:rFonts w:ascii="黑体" w:eastAsia="黑体" w:hAnsi="黑体" w:cs="黑体" w:hint="eastAsia"/>
          <w:sz w:val="28"/>
          <w:szCs w:val="28"/>
        </w:rPr>
        <w:t>技术/服务要求</w:t>
      </w:r>
    </w:p>
    <w:p w:rsidR="00657F08" w:rsidRDefault="00550375">
      <w:pPr>
        <w:pStyle w:val="ab"/>
        <w:tabs>
          <w:tab w:val="left" w:pos="709"/>
        </w:tabs>
        <w:spacing w:line="360" w:lineRule="auto"/>
        <w:ind w:firstLine="480"/>
        <w:rPr>
          <w:rFonts w:ascii="宋体" w:eastAsia="宋体" w:hAnsi="宋体" w:cs="宋体"/>
          <w:sz w:val="24"/>
          <w:szCs w:val="24"/>
        </w:rPr>
      </w:pPr>
      <w:r>
        <w:rPr>
          <w:rFonts w:ascii="宋体" w:eastAsia="宋体" w:hAnsi="宋体" w:cs="宋体" w:hint="eastAsia"/>
          <w:sz w:val="24"/>
          <w:szCs w:val="24"/>
        </w:rPr>
        <w:t>（一）定期对试剂、标液和损坏配件按照统一标准进行配置。</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1.每月对在线监测仪器运行所需要的试剂按统一的标准配置或更换；</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2.按照规范标准统一配置零点标液和各量程的标液，并按照规范标准定期进行仪器的定期标定；</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3.根据仪器易损件的工作寿命，对易损件按照统一标准进行更换。</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（二）日常维护的基本内容</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对自动监控设备的维护按照系统的维护规范和各种仪器相应的维护规范进行，但必须包含以下基本内容：</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1.每天行远程检查仪器运行状态,检查数据传输系统是否正常，如发现数据有持续异常情况，应立即前往站点进行检查。</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2.每七天对监测系统进行现场维护，现场维护内容包括：</w:t>
      </w:r>
    </w:p>
    <w:p w:rsidR="00657F08" w:rsidRDefault="00550375">
      <w:pPr>
        <w:numPr>
          <w:ilvl w:val="0"/>
          <w:numId w:val="6"/>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检查各台在线监测仪及辅助设备的运行状态和主要技术参数，判断运行是否正常。</w:t>
      </w:r>
    </w:p>
    <w:p w:rsidR="00657F08" w:rsidRDefault="00550375">
      <w:pPr>
        <w:numPr>
          <w:ilvl w:val="0"/>
          <w:numId w:val="6"/>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检查自来水供应、泵取水情况，检查内部管路是否通畅，仪器自动清洗装置是否运行正常，检查各在线监测仪的进样水管和排水管是否清洁，必要时进行清洗。每季度清洗水泵和过滤网。</w:t>
      </w:r>
    </w:p>
    <w:p w:rsidR="00657F08" w:rsidRDefault="00550375">
      <w:pPr>
        <w:numPr>
          <w:ilvl w:val="0"/>
          <w:numId w:val="6"/>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检查站房内电路系统、通讯系统是否正常。</w:t>
      </w:r>
    </w:p>
    <w:p w:rsidR="00657F08" w:rsidRDefault="00550375">
      <w:pPr>
        <w:numPr>
          <w:ilvl w:val="0"/>
          <w:numId w:val="6"/>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对于用电极法测量的仪器，检查标准溶液和电极填充液，进行电极探头的清洗。</w:t>
      </w:r>
    </w:p>
    <w:p w:rsidR="00657F08" w:rsidRDefault="00550375">
      <w:pPr>
        <w:numPr>
          <w:ilvl w:val="0"/>
          <w:numId w:val="6"/>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若部分站点有气体钢瓶，应检查载气气路系统是否密封，气压是否满足使用要求。</w:t>
      </w:r>
    </w:p>
    <w:p w:rsidR="00657F08" w:rsidRDefault="00550375">
      <w:pPr>
        <w:numPr>
          <w:ilvl w:val="0"/>
          <w:numId w:val="6"/>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检查各仪器标准溶液和试剂是否在有效使用期内，按相关要求每月更换标准溶液和分析试剂。</w:t>
      </w:r>
    </w:p>
    <w:p w:rsidR="00657F08" w:rsidRDefault="00550375">
      <w:pPr>
        <w:numPr>
          <w:ilvl w:val="0"/>
          <w:numId w:val="6"/>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观察数据采集传输仪运行情况，并检查连接处有无损坏，对数据进行抽样检查，对比在线监测仪、数据采集传输仪及上位机接收到的数据是否一致。</w:t>
      </w:r>
    </w:p>
    <w:p w:rsidR="00657F08" w:rsidRDefault="00550375">
      <w:pPr>
        <w:numPr>
          <w:ilvl w:val="0"/>
          <w:numId w:val="7"/>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每月现场维护内容包括：</w:t>
      </w:r>
    </w:p>
    <w:p w:rsidR="00657F08" w:rsidRDefault="00550375">
      <w:pPr>
        <w:numPr>
          <w:ilvl w:val="0"/>
          <w:numId w:val="8"/>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对在线监测仪的采样泵、管等进行一次检查，检查试剂余量（必要时添</w:t>
      </w:r>
      <w:r>
        <w:rPr>
          <w:rFonts w:ascii="宋体" w:eastAsia="宋体" w:hAnsi="宋体" w:cs="宋体" w:hint="eastAsia"/>
          <w:sz w:val="24"/>
          <w:szCs w:val="24"/>
        </w:rPr>
        <w:lastRenderedPageBreak/>
        <w:t>加或更换），检查采样管路的密封性和顺畅性，检查自动清洗管路的密封性和顺畅性以及是否被污染。</w:t>
      </w:r>
    </w:p>
    <w:p w:rsidR="00657F08" w:rsidRDefault="00550375">
      <w:pPr>
        <w:numPr>
          <w:ilvl w:val="0"/>
          <w:numId w:val="8"/>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每月的现场维护内容还包括对在线监测仪器进行一次保养，对水泵和取水管路、配水和进水系统、仪器分析系统进行维护。对数据存储／控制系统工作状态进行一次检查，对在线监测仪进行一次日常校验。检查监测仪器接地情况，检查监测用房防雷措施。</w:t>
      </w:r>
    </w:p>
    <w:p w:rsidR="00657F08" w:rsidRDefault="00550375">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（三）建立仪器档案文件</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1.建立技术档案，包含但不限于以下内容：</w:t>
      </w:r>
    </w:p>
    <w:p w:rsidR="00657F08" w:rsidRDefault="00550375">
      <w:pPr>
        <w:numPr>
          <w:ilvl w:val="0"/>
          <w:numId w:val="9"/>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设备的生产厂家、设备的安装单位和竣工验收记录及仪器的通讯协议。</w:t>
      </w:r>
    </w:p>
    <w:p w:rsidR="00657F08" w:rsidRDefault="00550375">
      <w:pPr>
        <w:numPr>
          <w:ilvl w:val="0"/>
          <w:numId w:val="9"/>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监测仪器校准、零点和量程漂移、重复性、实际水样比对和质控样试验例行记录。</w:t>
      </w:r>
    </w:p>
    <w:p w:rsidR="00657F08" w:rsidRDefault="00550375">
      <w:pPr>
        <w:numPr>
          <w:ilvl w:val="0"/>
          <w:numId w:val="9"/>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监测（监控）仪器的运行调试报告、例行检查、维护保养记录。</w:t>
      </w:r>
    </w:p>
    <w:p w:rsidR="00657F08" w:rsidRDefault="00550375">
      <w:pPr>
        <w:numPr>
          <w:ilvl w:val="0"/>
          <w:numId w:val="9"/>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 xml:space="preserve">检测机构的检定或校验记录。 </w:t>
      </w:r>
    </w:p>
    <w:p w:rsidR="00657F08" w:rsidRDefault="00550375">
      <w:pPr>
        <w:numPr>
          <w:ilvl w:val="0"/>
          <w:numId w:val="9"/>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 xml:space="preserve">仪器设备的检修、易耗品的定期更换记录。 </w:t>
      </w:r>
    </w:p>
    <w:p w:rsidR="00657F08" w:rsidRDefault="00550375">
      <w:pPr>
        <w:numPr>
          <w:ilvl w:val="0"/>
          <w:numId w:val="9"/>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 xml:space="preserve">各种仪器的操作、使用、维护规范。 </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2.技术档案基本要求</w:t>
      </w:r>
    </w:p>
    <w:p w:rsidR="00657F08" w:rsidRDefault="00550375">
      <w:pPr>
        <w:numPr>
          <w:ilvl w:val="0"/>
          <w:numId w:val="10"/>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档案中的表格应采用统一的标准表格。</w:t>
      </w:r>
    </w:p>
    <w:p w:rsidR="00657F08" w:rsidRDefault="00550375">
      <w:pPr>
        <w:numPr>
          <w:ilvl w:val="0"/>
          <w:numId w:val="10"/>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记录应清晰、完整，现场记录应在现场及时填写，有专业维护人员的签字。</w:t>
      </w:r>
    </w:p>
    <w:p w:rsidR="00657F08" w:rsidRDefault="00550375">
      <w:pPr>
        <w:numPr>
          <w:ilvl w:val="0"/>
          <w:numId w:val="10"/>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可从技术档案中查阅和了解仪器设备的使用、维修和性能检验等全部历史资料，以对运行的各台仪器设备做出正确评价。</w:t>
      </w:r>
    </w:p>
    <w:p w:rsidR="00657F08" w:rsidRDefault="00550375">
      <w:pPr>
        <w:numPr>
          <w:ilvl w:val="0"/>
          <w:numId w:val="10"/>
        </w:numPr>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 xml:space="preserve">与仪器相关的记录可放置在现场，所有记录均应妥善保存。 </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（四）其他预防性维护 </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1.检查机房、监测用房（监控箱）的清洁，保持设备的清洁，避免仪器振动，保证监测用房内的温度、湿度满足仪器正常运行的需求。 </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2.检查各仪器管路通畅，出水正常，无漏液。 </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3.对电源控制器、空调等辅助设备要进行经常性检查。 </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4.此处未提及的维护内容，按相关仪器说明书的要求进行仪器维护保养、易耗品的更换工作。 </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5.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（五）系统的校验</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每周对在线监测仪器进行统一校准，在线监测仪器为精密的计量仪器，而且在线监测仪是长期连续的自动运行，为确保在线监测数据的科学性和准确性，每周对在线监测仪器按照设备说明要求对在线监测仪器进行统一校准。</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（六）系统的检修</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为了使自动监控设备能维持完整的数据获取率，需具备迅速的故障排除、充足的备品备件、便捷的交通和通讯工作工具等必要的保证条件。</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1.在线监测设备需要停用、拆除或者更换的，应当事先报经环境保护有关部门批准。</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2.发现故障或接到故障通知，专业技术人员快速作出回应，并尽快赶赴现场进行处理。</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对于一些容易诊断的故障，应及时携带工具或者备件到现场进行针对性维修，对不易诊断和维修的仪器故障，若36小时内无法排除，须向广州市生态环境局番禺分局汇报相关情况，同时向采购人汇报相关情况。▲</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设备经过维修后，在正常使用和运行之前必须确保维修内容全部完成、性能通过检测程序，按国家有关技术规定对仪器进行校准检查。若监测仪器进行了更换，在正常使用和运行之前必须由第三方对仪器进行一次比对实验和校验。</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5.备有足够的备品备件，对其使用情况进行定期清点，并根据实际需要进行增购，以不断调整和补充各种备品备件的存储数量。</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6.若数据存储／控制仪发生故障，应及时进行修复,保证已采集的数据不丢失。</w:t>
      </w:r>
    </w:p>
    <w:p w:rsidR="00657F08" w:rsidRDefault="00550375">
      <w:pPr>
        <w:spacing w:line="360" w:lineRule="auto"/>
        <w:ind w:firstLineChars="200" w:firstLine="480"/>
        <w:rPr>
          <w:rFonts w:ascii="宋体" w:eastAsia="宋体" w:hAnsi="宋体" w:cs="宋体"/>
          <w:color w:val="FF0000"/>
          <w:sz w:val="24"/>
          <w:szCs w:val="24"/>
        </w:rPr>
      </w:pPr>
      <w:r>
        <w:rPr>
          <w:rFonts w:ascii="宋体" w:eastAsia="宋体" w:hAnsi="宋体" w:cs="宋体" w:hint="eastAsia"/>
          <w:sz w:val="24"/>
          <w:szCs w:val="24"/>
        </w:rPr>
        <w:t>7.运营工作接受广州市生态环境局番禺分局监督。</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8.自动监控设备及所有的技术档案接受广州市生态环境局番禺分局和当地环境保护部门的定期检查和不定期抽查。</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9.每年向广州市生态环境局番禺分局书面汇报运营工作同时向采购人汇报。</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10.若自动监控设备产生较大故障，致使监测数据缺少达48小时以上的，需</w:t>
      </w:r>
      <w:r>
        <w:rPr>
          <w:rFonts w:ascii="宋体" w:eastAsia="宋体" w:hAnsi="宋体" w:cs="宋体" w:hint="eastAsia"/>
          <w:sz w:val="24"/>
          <w:szCs w:val="24"/>
        </w:rPr>
        <w:lastRenderedPageBreak/>
        <w:t>将故障原因和处理方案及时上报广州市生态环境局番禺分局同时向采购人汇报。</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11.合同期间若发生不可抗拒事件导致供应商无法开展运营工作，则待现场具备运营条件后，供应商继续完成相应的合同工作。</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12.根据质量技术监督局相关文件要求，协助采购人委托有资质的第三方计量单位完成在线监控仪器的计量认证工作并承担认证所产生费用。</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13.污染源在线监控平台任务的处理。</w:t>
      </w:r>
    </w:p>
    <w:p w:rsidR="00657F08" w:rsidRDefault="00550375">
      <w:pPr>
        <w:pStyle w:val="ab"/>
        <w:numPr>
          <w:ilvl w:val="0"/>
          <w:numId w:val="2"/>
        </w:numPr>
        <w:tabs>
          <w:tab w:val="left" w:pos="709"/>
        </w:tabs>
        <w:ind w:left="0" w:firstLineChars="0" w:firstLine="0"/>
        <w:rPr>
          <w:rFonts w:ascii="宋体" w:eastAsia="宋体" w:hAnsi="宋体"/>
          <w:sz w:val="28"/>
          <w:szCs w:val="28"/>
        </w:rPr>
      </w:pPr>
      <w:r>
        <w:rPr>
          <w:rFonts w:ascii="黑体" w:eastAsia="黑体" w:hAnsi="黑体" w:cs="黑体" w:hint="eastAsia"/>
          <w:sz w:val="28"/>
          <w:szCs w:val="28"/>
        </w:rPr>
        <w:t>商务要求</w:t>
      </w:r>
    </w:p>
    <w:p w:rsidR="00657F08" w:rsidRDefault="00550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支付方式：每季度支付。合同签订后，完成本季度服务后</w:t>
      </w:r>
      <w:r>
        <w:rPr>
          <w:rFonts w:ascii="宋体" w:eastAsia="宋体" w:hAnsi="宋体" w:cs="宋体"/>
          <w:sz w:val="24"/>
          <w:szCs w:val="24"/>
        </w:rPr>
        <w:t>供应商</w:t>
      </w:r>
      <w:r>
        <w:rPr>
          <w:rFonts w:ascii="宋体" w:eastAsia="宋体" w:hAnsi="宋体" w:cs="宋体" w:hint="eastAsia"/>
          <w:sz w:val="24"/>
          <w:szCs w:val="24"/>
        </w:rPr>
        <w:t>提供有效发票、请款函、《污水处理在线监测服务综合评价表》向采购人申请上季度运营管理费，采购人收到发票后五个工作日内办理支付。</w:t>
      </w:r>
    </w:p>
    <w:p w:rsidR="00657F08" w:rsidRDefault="00550375">
      <w:pPr>
        <w:numPr>
          <w:ilvl w:val="255"/>
          <w:numId w:val="0"/>
        </w:numPr>
        <w:adjustRightIn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备注：在线监测服务质量考核情况由</w:t>
      </w:r>
      <w:r>
        <w:rPr>
          <w:rFonts w:ascii="宋体" w:eastAsia="宋体" w:hAnsi="宋体" w:cs="宋体"/>
          <w:bCs/>
          <w:sz w:val="24"/>
          <w:szCs w:val="24"/>
        </w:rPr>
        <w:t>采购人</w:t>
      </w:r>
      <w:r>
        <w:rPr>
          <w:rFonts w:ascii="宋体" w:eastAsia="宋体" w:hAnsi="宋体" w:cs="宋体" w:hint="eastAsia"/>
          <w:bCs/>
          <w:sz w:val="24"/>
          <w:szCs w:val="24"/>
        </w:rPr>
        <w:t>进行季度综合考评，考评表见附件一《污水处理在线监测服务综合评价表》</w:t>
      </w:r>
      <w:r>
        <w:rPr>
          <w:rFonts w:ascii="宋体" w:eastAsia="宋体" w:hAnsi="宋体" w:cs="宋体"/>
          <w:bCs/>
          <w:sz w:val="24"/>
          <w:szCs w:val="24"/>
        </w:rPr>
        <w:t>，采购人有权按需调整考评表内容。</w:t>
      </w:r>
      <w:r>
        <w:rPr>
          <w:rFonts w:ascii="宋体" w:eastAsia="宋体" w:hAnsi="宋体" w:cs="宋体" w:hint="eastAsia"/>
          <w:bCs/>
          <w:sz w:val="24"/>
          <w:szCs w:val="24"/>
        </w:rPr>
        <w:t>综合考评</w:t>
      </w:r>
      <w:r>
        <w:rPr>
          <w:rFonts w:ascii="宋体" w:eastAsia="宋体" w:hAnsi="宋体" w:cs="宋体"/>
          <w:bCs/>
          <w:sz w:val="24"/>
          <w:szCs w:val="24"/>
        </w:rPr>
        <w:t>得分≥85分为合格；得分&lt;85分为不合格，</w:t>
      </w:r>
      <w:r>
        <w:rPr>
          <w:rFonts w:ascii="宋体" w:eastAsia="宋体" w:hAnsi="宋体" w:cs="宋体" w:hint="eastAsia"/>
          <w:bCs/>
          <w:sz w:val="24"/>
          <w:szCs w:val="24"/>
        </w:rPr>
        <w:t>每下降1分扣当月服务费2000元</w:t>
      </w:r>
      <w:r>
        <w:rPr>
          <w:rFonts w:ascii="宋体" w:eastAsia="宋体" w:hAnsi="宋体" w:cs="宋体"/>
          <w:bCs/>
          <w:sz w:val="24"/>
          <w:szCs w:val="24"/>
        </w:rPr>
        <w:t>。连续3个月得分&lt;85分的，采购人有权终止合同。</w:t>
      </w:r>
    </w:p>
    <w:p w:rsidR="00657F08" w:rsidRDefault="00550375">
      <w:pPr>
        <w:numPr>
          <w:ilvl w:val="0"/>
          <w:numId w:val="11"/>
        </w:numPr>
        <w:adjustRightInd w:val="0"/>
        <w:spacing w:line="360" w:lineRule="auto"/>
        <w:ind w:firstLine="0"/>
        <w:rPr>
          <w:rFonts w:ascii="黑体" w:eastAsia="黑体" w:hAnsi="黑体" w:cs="黑体"/>
          <w:bCs/>
          <w:sz w:val="28"/>
          <w:szCs w:val="28"/>
        </w:rPr>
      </w:pPr>
      <w:r>
        <w:rPr>
          <w:rFonts w:ascii="黑体" w:eastAsia="黑体" w:hAnsi="黑体" w:cs="黑体" w:hint="eastAsia"/>
          <w:bCs/>
          <w:sz w:val="28"/>
          <w:szCs w:val="28"/>
        </w:rPr>
        <w:t>其它补充说明</w:t>
      </w:r>
    </w:p>
    <w:p w:rsidR="00657F08" w:rsidRDefault="00550375">
      <w:pPr>
        <w:adjustRightIn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我院污水处理现有以下在线监测仪器设备(已投入使用约5年，目前均运行正常），供应商自行评估是否继续使用以下设备。若需采购新设备，供应商自行承担费用。若现有设备（在服务期内）不能满足最新的在线监测相关标准，供应商应自行承担设备的升级改造或购置新设备。</w:t>
      </w:r>
    </w:p>
    <w:tbl>
      <w:tblPr>
        <w:tblStyle w:val="a9"/>
        <w:tblW w:w="0" w:type="auto"/>
        <w:tblLook w:val="04A0" w:firstRow="1" w:lastRow="0" w:firstColumn="1" w:lastColumn="0" w:noHBand="0" w:noVBand="1"/>
      </w:tblPr>
      <w:tblGrid>
        <w:gridCol w:w="1376"/>
        <w:gridCol w:w="920"/>
        <w:gridCol w:w="1839"/>
        <w:gridCol w:w="1731"/>
        <w:gridCol w:w="868"/>
        <w:gridCol w:w="1562"/>
      </w:tblGrid>
      <w:tr w:rsidR="00657F08">
        <w:tc>
          <w:tcPr>
            <w:tcW w:w="1419" w:type="dxa"/>
            <w:vAlign w:val="center"/>
          </w:tcPr>
          <w:p w:rsidR="00657F08" w:rsidRDefault="00550375">
            <w:pPr>
              <w:jc w:val="center"/>
              <w:rPr>
                <w:sz w:val="24"/>
                <w:szCs w:val="24"/>
              </w:rPr>
            </w:pPr>
            <w:r>
              <w:rPr>
                <w:rFonts w:hint="eastAsia"/>
                <w:sz w:val="24"/>
                <w:szCs w:val="24"/>
              </w:rPr>
              <w:t>站点</w:t>
            </w:r>
          </w:p>
        </w:tc>
        <w:tc>
          <w:tcPr>
            <w:tcW w:w="942" w:type="dxa"/>
            <w:vAlign w:val="center"/>
          </w:tcPr>
          <w:p w:rsidR="00657F08" w:rsidRDefault="00550375">
            <w:pPr>
              <w:jc w:val="center"/>
              <w:rPr>
                <w:sz w:val="24"/>
                <w:szCs w:val="24"/>
              </w:rPr>
            </w:pPr>
            <w:r>
              <w:rPr>
                <w:rFonts w:hint="eastAsia"/>
                <w:sz w:val="24"/>
                <w:szCs w:val="24"/>
              </w:rPr>
              <w:t>序号</w:t>
            </w:r>
          </w:p>
        </w:tc>
        <w:tc>
          <w:tcPr>
            <w:tcW w:w="1896" w:type="dxa"/>
            <w:vAlign w:val="center"/>
          </w:tcPr>
          <w:p w:rsidR="00657F08" w:rsidRDefault="00550375">
            <w:pPr>
              <w:jc w:val="center"/>
              <w:rPr>
                <w:sz w:val="24"/>
                <w:szCs w:val="24"/>
              </w:rPr>
            </w:pPr>
            <w:r>
              <w:rPr>
                <w:rFonts w:hint="eastAsia"/>
                <w:sz w:val="24"/>
                <w:szCs w:val="24"/>
              </w:rPr>
              <w:t>设备名称</w:t>
            </w:r>
          </w:p>
        </w:tc>
        <w:tc>
          <w:tcPr>
            <w:tcW w:w="1766" w:type="dxa"/>
            <w:vAlign w:val="center"/>
          </w:tcPr>
          <w:p w:rsidR="00657F08" w:rsidRDefault="00550375">
            <w:pPr>
              <w:jc w:val="center"/>
              <w:rPr>
                <w:sz w:val="24"/>
                <w:szCs w:val="24"/>
              </w:rPr>
            </w:pPr>
            <w:r>
              <w:rPr>
                <w:rFonts w:hint="eastAsia"/>
                <w:sz w:val="24"/>
                <w:szCs w:val="24"/>
              </w:rPr>
              <w:t>设备型号</w:t>
            </w:r>
          </w:p>
        </w:tc>
        <w:tc>
          <w:tcPr>
            <w:tcW w:w="888" w:type="dxa"/>
            <w:vAlign w:val="center"/>
          </w:tcPr>
          <w:p w:rsidR="00657F08" w:rsidRDefault="00550375">
            <w:pPr>
              <w:jc w:val="center"/>
              <w:rPr>
                <w:sz w:val="24"/>
                <w:szCs w:val="24"/>
              </w:rPr>
            </w:pPr>
            <w:r>
              <w:rPr>
                <w:rFonts w:hint="eastAsia"/>
                <w:sz w:val="24"/>
                <w:szCs w:val="24"/>
              </w:rPr>
              <w:t>数量</w:t>
            </w:r>
          </w:p>
        </w:tc>
        <w:tc>
          <w:tcPr>
            <w:tcW w:w="1606" w:type="dxa"/>
            <w:vAlign w:val="center"/>
          </w:tcPr>
          <w:p w:rsidR="00657F08" w:rsidRDefault="00550375">
            <w:pPr>
              <w:jc w:val="center"/>
              <w:rPr>
                <w:sz w:val="24"/>
                <w:szCs w:val="24"/>
              </w:rPr>
            </w:pPr>
            <w:r>
              <w:rPr>
                <w:rFonts w:hint="eastAsia"/>
                <w:sz w:val="24"/>
                <w:szCs w:val="24"/>
              </w:rPr>
              <w:t>监测项目</w:t>
            </w:r>
          </w:p>
        </w:tc>
      </w:tr>
      <w:tr w:rsidR="00657F08">
        <w:tc>
          <w:tcPr>
            <w:tcW w:w="1419" w:type="dxa"/>
            <w:vMerge w:val="restart"/>
            <w:vAlign w:val="center"/>
          </w:tcPr>
          <w:p w:rsidR="00657F08" w:rsidRDefault="00657F08">
            <w:pPr>
              <w:jc w:val="center"/>
              <w:rPr>
                <w:szCs w:val="21"/>
              </w:rPr>
            </w:pPr>
          </w:p>
          <w:p w:rsidR="00657F08" w:rsidRDefault="00550375">
            <w:pPr>
              <w:jc w:val="center"/>
              <w:rPr>
                <w:szCs w:val="21"/>
              </w:rPr>
            </w:pPr>
            <w:r>
              <w:rPr>
                <w:rFonts w:hint="eastAsia"/>
                <w:szCs w:val="21"/>
              </w:rPr>
              <w:t>综合污水处理站</w:t>
            </w:r>
          </w:p>
        </w:tc>
        <w:tc>
          <w:tcPr>
            <w:tcW w:w="942" w:type="dxa"/>
            <w:vAlign w:val="center"/>
          </w:tcPr>
          <w:p w:rsidR="00657F08" w:rsidRDefault="00550375">
            <w:pPr>
              <w:jc w:val="center"/>
              <w:rPr>
                <w:szCs w:val="21"/>
              </w:rPr>
            </w:pPr>
            <w:r>
              <w:rPr>
                <w:rFonts w:hint="eastAsia"/>
                <w:szCs w:val="21"/>
              </w:rPr>
              <w:t>1</w:t>
            </w:r>
          </w:p>
        </w:tc>
        <w:tc>
          <w:tcPr>
            <w:tcW w:w="1896" w:type="dxa"/>
            <w:vAlign w:val="center"/>
          </w:tcPr>
          <w:p w:rsidR="00657F08" w:rsidRDefault="00550375">
            <w:pPr>
              <w:jc w:val="center"/>
              <w:rPr>
                <w:szCs w:val="21"/>
              </w:rPr>
            </w:pPr>
            <w:r>
              <w:rPr>
                <w:rFonts w:hint="eastAsia"/>
                <w:szCs w:val="21"/>
              </w:rPr>
              <w:t>COD在线监测仪</w:t>
            </w:r>
          </w:p>
        </w:tc>
        <w:tc>
          <w:tcPr>
            <w:tcW w:w="1766" w:type="dxa"/>
            <w:vAlign w:val="center"/>
          </w:tcPr>
          <w:p w:rsidR="00657F08" w:rsidRDefault="00550375">
            <w:pPr>
              <w:jc w:val="center"/>
              <w:rPr>
                <w:szCs w:val="21"/>
              </w:rPr>
            </w:pPr>
            <w:r>
              <w:rPr>
                <w:rFonts w:hint="eastAsia"/>
                <w:szCs w:val="21"/>
              </w:rPr>
              <w:t>龙发LFH2001</w:t>
            </w:r>
          </w:p>
        </w:tc>
        <w:tc>
          <w:tcPr>
            <w:tcW w:w="888" w:type="dxa"/>
            <w:vAlign w:val="center"/>
          </w:tcPr>
          <w:p w:rsidR="00657F08" w:rsidRDefault="00550375">
            <w:pPr>
              <w:jc w:val="center"/>
              <w:rPr>
                <w:szCs w:val="21"/>
              </w:rPr>
            </w:pPr>
            <w:r>
              <w:rPr>
                <w:rFonts w:hint="eastAsia"/>
                <w:szCs w:val="21"/>
              </w:rPr>
              <w:t>1台</w:t>
            </w:r>
          </w:p>
        </w:tc>
        <w:tc>
          <w:tcPr>
            <w:tcW w:w="1606" w:type="dxa"/>
            <w:vAlign w:val="center"/>
          </w:tcPr>
          <w:p w:rsidR="00657F08" w:rsidRDefault="00550375">
            <w:pPr>
              <w:jc w:val="center"/>
              <w:rPr>
                <w:szCs w:val="21"/>
              </w:rPr>
            </w:pPr>
            <w:r>
              <w:rPr>
                <w:rFonts w:hint="eastAsia"/>
                <w:szCs w:val="21"/>
              </w:rPr>
              <w:t>化学需氧量</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2</w:t>
            </w:r>
          </w:p>
        </w:tc>
        <w:tc>
          <w:tcPr>
            <w:tcW w:w="1896" w:type="dxa"/>
            <w:vAlign w:val="center"/>
          </w:tcPr>
          <w:p w:rsidR="00657F08" w:rsidRDefault="00550375">
            <w:pPr>
              <w:jc w:val="center"/>
              <w:rPr>
                <w:szCs w:val="21"/>
              </w:rPr>
            </w:pPr>
            <w:r>
              <w:rPr>
                <w:rFonts w:hint="eastAsia"/>
                <w:szCs w:val="21"/>
              </w:rPr>
              <w:t>PH在线监测仪</w:t>
            </w:r>
          </w:p>
        </w:tc>
        <w:tc>
          <w:tcPr>
            <w:tcW w:w="1766" w:type="dxa"/>
            <w:vAlign w:val="center"/>
          </w:tcPr>
          <w:p w:rsidR="00657F08" w:rsidRDefault="00550375">
            <w:pPr>
              <w:jc w:val="center"/>
              <w:rPr>
                <w:szCs w:val="21"/>
              </w:rPr>
            </w:pPr>
            <w:r>
              <w:rPr>
                <w:rFonts w:hint="eastAsia"/>
                <w:szCs w:val="21"/>
              </w:rPr>
              <w:t>高山PH-030A</w:t>
            </w:r>
          </w:p>
        </w:tc>
        <w:tc>
          <w:tcPr>
            <w:tcW w:w="888" w:type="dxa"/>
            <w:vAlign w:val="center"/>
          </w:tcPr>
          <w:p w:rsidR="00657F08" w:rsidRDefault="00550375">
            <w:pPr>
              <w:jc w:val="center"/>
              <w:rPr>
                <w:szCs w:val="21"/>
              </w:rPr>
            </w:pPr>
            <w:r>
              <w:rPr>
                <w:rFonts w:hint="eastAsia"/>
                <w:szCs w:val="21"/>
              </w:rPr>
              <w:t>1台</w:t>
            </w:r>
          </w:p>
        </w:tc>
        <w:tc>
          <w:tcPr>
            <w:tcW w:w="1606" w:type="dxa"/>
            <w:vAlign w:val="center"/>
          </w:tcPr>
          <w:p w:rsidR="00657F08" w:rsidRDefault="00550375">
            <w:pPr>
              <w:jc w:val="center"/>
              <w:rPr>
                <w:szCs w:val="21"/>
              </w:rPr>
            </w:pPr>
            <w:r>
              <w:rPr>
                <w:rFonts w:hint="eastAsia"/>
                <w:szCs w:val="21"/>
              </w:rPr>
              <w:t>PH值</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3</w:t>
            </w:r>
          </w:p>
        </w:tc>
        <w:tc>
          <w:tcPr>
            <w:tcW w:w="1896" w:type="dxa"/>
            <w:vAlign w:val="center"/>
          </w:tcPr>
          <w:p w:rsidR="00657F08" w:rsidRDefault="00550375">
            <w:pPr>
              <w:jc w:val="center"/>
              <w:rPr>
                <w:szCs w:val="21"/>
              </w:rPr>
            </w:pPr>
            <w:r>
              <w:rPr>
                <w:rFonts w:hint="eastAsia"/>
                <w:szCs w:val="21"/>
              </w:rPr>
              <w:t>数据采集器</w:t>
            </w:r>
          </w:p>
        </w:tc>
        <w:tc>
          <w:tcPr>
            <w:tcW w:w="1766" w:type="dxa"/>
            <w:vAlign w:val="center"/>
          </w:tcPr>
          <w:p w:rsidR="00657F08" w:rsidRDefault="00550375">
            <w:pPr>
              <w:jc w:val="center"/>
              <w:rPr>
                <w:szCs w:val="21"/>
              </w:rPr>
            </w:pPr>
            <w:r>
              <w:rPr>
                <w:rFonts w:hint="eastAsia"/>
                <w:szCs w:val="21"/>
              </w:rPr>
              <w:t>世纪融创S01</w:t>
            </w:r>
          </w:p>
        </w:tc>
        <w:tc>
          <w:tcPr>
            <w:tcW w:w="888" w:type="dxa"/>
            <w:vAlign w:val="center"/>
          </w:tcPr>
          <w:p w:rsidR="00657F08" w:rsidRDefault="00550375">
            <w:pPr>
              <w:jc w:val="center"/>
              <w:rPr>
                <w:szCs w:val="21"/>
              </w:rPr>
            </w:pPr>
            <w:r>
              <w:rPr>
                <w:rFonts w:hint="eastAsia"/>
                <w:szCs w:val="21"/>
              </w:rPr>
              <w:t>1台</w:t>
            </w:r>
          </w:p>
        </w:tc>
        <w:tc>
          <w:tcPr>
            <w:tcW w:w="1606" w:type="dxa"/>
            <w:vAlign w:val="center"/>
          </w:tcPr>
          <w:p w:rsidR="00657F08" w:rsidRDefault="00550375">
            <w:pPr>
              <w:jc w:val="center"/>
              <w:rPr>
                <w:szCs w:val="21"/>
              </w:rPr>
            </w:pPr>
            <w:r>
              <w:rPr>
                <w:rFonts w:hint="eastAsia"/>
                <w:szCs w:val="21"/>
              </w:rPr>
              <w:t>采集、上传数据</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4</w:t>
            </w:r>
          </w:p>
        </w:tc>
        <w:tc>
          <w:tcPr>
            <w:tcW w:w="1896" w:type="dxa"/>
            <w:vAlign w:val="center"/>
          </w:tcPr>
          <w:p w:rsidR="00657F08" w:rsidRDefault="00550375">
            <w:pPr>
              <w:jc w:val="center"/>
              <w:rPr>
                <w:szCs w:val="21"/>
              </w:rPr>
            </w:pPr>
            <w:r>
              <w:rPr>
                <w:rFonts w:hint="eastAsia"/>
                <w:szCs w:val="21"/>
              </w:rPr>
              <w:t>超声波明渠流量计</w:t>
            </w:r>
          </w:p>
        </w:tc>
        <w:tc>
          <w:tcPr>
            <w:tcW w:w="1766" w:type="dxa"/>
            <w:vAlign w:val="center"/>
          </w:tcPr>
          <w:p w:rsidR="00657F08" w:rsidRDefault="00550375">
            <w:pPr>
              <w:jc w:val="center"/>
              <w:rPr>
                <w:szCs w:val="21"/>
              </w:rPr>
            </w:pPr>
            <w:r>
              <w:rPr>
                <w:rFonts w:hint="eastAsia"/>
                <w:szCs w:val="21"/>
              </w:rPr>
              <w:t>九波声迪WL-1A1</w:t>
            </w:r>
          </w:p>
        </w:tc>
        <w:tc>
          <w:tcPr>
            <w:tcW w:w="888" w:type="dxa"/>
            <w:vAlign w:val="center"/>
          </w:tcPr>
          <w:p w:rsidR="00657F08" w:rsidRDefault="00550375">
            <w:pPr>
              <w:jc w:val="center"/>
              <w:rPr>
                <w:szCs w:val="21"/>
              </w:rPr>
            </w:pPr>
            <w:r>
              <w:rPr>
                <w:rFonts w:hint="eastAsia"/>
                <w:szCs w:val="21"/>
              </w:rPr>
              <w:t>1台</w:t>
            </w:r>
          </w:p>
        </w:tc>
        <w:tc>
          <w:tcPr>
            <w:tcW w:w="1606" w:type="dxa"/>
            <w:vAlign w:val="center"/>
          </w:tcPr>
          <w:p w:rsidR="00657F08" w:rsidRDefault="00550375">
            <w:pPr>
              <w:jc w:val="center"/>
              <w:rPr>
                <w:szCs w:val="21"/>
              </w:rPr>
            </w:pPr>
            <w:r>
              <w:rPr>
                <w:rFonts w:hint="eastAsia"/>
                <w:szCs w:val="21"/>
              </w:rPr>
              <w:t>废水流量</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5</w:t>
            </w:r>
          </w:p>
        </w:tc>
        <w:tc>
          <w:tcPr>
            <w:tcW w:w="1896" w:type="dxa"/>
            <w:vAlign w:val="center"/>
          </w:tcPr>
          <w:p w:rsidR="00657F08" w:rsidRDefault="00550375">
            <w:pPr>
              <w:jc w:val="center"/>
              <w:rPr>
                <w:szCs w:val="21"/>
              </w:rPr>
            </w:pPr>
            <w:r>
              <w:rPr>
                <w:rFonts w:hint="eastAsia"/>
                <w:szCs w:val="21"/>
              </w:rPr>
              <w:t>采样预处理系统</w:t>
            </w:r>
          </w:p>
        </w:tc>
        <w:tc>
          <w:tcPr>
            <w:tcW w:w="1766" w:type="dxa"/>
            <w:vAlign w:val="center"/>
          </w:tcPr>
          <w:p w:rsidR="00657F08" w:rsidRDefault="00657F08">
            <w:pPr>
              <w:jc w:val="center"/>
              <w:rPr>
                <w:szCs w:val="21"/>
              </w:rPr>
            </w:pPr>
          </w:p>
        </w:tc>
        <w:tc>
          <w:tcPr>
            <w:tcW w:w="888" w:type="dxa"/>
            <w:vAlign w:val="center"/>
          </w:tcPr>
          <w:p w:rsidR="00657F08" w:rsidRDefault="00550375">
            <w:pPr>
              <w:jc w:val="center"/>
              <w:rPr>
                <w:szCs w:val="21"/>
              </w:rPr>
            </w:pPr>
            <w:r>
              <w:rPr>
                <w:rFonts w:hint="eastAsia"/>
                <w:szCs w:val="21"/>
              </w:rPr>
              <w:t>1套</w:t>
            </w:r>
          </w:p>
        </w:tc>
        <w:tc>
          <w:tcPr>
            <w:tcW w:w="1606" w:type="dxa"/>
            <w:vAlign w:val="center"/>
          </w:tcPr>
          <w:p w:rsidR="00657F08" w:rsidRDefault="00657F08">
            <w:pPr>
              <w:jc w:val="center"/>
              <w:rPr>
                <w:szCs w:val="21"/>
              </w:rPr>
            </w:pPr>
          </w:p>
        </w:tc>
      </w:tr>
      <w:tr w:rsidR="00657F08">
        <w:tc>
          <w:tcPr>
            <w:tcW w:w="1419" w:type="dxa"/>
            <w:vMerge w:val="restart"/>
            <w:vAlign w:val="center"/>
          </w:tcPr>
          <w:p w:rsidR="00657F08" w:rsidRDefault="00550375">
            <w:pPr>
              <w:jc w:val="center"/>
              <w:rPr>
                <w:szCs w:val="21"/>
              </w:rPr>
            </w:pPr>
            <w:r>
              <w:rPr>
                <w:rFonts w:hint="eastAsia"/>
                <w:szCs w:val="21"/>
              </w:rPr>
              <w:t>传染污水处理站</w:t>
            </w:r>
          </w:p>
        </w:tc>
        <w:tc>
          <w:tcPr>
            <w:tcW w:w="942" w:type="dxa"/>
            <w:vAlign w:val="center"/>
          </w:tcPr>
          <w:p w:rsidR="00657F08" w:rsidRDefault="00550375">
            <w:pPr>
              <w:jc w:val="center"/>
              <w:rPr>
                <w:szCs w:val="21"/>
              </w:rPr>
            </w:pPr>
            <w:r>
              <w:rPr>
                <w:rFonts w:hint="eastAsia"/>
                <w:szCs w:val="21"/>
              </w:rPr>
              <w:t>6</w:t>
            </w:r>
          </w:p>
        </w:tc>
        <w:tc>
          <w:tcPr>
            <w:tcW w:w="1896" w:type="dxa"/>
            <w:vAlign w:val="center"/>
          </w:tcPr>
          <w:p w:rsidR="00657F08" w:rsidRDefault="00550375">
            <w:pPr>
              <w:jc w:val="center"/>
              <w:rPr>
                <w:szCs w:val="21"/>
              </w:rPr>
            </w:pPr>
            <w:r>
              <w:rPr>
                <w:rFonts w:hint="eastAsia"/>
                <w:szCs w:val="21"/>
              </w:rPr>
              <w:t>COD在线监测仪</w:t>
            </w:r>
          </w:p>
        </w:tc>
        <w:tc>
          <w:tcPr>
            <w:tcW w:w="1766" w:type="dxa"/>
            <w:vAlign w:val="center"/>
          </w:tcPr>
          <w:p w:rsidR="00657F08" w:rsidRDefault="00550375">
            <w:pPr>
              <w:jc w:val="center"/>
              <w:rPr>
                <w:szCs w:val="21"/>
              </w:rPr>
            </w:pPr>
            <w:r>
              <w:rPr>
                <w:rFonts w:hint="eastAsia"/>
                <w:szCs w:val="21"/>
              </w:rPr>
              <w:t>皖仪WS150</w:t>
            </w:r>
          </w:p>
        </w:tc>
        <w:tc>
          <w:tcPr>
            <w:tcW w:w="888" w:type="dxa"/>
            <w:vAlign w:val="center"/>
          </w:tcPr>
          <w:p w:rsidR="00657F08" w:rsidRDefault="00550375">
            <w:pPr>
              <w:jc w:val="center"/>
              <w:rPr>
                <w:szCs w:val="21"/>
              </w:rPr>
            </w:pPr>
            <w:r>
              <w:rPr>
                <w:rFonts w:hint="eastAsia"/>
                <w:szCs w:val="21"/>
              </w:rPr>
              <w:t>1台</w:t>
            </w:r>
          </w:p>
        </w:tc>
        <w:tc>
          <w:tcPr>
            <w:tcW w:w="1606" w:type="dxa"/>
            <w:vAlign w:val="center"/>
          </w:tcPr>
          <w:p w:rsidR="00657F08" w:rsidRDefault="00550375">
            <w:pPr>
              <w:jc w:val="center"/>
              <w:rPr>
                <w:szCs w:val="21"/>
              </w:rPr>
            </w:pPr>
            <w:r>
              <w:rPr>
                <w:rFonts w:hint="eastAsia"/>
                <w:szCs w:val="21"/>
              </w:rPr>
              <w:t>化学需氧量</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7</w:t>
            </w:r>
          </w:p>
        </w:tc>
        <w:tc>
          <w:tcPr>
            <w:tcW w:w="1896" w:type="dxa"/>
            <w:vAlign w:val="center"/>
          </w:tcPr>
          <w:p w:rsidR="00657F08" w:rsidRDefault="00550375">
            <w:pPr>
              <w:jc w:val="center"/>
              <w:rPr>
                <w:szCs w:val="21"/>
              </w:rPr>
            </w:pPr>
            <w:r>
              <w:rPr>
                <w:rFonts w:hint="eastAsia"/>
                <w:szCs w:val="21"/>
              </w:rPr>
              <w:t>PH在线监测仪</w:t>
            </w:r>
          </w:p>
        </w:tc>
        <w:tc>
          <w:tcPr>
            <w:tcW w:w="1766" w:type="dxa"/>
            <w:vAlign w:val="center"/>
          </w:tcPr>
          <w:p w:rsidR="00657F08" w:rsidRDefault="00550375">
            <w:pPr>
              <w:jc w:val="center"/>
              <w:rPr>
                <w:szCs w:val="21"/>
              </w:rPr>
            </w:pPr>
            <w:r>
              <w:rPr>
                <w:rFonts w:hint="eastAsia"/>
                <w:szCs w:val="21"/>
              </w:rPr>
              <w:t>GP801</w:t>
            </w:r>
          </w:p>
        </w:tc>
        <w:tc>
          <w:tcPr>
            <w:tcW w:w="888" w:type="dxa"/>
            <w:vAlign w:val="center"/>
          </w:tcPr>
          <w:p w:rsidR="00657F08" w:rsidRDefault="00550375">
            <w:pPr>
              <w:jc w:val="center"/>
              <w:rPr>
                <w:szCs w:val="21"/>
              </w:rPr>
            </w:pPr>
            <w:r>
              <w:rPr>
                <w:rFonts w:hint="eastAsia"/>
                <w:szCs w:val="21"/>
              </w:rPr>
              <w:t>1台</w:t>
            </w:r>
          </w:p>
        </w:tc>
        <w:tc>
          <w:tcPr>
            <w:tcW w:w="1606" w:type="dxa"/>
            <w:vAlign w:val="center"/>
          </w:tcPr>
          <w:p w:rsidR="00657F08" w:rsidRDefault="00550375">
            <w:pPr>
              <w:jc w:val="center"/>
              <w:rPr>
                <w:szCs w:val="21"/>
              </w:rPr>
            </w:pPr>
            <w:r>
              <w:rPr>
                <w:rFonts w:hint="eastAsia"/>
                <w:szCs w:val="21"/>
              </w:rPr>
              <w:t>PH值</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8</w:t>
            </w:r>
          </w:p>
        </w:tc>
        <w:tc>
          <w:tcPr>
            <w:tcW w:w="1896" w:type="dxa"/>
            <w:vAlign w:val="center"/>
          </w:tcPr>
          <w:p w:rsidR="00657F08" w:rsidRDefault="00550375">
            <w:pPr>
              <w:jc w:val="center"/>
              <w:rPr>
                <w:szCs w:val="21"/>
              </w:rPr>
            </w:pPr>
            <w:r>
              <w:rPr>
                <w:rFonts w:hint="eastAsia"/>
                <w:szCs w:val="21"/>
              </w:rPr>
              <w:t>数据采集器</w:t>
            </w:r>
          </w:p>
        </w:tc>
        <w:tc>
          <w:tcPr>
            <w:tcW w:w="1766" w:type="dxa"/>
            <w:vAlign w:val="center"/>
          </w:tcPr>
          <w:p w:rsidR="00657F08" w:rsidRDefault="00550375">
            <w:pPr>
              <w:jc w:val="center"/>
              <w:rPr>
                <w:szCs w:val="21"/>
              </w:rPr>
            </w:pPr>
            <w:r>
              <w:rPr>
                <w:rFonts w:hint="eastAsia"/>
                <w:szCs w:val="21"/>
              </w:rPr>
              <w:t>广达远GM-400</w:t>
            </w:r>
          </w:p>
        </w:tc>
        <w:tc>
          <w:tcPr>
            <w:tcW w:w="888" w:type="dxa"/>
            <w:vAlign w:val="center"/>
          </w:tcPr>
          <w:p w:rsidR="00657F08" w:rsidRDefault="00550375">
            <w:pPr>
              <w:jc w:val="center"/>
              <w:rPr>
                <w:szCs w:val="21"/>
              </w:rPr>
            </w:pPr>
            <w:r>
              <w:rPr>
                <w:rFonts w:hint="eastAsia"/>
                <w:szCs w:val="21"/>
              </w:rPr>
              <w:t>1台</w:t>
            </w:r>
          </w:p>
        </w:tc>
        <w:tc>
          <w:tcPr>
            <w:tcW w:w="1606" w:type="dxa"/>
            <w:vAlign w:val="center"/>
          </w:tcPr>
          <w:p w:rsidR="00657F08" w:rsidRDefault="00550375">
            <w:pPr>
              <w:jc w:val="center"/>
              <w:rPr>
                <w:szCs w:val="21"/>
              </w:rPr>
            </w:pPr>
            <w:r>
              <w:rPr>
                <w:rFonts w:hint="eastAsia"/>
                <w:szCs w:val="21"/>
              </w:rPr>
              <w:t>采集、上传数据</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9</w:t>
            </w:r>
          </w:p>
        </w:tc>
        <w:tc>
          <w:tcPr>
            <w:tcW w:w="1896" w:type="dxa"/>
            <w:vAlign w:val="center"/>
          </w:tcPr>
          <w:p w:rsidR="00657F08" w:rsidRDefault="00550375">
            <w:pPr>
              <w:jc w:val="center"/>
              <w:rPr>
                <w:szCs w:val="21"/>
              </w:rPr>
            </w:pPr>
            <w:r>
              <w:rPr>
                <w:rFonts w:hint="eastAsia"/>
                <w:szCs w:val="21"/>
              </w:rPr>
              <w:t>超声波明渠流量</w:t>
            </w:r>
            <w:r>
              <w:rPr>
                <w:rFonts w:hint="eastAsia"/>
                <w:szCs w:val="21"/>
              </w:rPr>
              <w:lastRenderedPageBreak/>
              <w:t>计</w:t>
            </w:r>
          </w:p>
        </w:tc>
        <w:tc>
          <w:tcPr>
            <w:tcW w:w="1766" w:type="dxa"/>
            <w:vAlign w:val="center"/>
          </w:tcPr>
          <w:p w:rsidR="00657F08" w:rsidRDefault="00550375">
            <w:pPr>
              <w:jc w:val="center"/>
              <w:rPr>
                <w:szCs w:val="21"/>
              </w:rPr>
            </w:pPr>
            <w:r>
              <w:rPr>
                <w:rFonts w:hint="eastAsia"/>
                <w:szCs w:val="21"/>
              </w:rPr>
              <w:lastRenderedPageBreak/>
              <w:t>九波声迪WL-</w:t>
            </w:r>
            <w:r>
              <w:rPr>
                <w:rFonts w:hint="eastAsia"/>
                <w:szCs w:val="21"/>
              </w:rPr>
              <w:lastRenderedPageBreak/>
              <w:t>1A1</w:t>
            </w:r>
          </w:p>
        </w:tc>
        <w:tc>
          <w:tcPr>
            <w:tcW w:w="888" w:type="dxa"/>
            <w:vAlign w:val="center"/>
          </w:tcPr>
          <w:p w:rsidR="00657F08" w:rsidRDefault="00550375">
            <w:pPr>
              <w:jc w:val="center"/>
              <w:rPr>
                <w:szCs w:val="21"/>
              </w:rPr>
            </w:pPr>
            <w:r>
              <w:rPr>
                <w:rFonts w:hint="eastAsia"/>
                <w:szCs w:val="21"/>
              </w:rPr>
              <w:lastRenderedPageBreak/>
              <w:t>1台</w:t>
            </w:r>
          </w:p>
        </w:tc>
        <w:tc>
          <w:tcPr>
            <w:tcW w:w="1606" w:type="dxa"/>
            <w:vAlign w:val="center"/>
          </w:tcPr>
          <w:p w:rsidR="00657F08" w:rsidRDefault="00550375">
            <w:pPr>
              <w:jc w:val="center"/>
              <w:rPr>
                <w:szCs w:val="21"/>
              </w:rPr>
            </w:pPr>
            <w:r>
              <w:rPr>
                <w:rFonts w:hint="eastAsia"/>
                <w:szCs w:val="21"/>
              </w:rPr>
              <w:t>废水流量</w:t>
            </w:r>
          </w:p>
        </w:tc>
      </w:tr>
      <w:tr w:rsidR="00657F08">
        <w:tc>
          <w:tcPr>
            <w:tcW w:w="1419" w:type="dxa"/>
            <w:vMerge/>
            <w:vAlign w:val="center"/>
          </w:tcPr>
          <w:p w:rsidR="00657F08" w:rsidRDefault="00657F08">
            <w:pPr>
              <w:jc w:val="center"/>
              <w:rPr>
                <w:szCs w:val="21"/>
              </w:rPr>
            </w:pPr>
          </w:p>
        </w:tc>
        <w:tc>
          <w:tcPr>
            <w:tcW w:w="942" w:type="dxa"/>
            <w:vAlign w:val="center"/>
          </w:tcPr>
          <w:p w:rsidR="00657F08" w:rsidRDefault="00550375">
            <w:pPr>
              <w:jc w:val="center"/>
              <w:rPr>
                <w:szCs w:val="21"/>
              </w:rPr>
            </w:pPr>
            <w:r>
              <w:rPr>
                <w:rFonts w:hint="eastAsia"/>
                <w:szCs w:val="21"/>
              </w:rPr>
              <w:t>10</w:t>
            </w:r>
          </w:p>
        </w:tc>
        <w:tc>
          <w:tcPr>
            <w:tcW w:w="1896" w:type="dxa"/>
            <w:vAlign w:val="center"/>
          </w:tcPr>
          <w:p w:rsidR="00657F08" w:rsidRDefault="00550375">
            <w:pPr>
              <w:jc w:val="center"/>
              <w:rPr>
                <w:szCs w:val="21"/>
              </w:rPr>
            </w:pPr>
            <w:r>
              <w:rPr>
                <w:rFonts w:hint="eastAsia"/>
                <w:szCs w:val="21"/>
              </w:rPr>
              <w:t>采样预处理系统</w:t>
            </w:r>
          </w:p>
        </w:tc>
        <w:tc>
          <w:tcPr>
            <w:tcW w:w="1766" w:type="dxa"/>
            <w:vAlign w:val="center"/>
          </w:tcPr>
          <w:p w:rsidR="00657F08" w:rsidRDefault="00657F08">
            <w:pPr>
              <w:jc w:val="center"/>
              <w:rPr>
                <w:szCs w:val="21"/>
              </w:rPr>
            </w:pPr>
          </w:p>
        </w:tc>
        <w:tc>
          <w:tcPr>
            <w:tcW w:w="888" w:type="dxa"/>
            <w:vAlign w:val="center"/>
          </w:tcPr>
          <w:p w:rsidR="00657F08" w:rsidRDefault="00550375">
            <w:pPr>
              <w:jc w:val="center"/>
              <w:rPr>
                <w:szCs w:val="21"/>
              </w:rPr>
            </w:pPr>
            <w:r>
              <w:rPr>
                <w:rFonts w:hint="eastAsia"/>
                <w:szCs w:val="21"/>
              </w:rPr>
              <w:t>1套</w:t>
            </w:r>
          </w:p>
        </w:tc>
        <w:tc>
          <w:tcPr>
            <w:tcW w:w="1606" w:type="dxa"/>
            <w:vAlign w:val="center"/>
          </w:tcPr>
          <w:p w:rsidR="00657F08" w:rsidRDefault="00657F08">
            <w:pPr>
              <w:jc w:val="center"/>
              <w:rPr>
                <w:szCs w:val="21"/>
              </w:rPr>
            </w:pPr>
          </w:p>
        </w:tc>
      </w:tr>
    </w:tbl>
    <w:p w:rsidR="00657F08" w:rsidRDefault="00550375">
      <w:pPr>
        <w:rPr>
          <w:sz w:val="24"/>
          <w:szCs w:val="24"/>
        </w:rPr>
      </w:pPr>
      <w:r>
        <w:rPr>
          <w:rFonts w:hint="eastAsia"/>
          <w:sz w:val="24"/>
          <w:szCs w:val="24"/>
        </w:rPr>
        <w:br w:type="page"/>
      </w:r>
    </w:p>
    <w:p w:rsidR="00657F08" w:rsidRDefault="00550375">
      <w:pPr>
        <w:spacing w:line="360" w:lineRule="auto"/>
        <w:rPr>
          <w:rFonts w:ascii="宋体" w:hAnsi="宋体" w:cs="宋体"/>
          <w:bCs/>
          <w:sz w:val="24"/>
          <w:szCs w:val="24"/>
        </w:rPr>
      </w:pPr>
      <w:r>
        <w:rPr>
          <w:rFonts w:hint="eastAsia"/>
          <w:sz w:val="24"/>
          <w:szCs w:val="24"/>
        </w:rPr>
        <w:lastRenderedPageBreak/>
        <w:t>附件一：</w:t>
      </w:r>
      <w:r>
        <w:rPr>
          <w:rFonts w:ascii="宋体" w:hAnsi="宋体" w:cs="宋体" w:hint="eastAsia"/>
          <w:bCs/>
          <w:sz w:val="24"/>
          <w:szCs w:val="24"/>
        </w:rPr>
        <w:t>《污水处理在线监测服务综合评价表》</w:t>
      </w:r>
    </w:p>
    <w:p w:rsidR="00657F08" w:rsidRDefault="00550375">
      <w:pPr>
        <w:spacing w:line="360" w:lineRule="auto"/>
        <w:rPr>
          <w:rFonts w:ascii="宋体" w:hAnsi="宋体" w:cs="宋体"/>
          <w:bCs/>
          <w:sz w:val="24"/>
          <w:szCs w:val="24"/>
        </w:rPr>
      </w:pPr>
      <w:r>
        <w:rPr>
          <w:rFonts w:ascii="宋体" w:hAnsi="宋体" w:cs="宋体" w:hint="eastAsia"/>
          <w:bCs/>
          <w:sz w:val="24"/>
          <w:szCs w:val="24"/>
        </w:rPr>
        <w:t>考评时间：</w:t>
      </w:r>
    </w:p>
    <w:tbl>
      <w:tblPr>
        <w:tblW w:w="8212"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03"/>
        <w:gridCol w:w="873"/>
        <w:gridCol w:w="2833"/>
        <w:gridCol w:w="1213"/>
        <w:gridCol w:w="1192"/>
        <w:gridCol w:w="1198"/>
      </w:tblGrid>
      <w:tr w:rsidR="00657F08" w:rsidTr="0057358A">
        <w:tc>
          <w:tcPr>
            <w:tcW w:w="903" w:type="dxa"/>
            <w:tcBorders>
              <w:top w:val="single" w:sz="4" w:space="0" w:color="000000"/>
              <w:left w:val="single" w:sz="4" w:space="0" w:color="000000"/>
              <w:bottom w:val="single" w:sz="4" w:space="0" w:color="000000"/>
              <w:right w:val="single" w:sz="4" w:space="0" w:color="000000"/>
            </w:tcBorders>
          </w:tcPr>
          <w:p w:rsidR="00657F08" w:rsidRDefault="00550375">
            <w:pPr>
              <w:jc w:val="center"/>
              <w:rPr>
                <w:rFonts w:ascii="宋体" w:hAnsi="宋体" w:cs="宋体"/>
                <w:sz w:val="24"/>
                <w:szCs w:val="24"/>
              </w:rPr>
            </w:pPr>
            <w:r>
              <w:rPr>
                <w:rFonts w:ascii="宋体" w:hAnsi="宋体" w:cs="宋体" w:hint="eastAsia"/>
                <w:b/>
                <w:sz w:val="24"/>
                <w:szCs w:val="24"/>
              </w:rPr>
              <w:t>类别</w:t>
            </w:r>
          </w:p>
        </w:tc>
        <w:tc>
          <w:tcPr>
            <w:tcW w:w="873" w:type="dxa"/>
            <w:tcBorders>
              <w:top w:val="single" w:sz="4" w:space="0" w:color="000000"/>
              <w:left w:val="nil"/>
              <w:bottom w:val="single" w:sz="4" w:space="0" w:color="000000"/>
              <w:right w:val="single" w:sz="4" w:space="0" w:color="000000"/>
            </w:tcBorders>
          </w:tcPr>
          <w:p w:rsidR="00657F08" w:rsidRDefault="00550375">
            <w:pPr>
              <w:jc w:val="center"/>
              <w:rPr>
                <w:rFonts w:ascii="宋体" w:hAnsi="宋体" w:cs="宋体"/>
                <w:sz w:val="24"/>
                <w:szCs w:val="24"/>
              </w:rPr>
            </w:pPr>
            <w:r>
              <w:rPr>
                <w:rFonts w:ascii="宋体" w:hAnsi="宋体" w:cs="宋体" w:hint="eastAsia"/>
                <w:b/>
                <w:sz w:val="24"/>
                <w:szCs w:val="24"/>
              </w:rPr>
              <w:t>序号</w:t>
            </w:r>
          </w:p>
        </w:tc>
        <w:tc>
          <w:tcPr>
            <w:tcW w:w="2833" w:type="dxa"/>
            <w:tcBorders>
              <w:top w:val="single" w:sz="4" w:space="0" w:color="000000"/>
              <w:left w:val="nil"/>
              <w:bottom w:val="single" w:sz="4" w:space="0" w:color="000000"/>
              <w:right w:val="single" w:sz="4" w:space="0" w:color="000000"/>
            </w:tcBorders>
          </w:tcPr>
          <w:p w:rsidR="00657F08" w:rsidRDefault="00550375">
            <w:pPr>
              <w:jc w:val="center"/>
              <w:rPr>
                <w:rFonts w:ascii="宋体" w:hAnsi="宋体" w:cs="宋体"/>
                <w:sz w:val="24"/>
                <w:szCs w:val="24"/>
              </w:rPr>
            </w:pPr>
            <w:r>
              <w:rPr>
                <w:rFonts w:ascii="宋体" w:hAnsi="宋体" w:cs="宋体" w:hint="eastAsia"/>
                <w:b/>
                <w:sz w:val="24"/>
                <w:szCs w:val="24"/>
              </w:rPr>
              <w:t>考核内容</w:t>
            </w:r>
          </w:p>
        </w:tc>
        <w:tc>
          <w:tcPr>
            <w:tcW w:w="1213" w:type="dxa"/>
            <w:tcBorders>
              <w:top w:val="single" w:sz="4" w:space="0" w:color="000000"/>
              <w:left w:val="nil"/>
              <w:bottom w:val="single" w:sz="4" w:space="0" w:color="000000"/>
              <w:right w:val="single" w:sz="4" w:space="0" w:color="000000"/>
            </w:tcBorders>
          </w:tcPr>
          <w:p w:rsidR="00657F08" w:rsidRDefault="00550375">
            <w:pPr>
              <w:jc w:val="center"/>
              <w:rPr>
                <w:rFonts w:ascii="宋体" w:hAnsi="宋体" w:cs="宋体"/>
                <w:sz w:val="24"/>
                <w:szCs w:val="24"/>
              </w:rPr>
            </w:pPr>
            <w:r>
              <w:rPr>
                <w:rFonts w:ascii="宋体" w:hAnsi="宋体" w:cs="宋体" w:hint="eastAsia"/>
                <w:b/>
                <w:sz w:val="24"/>
                <w:szCs w:val="24"/>
              </w:rPr>
              <w:t>扣分原因</w:t>
            </w:r>
          </w:p>
        </w:tc>
        <w:tc>
          <w:tcPr>
            <w:tcW w:w="1192" w:type="dxa"/>
            <w:tcBorders>
              <w:top w:val="single" w:sz="4" w:space="0" w:color="000000"/>
              <w:left w:val="nil"/>
              <w:bottom w:val="single" w:sz="4" w:space="0" w:color="000000"/>
              <w:right w:val="single" w:sz="4" w:space="0" w:color="000000"/>
            </w:tcBorders>
          </w:tcPr>
          <w:p w:rsidR="00657F08" w:rsidRDefault="00550375">
            <w:pPr>
              <w:jc w:val="center"/>
              <w:rPr>
                <w:rFonts w:ascii="宋体" w:hAnsi="宋体" w:cs="宋体"/>
                <w:sz w:val="24"/>
                <w:szCs w:val="24"/>
              </w:rPr>
            </w:pPr>
            <w:r>
              <w:rPr>
                <w:rFonts w:ascii="宋体" w:hAnsi="宋体" w:cs="宋体" w:hint="eastAsia"/>
                <w:b/>
                <w:sz w:val="24"/>
                <w:szCs w:val="24"/>
              </w:rPr>
              <w:t>每项扣分</w:t>
            </w:r>
          </w:p>
        </w:tc>
        <w:tc>
          <w:tcPr>
            <w:tcW w:w="1198" w:type="dxa"/>
            <w:tcBorders>
              <w:top w:val="single" w:sz="4" w:space="0" w:color="000000"/>
              <w:left w:val="nil"/>
              <w:bottom w:val="single" w:sz="4" w:space="0" w:color="000000"/>
              <w:right w:val="single" w:sz="4" w:space="0" w:color="000000"/>
            </w:tcBorders>
          </w:tcPr>
          <w:p w:rsidR="00657F08" w:rsidRDefault="00550375">
            <w:pPr>
              <w:jc w:val="center"/>
              <w:rPr>
                <w:rFonts w:ascii="宋体" w:eastAsia="宋体" w:hAnsi="宋体" w:cs="宋体"/>
                <w:b/>
                <w:sz w:val="24"/>
                <w:szCs w:val="24"/>
              </w:rPr>
            </w:pPr>
            <w:r>
              <w:rPr>
                <w:rFonts w:ascii="宋体" w:hAnsi="宋体" w:cs="宋体"/>
                <w:b/>
                <w:sz w:val="24"/>
                <w:szCs w:val="24"/>
              </w:rPr>
              <w:t>备注</w:t>
            </w:r>
          </w:p>
        </w:tc>
      </w:tr>
      <w:tr w:rsidR="00657F08" w:rsidTr="0057358A">
        <w:tc>
          <w:tcPr>
            <w:tcW w:w="903" w:type="dxa"/>
            <w:vMerge w:val="restart"/>
            <w:tcBorders>
              <w:top w:val="nil"/>
              <w:left w:val="single" w:sz="4" w:space="0" w:color="auto"/>
              <w:right w:val="single" w:sz="4" w:space="0" w:color="000000"/>
            </w:tcBorders>
          </w:tcPr>
          <w:p w:rsidR="00657F08" w:rsidRDefault="00657F08">
            <w:pPr>
              <w:jc w:val="center"/>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657F08">
            <w:pPr>
              <w:jc w:val="left"/>
              <w:rPr>
                <w:rFonts w:ascii="宋体" w:eastAsia="宋体" w:hAnsi="宋体" w:cs="宋体"/>
                <w:sz w:val="24"/>
                <w:szCs w:val="24"/>
              </w:rPr>
            </w:pPr>
          </w:p>
          <w:p w:rsidR="00657F08" w:rsidRDefault="00550375">
            <w:pPr>
              <w:jc w:val="center"/>
              <w:rPr>
                <w:rFonts w:ascii="宋体" w:eastAsia="宋体" w:hAnsi="宋体" w:cs="宋体"/>
                <w:sz w:val="24"/>
                <w:szCs w:val="24"/>
              </w:rPr>
            </w:pPr>
            <w:r>
              <w:rPr>
                <w:rFonts w:ascii="宋体" w:eastAsia="宋体" w:hAnsi="宋体" w:cs="宋体" w:hint="eastAsia"/>
                <w:sz w:val="24"/>
                <w:szCs w:val="24"/>
              </w:rPr>
              <w:t>污水处理在线监测服务扣分明细</w:t>
            </w:r>
          </w:p>
        </w:tc>
        <w:tc>
          <w:tcPr>
            <w:tcW w:w="873" w:type="dxa"/>
            <w:tcBorders>
              <w:top w:val="nil"/>
              <w:left w:val="nil"/>
              <w:bottom w:val="single" w:sz="4" w:space="0" w:color="000000"/>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1</w:t>
            </w:r>
          </w:p>
        </w:tc>
        <w:tc>
          <w:tcPr>
            <w:tcW w:w="2833" w:type="dxa"/>
            <w:tcBorders>
              <w:top w:val="nil"/>
              <w:left w:val="nil"/>
              <w:bottom w:val="single" w:sz="4" w:space="0" w:color="000000"/>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每月对在线监测仪器运行所需要的试剂按统一的标准配置或更换，不符合要求扣2分/次。</w:t>
            </w:r>
          </w:p>
        </w:tc>
        <w:tc>
          <w:tcPr>
            <w:tcW w:w="1213"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2"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8"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r>
      <w:tr w:rsidR="00657F08" w:rsidTr="0057358A">
        <w:tc>
          <w:tcPr>
            <w:tcW w:w="903" w:type="dxa"/>
            <w:vMerge/>
            <w:tcBorders>
              <w:left w:val="single" w:sz="4" w:space="0" w:color="auto"/>
              <w:right w:val="single" w:sz="4" w:space="0" w:color="000000"/>
            </w:tcBorders>
          </w:tcPr>
          <w:p w:rsidR="00657F08" w:rsidRDefault="00657F08">
            <w:pPr>
              <w:rPr>
                <w:rFonts w:ascii="宋体" w:eastAsia="宋体" w:hAnsi="宋体" w:cs="宋体"/>
                <w:sz w:val="24"/>
                <w:szCs w:val="24"/>
              </w:rPr>
            </w:pPr>
          </w:p>
        </w:tc>
        <w:tc>
          <w:tcPr>
            <w:tcW w:w="873" w:type="dxa"/>
            <w:tcBorders>
              <w:top w:val="nil"/>
              <w:left w:val="nil"/>
              <w:bottom w:val="single" w:sz="4" w:space="0" w:color="000000"/>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2</w:t>
            </w:r>
          </w:p>
        </w:tc>
        <w:tc>
          <w:tcPr>
            <w:tcW w:w="2833" w:type="dxa"/>
            <w:tcBorders>
              <w:top w:val="nil"/>
              <w:left w:val="nil"/>
              <w:bottom w:val="single" w:sz="4" w:space="0" w:color="000000"/>
              <w:right w:val="single" w:sz="4" w:space="0" w:color="000000"/>
            </w:tcBorders>
          </w:tcPr>
          <w:p w:rsidR="00657F08" w:rsidRDefault="00550375">
            <w:pPr>
              <w:jc w:val="left"/>
              <w:rPr>
                <w:rFonts w:ascii="宋体" w:eastAsia="宋体" w:hAnsi="宋体" w:cs="宋体"/>
                <w:sz w:val="24"/>
                <w:szCs w:val="24"/>
              </w:rPr>
            </w:pPr>
            <w:r>
              <w:rPr>
                <w:rFonts w:ascii="宋体" w:eastAsia="宋体" w:hAnsi="宋体" w:cs="宋体" w:hint="eastAsia"/>
                <w:sz w:val="24"/>
                <w:szCs w:val="24"/>
              </w:rPr>
              <w:t>按照规范标准统一配置零点标液和各量程的标液，并按照规范标准定期进行仪器的定期标定，不符合要求扣2分/次/项。</w:t>
            </w:r>
          </w:p>
        </w:tc>
        <w:tc>
          <w:tcPr>
            <w:tcW w:w="1213"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2"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8"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r>
      <w:tr w:rsidR="00657F08" w:rsidTr="0057358A">
        <w:tc>
          <w:tcPr>
            <w:tcW w:w="903" w:type="dxa"/>
            <w:vMerge/>
            <w:tcBorders>
              <w:left w:val="single" w:sz="4" w:space="0" w:color="auto"/>
              <w:right w:val="single" w:sz="4" w:space="0" w:color="000000"/>
            </w:tcBorders>
          </w:tcPr>
          <w:p w:rsidR="00657F08" w:rsidRDefault="00657F08">
            <w:pPr>
              <w:rPr>
                <w:rFonts w:ascii="宋体" w:eastAsia="宋体" w:hAnsi="宋体" w:cs="宋体"/>
                <w:sz w:val="24"/>
                <w:szCs w:val="24"/>
              </w:rPr>
            </w:pPr>
          </w:p>
        </w:tc>
        <w:tc>
          <w:tcPr>
            <w:tcW w:w="873" w:type="dxa"/>
            <w:tcBorders>
              <w:top w:val="nil"/>
              <w:left w:val="nil"/>
              <w:bottom w:val="single" w:sz="4" w:space="0" w:color="000000"/>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3</w:t>
            </w:r>
          </w:p>
        </w:tc>
        <w:tc>
          <w:tcPr>
            <w:tcW w:w="2833" w:type="dxa"/>
            <w:tcBorders>
              <w:top w:val="nil"/>
              <w:left w:val="nil"/>
              <w:bottom w:val="single" w:sz="4" w:space="0" w:color="000000"/>
              <w:right w:val="single" w:sz="4" w:space="0" w:color="000000"/>
            </w:tcBorders>
          </w:tcPr>
          <w:p w:rsidR="00657F08" w:rsidRDefault="00550375">
            <w:pPr>
              <w:jc w:val="left"/>
              <w:rPr>
                <w:rFonts w:ascii="宋体" w:eastAsia="宋体" w:hAnsi="宋体" w:cs="宋体"/>
                <w:sz w:val="24"/>
                <w:szCs w:val="24"/>
              </w:rPr>
            </w:pPr>
            <w:r>
              <w:rPr>
                <w:rFonts w:ascii="宋体" w:eastAsia="宋体" w:hAnsi="宋体" w:cs="宋体" w:hint="eastAsia"/>
                <w:sz w:val="24"/>
                <w:szCs w:val="24"/>
              </w:rPr>
              <w:t>每周对在线监测仪器按照设备说明要求对在线监测仪器进行统一校准。不符合2分/次。</w:t>
            </w:r>
          </w:p>
        </w:tc>
        <w:tc>
          <w:tcPr>
            <w:tcW w:w="1213"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2"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8"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r>
      <w:tr w:rsidR="00657F08" w:rsidTr="0057358A">
        <w:tc>
          <w:tcPr>
            <w:tcW w:w="903" w:type="dxa"/>
            <w:vMerge/>
            <w:tcBorders>
              <w:left w:val="single" w:sz="4" w:space="0" w:color="auto"/>
              <w:right w:val="single" w:sz="4" w:space="0" w:color="000000"/>
            </w:tcBorders>
          </w:tcPr>
          <w:p w:rsidR="00657F08" w:rsidRDefault="00657F08">
            <w:pPr>
              <w:jc w:val="center"/>
              <w:rPr>
                <w:rFonts w:ascii="宋体" w:eastAsia="宋体" w:hAnsi="宋体" w:cs="宋体"/>
                <w:sz w:val="24"/>
                <w:szCs w:val="24"/>
              </w:rPr>
            </w:pPr>
          </w:p>
        </w:tc>
        <w:tc>
          <w:tcPr>
            <w:tcW w:w="873" w:type="dxa"/>
            <w:tcBorders>
              <w:top w:val="nil"/>
              <w:left w:val="nil"/>
              <w:bottom w:val="single" w:sz="4" w:space="0" w:color="000000"/>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4</w:t>
            </w:r>
          </w:p>
        </w:tc>
        <w:tc>
          <w:tcPr>
            <w:tcW w:w="2833" w:type="dxa"/>
            <w:tcBorders>
              <w:top w:val="nil"/>
              <w:left w:val="nil"/>
              <w:bottom w:val="single" w:sz="4" w:space="0" w:color="000000"/>
              <w:right w:val="single" w:sz="4" w:space="0" w:color="000000"/>
            </w:tcBorders>
          </w:tcPr>
          <w:p w:rsidR="00657F08" w:rsidRDefault="00550375">
            <w:pPr>
              <w:jc w:val="left"/>
              <w:rPr>
                <w:rFonts w:ascii="宋体" w:eastAsia="宋体" w:hAnsi="宋体" w:cs="宋体"/>
                <w:sz w:val="24"/>
                <w:szCs w:val="24"/>
              </w:rPr>
            </w:pPr>
            <w:r>
              <w:rPr>
                <w:rFonts w:ascii="宋体" w:eastAsia="宋体" w:hAnsi="宋体" w:cs="宋体" w:hint="eastAsia"/>
                <w:sz w:val="24"/>
                <w:szCs w:val="24"/>
              </w:rPr>
              <w:t>记录应清晰、完整，现场记录应在现场及时填写，有专业维护人员的签字。不符合要求扣1分/次。</w:t>
            </w:r>
          </w:p>
        </w:tc>
        <w:tc>
          <w:tcPr>
            <w:tcW w:w="1213"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2"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8"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r>
      <w:tr w:rsidR="00657F08" w:rsidTr="0057358A">
        <w:tc>
          <w:tcPr>
            <w:tcW w:w="903" w:type="dxa"/>
            <w:vMerge/>
            <w:tcBorders>
              <w:left w:val="single" w:sz="4" w:space="0" w:color="auto"/>
              <w:right w:val="single" w:sz="4" w:space="0" w:color="000000"/>
            </w:tcBorders>
          </w:tcPr>
          <w:p w:rsidR="00657F08" w:rsidRDefault="00657F08">
            <w:pPr>
              <w:rPr>
                <w:rFonts w:ascii="宋体" w:eastAsia="宋体" w:hAnsi="宋体" w:cs="宋体"/>
                <w:sz w:val="24"/>
                <w:szCs w:val="24"/>
              </w:rPr>
            </w:pPr>
          </w:p>
        </w:tc>
        <w:tc>
          <w:tcPr>
            <w:tcW w:w="873" w:type="dxa"/>
            <w:tcBorders>
              <w:top w:val="nil"/>
              <w:left w:val="nil"/>
              <w:bottom w:val="single" w:sz="4" w:space="0" w:color="000000"/>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5</w:t>
            </w:r>
          </w:p>
        </w:tc>
        <w:tc>
          <w:tcPr>
            <w:tcW w:w="2833" w:type="dxa"/>
            <w:tcBorders>
              <w:top w:val="nil"/>
              <w:left w:val="nil"/>
              <w:bottom w:val="single" w:sz="4" w:space="0" w:color="000000"/>
              <w:right w:val="single" w:sz="4" w:space="0" w:color="000000"/>
            </w:tcBorders>
          </w:tcPr>
          <w:p w:rsidR="00657F08" w:rsidRDefault="00550375">
            <w:pPr>
              <w:jc w:val="left"/>
              <w:rPr>
                <w:rFonts w:ascii="宋体" w:eastAsia="宋体" w:hAnsi="宋体" w:cs="宋体"/>
                <w:sz w:val="24"/>
                <w:szCs w:val="24"/>
              </w:rPr>
            </w:pPr>
            <w:r>
              <w:rPr>
                <w:rFonts w:ascii="宋体" w:eastAsia="宋体" w:hAnsi="宋体" w:cs="宋体" w:hint="eastAsia"/>
                <w:sz w:val="24"/>
                <w:szCs w:val="24"/>
              </w:rPr>
              <w:t>检查各仪器管路通畅，出水正常，无漏液。不符合要求扣2分/次。</w:t>
            </w:r>
          </w:p>
        </w:tc>
        <w:tc>
          <w:tcPr>
            <w:tcW w:w="1213"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2"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8"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r>
      <w:tr w:rsidR="00657F08" w:rsidTr="0057358A">
        <w:tc>
          <w:tcPr>
            <w:tcW w:w="903" w:type="dxa"/>
            <w:vMerge/>
            <w:tcBorders>
              <w:left w:val="single" w:sz="4" w:space="0" w:color="auto"/>
              <w:right w:val="single" w:sz="4" w:space="0" w:color="000000"/>
            </w:tcBorders>
          </w:tcPr>
          <w:p w:rsidR="00657F08" w:rsidRDefault="00657F08">
            <w:pPr>
              <w:rPr>
                <w:rFonts w:ascii="宋体" w:eastAsia="宋体" w:hAnsi="宋体" w:cs="宋体"/>
                <w:sz w:val="24"/>
                <w:szCs w:val="24"/>
              </w:rPr>
            </w:pPr>
          </w:p>
        </w:tc>
        <w:tc>
          <w:tcPr>
            <w:tcW w:w="873" w:type="dxa"/>
            <w:tcBorders>
              <w:top w:val="nil"/>
              <w:left w:val="nil"/>
              <w:bottom w:val="single" w:sz="4" w:space="0" w:color="000000"/>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6</w:t>
            </w:r>
          </w:p>
        </w:tc>
        <w:tc>
          <w:tcPr>
            <w:tcW w:w="2833" w:type="dxa"/>
            <w:tcBorders>
              <w:top w:val="nil"/>
              <w:left w:val="nil"/>
              <w:bottom w:val="single" w:sz="4" w:space="0" w:color="000000"/>
              <w:right w:val="single" w:sz="4" w:space="0" w:color="000000"/>
            </w:tcBorders>
          </w:tcPr>
          <w:p w:rsidR="00657F08" w:rsidRDefault="00550375">
            <w:pPr>
              <w:jc w:val="left"/>
              <w:rPr>
                <w:rFonts w:ascii="宋体" w:eastAsia="宋体" w:hAnsi="宋体" w:cs="宋体"/>
                <w:sz w:val="24"/>
                <w:szCs w:val="24"/>
              </w:rPr>
            </w:pPr>
            <w:r>
              <w:rPr>
                <w:rFonts w:ascii="宋体" w:eastAsia="宋体" w:hAnsi="宋体" w:cs="宋体" w:hint="eastAsia"/>
                <w:sz w:val="24"/>
                <w:szCs w:val="24"/>
              </w:rPr>
              <w:t>因</w:t>
            </w:r>
            <w:r>
              <w:rPr>
                <w:rFonts w:ascii="宋体" w:eastAsia="宋体" w:hAnsi="宋体" w:cs="宋体"/>
                <w:sz w:val="24"/>
                <w:szCs w:val="24"/>
              </w:rPr>
              <w:t>供应商</w:t>
            </w:r>
            <w:r>
              <w:rPr>
                <w:rFonts w:ascii="宋体" w:eastAsia="宋体" w:hAnsi="宋体" w:cs="宋体" w:hint="eastAsia"/>
                <w:sz w:val="24"/>
                <w:szCs w:val="24"/>
              </w:rPr>
              <w:t>的原因导致</w:t>
            </w:r>
            <w:r>
              <w:rPr>
                <w:rFonts w:ascii="宋体" w:eastAsia="宋体" w:hAnsi="宋体" w:cs="宋体"/>
                <w:sz w:val="24"/>
                <w:szCs w:val="24"/>
              </w:rPr>
              <w:t>采购人</w:t>
            </w:r>
            <w:r>
              <w:rPr>
                <w:rFonts w:ascii="宋体" w:eastAsia="宋体" w:hAnsi="宋体" w:cs="宋体" w:hint="eastAsia"/>
                <w:sz w:val="24"/>
                <w:szCs w:val="24"/>
              </w:rPr>
              <w:t>被环保部门处罚的，处罚一次扣5分。</w:t>
            </w:r>
          </w:p>
        </w:tc>
        <w:tc>
          <w:tcPr>
            <w:tcW w:w="1213"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2"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c>
          <w:tcPr>
            <w:tcW w:w="1198" w:type="dxa"/>
            <w:tcBorders>
              <w:top w:val="nil"/>
              <w:left w:val="nil"/>
              <w:bottom w:val="single" w:sz="4" w:space="0" w:color="000000"/>
              <w:right w:val="single" w:sz="4" w:space="0" w:color="000000"/>
            </w:tcBorders>
          </w:tcPr>
          <w:p w:rsidR="00657F08" w:rsidRDefault="00657F08">
            <w:pPr>
              <w:jc w:val="center"/>
              <w:rPr>
                <w:rFonts w:ascii="宋体" w:eastAsia="宋体" w:hAnsi="宋体" w:cs="宋体"/>
                <w:sz w:val="24"/>
                <w:szCs w:val="24"/>
              </w:rPr>
            </w:pPr>
          </w:p>
        </w:tc>
      </w:tr>
      <w:tr w:rsidR="00657F08" w:rsidTr="0057358A">
        <w:trPr>
          <w:trHeight w:val="1381"/>
        </w:trPr>
        <w:tc>
          <w:tcPr>
            <w:tcW w:w="903" w:type="dxa"/>
            <w:vMerge/>
            <w:tcBorders>
              <w:left w:val="single" w:sz="4" w:space="0" w:color="auto"/>
              <w:bottom w:val="single" w:sz="4" w:space="0" w:color="auto"/>
              <w:right w:val="single" w:sz="4" w:space="0" w:color="000000"/>
            </w:tcBorders>
          </w:tcPr>
          <w:p w:rsidR="00657F08" w:rsidRDefault="00657F08">
            <w:pPr>
              <w:rPr>
                <w:rFonts w:ascii="宋体" w:eastAsia="宋体" w:hAnsi="宋体" w:cs="宋体"/>
                <w:sz w:val="24"/>
                <w:szCs w:val="24"/>
              </w:rPr>
            </w:pPr>
          </w:p>
        </w:tc>
        <w:tc>
          <w:tcPr>
            <w:tcW w:w="873" w:type="dxa"/>
            <w:tcBorders>
              <w:top w:val="nil"/>
              <w:left w:val="nil"/>
              <w:bottom w:val="single" w:sz="4" w:space="0" w:color="auto"/>
              <w:right w:val="single" w:sz="4" w:space="0" w:color="000000"/>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7</w:t>
            </w:r>
          </w:p>
        </w:tc>
        <w:tc>
          <w:tcPr>
            <w:tcW w:w="2833" w:type="dxa"/>
            <w:tcBorders>
              <w:top w:val="nil"/>
              <w:left w:val="nil"/>
              <w:bottom w:val="single" w:sz="4" w:space="0" w:color="auto"/>
              <w:right w:val="single" w:sz="4" w:space="0" w:color="000000"/>
            </w:tcBorders>
          </w:tcPr>
          <w:p w:rsidR="00657F08" w:rsidRDefault="00550375">
            <w:pPr>
              <w:jc w:val="left"/>
              <w:rPr>
                <w:rFonts w:ascii="宋体" w:eastAsia="宋体" w:hAnsi="宋体" w:cs="宋体"/>
                <w:sz w:val="24"/>
                <w:szCs w:val="24"/>
              </w:rPr>
            </w:pPr>
            <w:r>
              <w:rPr>
                <w:rFonts w:ascii="宋体" w:eastAsia="宋体" w:hAnsi="宋体" w:cs="宋体" w:hint="eastAsia"/>
                <w:sz w:val="24"/>
                <w:szCs w:val="24"/>
              </w:rPr>
              <w:t>及时处理各平台监控数据异常信息，并书面报告对应的平台。不符合要求扣1分/次。</w:t>
            </w:r>
          </w:p>
        </w:tc>
        <w:tc>
          <w:tcPr>
            <w:tcW w:w="1213" w:type="dxa"/>
            <w:tcBorders>
              <w:top w:val="nil"/>
              <w:left w:val="nil"/>
              <w:bottom w:val="single" w:sz="4" w:space="0" w:color="auto"/>
              <w:right w:val="single" w:sz="4" w:space="0" w:color="000000"/>
            </w:tcBorders>
          </w:tcPr>
          <w:p w:rsidR="00657F08" w:rsidRDefault="00657F08">
            <w:pPr>
              <w:rPr>
                <w:rFonts w:ascii="宋体" w:eastAsia="宋体" w:hAnsi="宋体" w:cs="宋体"/>
                <w:sz w:val="24"/>
                <w:szCs w:val="24"/>
              </w:rPr>
            </w:pPr>
          </w:p>
        </w:tc>
        <w:tc>
          <w:tcPr>
            <w:tcW w:w="1192" w:type="dxa"/>
            <w:tcBorders>
              <w:top w:val="nil"/>
              <w:left w:val="nil"/>
              <w:bottom w:val="single" w:sz="4" w:space="0" w:color="auto"/>
              <w:right w:val="single" w:sz="4" w:space="0" w:color="000000"/>
            </w:tcBorders>
          </w:tcPr>
          <w:p w:rsidR="00657F08" w:rsidRDefault="00657F08">
            <w:pPr>
              <w:rPr>
                <w:rFonts w:ascii="宋体" w:eastAsia="宋体" w:hAnsi="宋体" w:cs="宋体"/>
                <w:sz w:val="24"/>
                <w:szCs w:val="24"/>
              </w:rPr>
            </w:pPr>
          </w:p>
        </w:tc>
        <w:tc>
          <w:tcPr>
            <w:tcW w:w="1198" w:type="dxa"/>
            <w:tcBorders>
              <w:top w:val="nil"/>
              <w:left w:val="nil"/>
              <w:bottom w:val="single" w:sz="4" w:space="0" w:color="auto"/>
              <w:right w:val="single" w:sz="4" w:space="0" w:color="000000"/>
            </w:tcBorders>
          </w:tcPr>
          <w:p w:rsidR="00657F08" w:rsidRDefault="00657F08">
            <w:pPr>
              <w:rPr>
                <w:rFonts w:ascii="宋体" w:eastAsia="宋体" w:hAnsi="宋体" w:cs="宋体"/>
                <w:sz w:val="24"/>
                <w:szCs w:val="24"/>
              </w:rPr>
            </w:pPr>
          </w:p>
        </w:tc>
      </w:tr>
      <w:tr w:rsidR="00657F08" w:rsidTr="0057358A">
        <w:tc>
          <w:tcPr>
            <w:tcW w:w="903" w:type="dxa"/>
            <w:vMerge/>
            <w:tcBorders>
              <w:top w:val="single" w:sz="4" w:space="0" w:color="auto"/>
              <w:left w:val="single" w:sz="4" w:space="0" w:color="auto"/>
              <w:bottom w:val="single" w:sz="4" w:space="0" w:color="auto"/>
              <w:right w:val="single" w:sz="4" w:space="0" w:color="auto"/>
            </w:tcBorders>
            <w:vAlign w:val="center"/>
          </w:tcPr>
          <w:p w:rsidR="00657F08" w:rsidRDefault="00657F08">
            <w:pPr>
              <w:jc w:val="center"/>
              <w:rPr>
                <w:rFonts w:ascii="宋体" w:eastAsia="宋体" w:hAnsi="宋体" w:cs="宋体"/>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rsidR="00657F08" w:rsidRDefault="00550375">
            <w:pPr>
              <w:jc w:val="center"/>
              <w:rPr>
                <w:rFonts w:ascii="宋体" w:eastAsia="宋体" w:hAnsi="宋体" w:cs="宋体"/>
                <w:sz w:val="24"/>
                <w:szCs w:val="24"/>
              </w:rPr>
            </w:pPr>
            <w:r>
              <w:rPr>
                <w:rFonts w:ascii="宋体" w:eastAsia="宋体" w:hAnsi="宋体" w:cs="宋体" w:hint="eastAsia"/>
                <w:sz w:val="24"/>
                <w:szCs w:val="24"/>
              </w:rPr>
              <w:t>8</w:t>
            </w:r>
          </w:p>
        </w:tc>
        <w:tc>
          <w:tcPr>
            <w:tcW w:w="2833" w:type="dxa"/>
            <w:tcBorders>
              <w:top w:val="single" w:sz="4" w:space="0" w:color="auto"/>
              <w:left w:val="single" w:sz="4" w:space="0" w:color="auto"/>
              <w:bottom w:val="single" w:sz="4" w:space="0" w:color="auto"/>
              <w:right w:val="single" w:sz="4" w:space="0" w:color="auto"/>
            </w:tcBorders>
          </w:tcPr>
          <w:p w:rsidR="00657F08" w:rsidRDefault="00550375">
            <w:pPr>
              <w:jc w:val="left"/>
              <w:rPr>
                <w:rFonts w:ascii="宋体" w:eastAsia="宋体" w:hAnsi="宋体" w:cs="宋体"/>
                <w:sz w:val="24"/>
                <w:szCs w:val="24"/>
              </w:rPr>
            </w:pPr>
            <w:r>
              <w:rPr>
                <w:rFonts w:ascii="宋体" w:eastAsia="宋体" w:hAnsi="宋体" w:cs="宋体" w:hint="eastAsia"/>
                <w:sz w:val="24"/>
                <w:szCs w:val="24"/>
              </w:rPr>
              <w:t>其他服务质量问题扣0.5分/次</w:t>
            </w:r>
          </w:p>
        </w:tc>
        <w:tc>
          <w:tcPr>
            <w:tcW w:w="1213" w:type="dxa"/>
            <w:tcBorders>
              <w:top w:val="single" w:sz="4" w:space="0" w:color="auto"/>
              <w:left w:val="single" w:sz="4" w:space="0" w:color="auto"/>
              <w:bottom w:val="single" w:sz="4" w:space="0" w:color="auto"/>
              <w:right w:val="single" w:sz="4" w:space="0" w:color="auto"/>
            </w:tcBorders>
          </w:tcPr>
          <w:p w:rsidR="00657F08" w:rsidRDefault="00657F08">
            <w:pPr>
              <w:jc w:val="center"/>
              <w:rPr>
                <w:rFonts w:ascii="宋体" w:eastAsia="宋体" w:hAnsi="宋体" w:cs="宋体"/>
                <w:sz w:val="24"/>
                <w:szCs w:val="24"/>
              </w:rPr>
            </w:pPr>
          </w:p>
        </w:tc>
        <w:tc>
          <w:tcPr>
            <w:tcW w:w="1192" w:type="dxa"/>
            <w:tcBorders>
              <w:top w:val="single" w:sz="4" w:space="0" w:color="auto"/>
              <w:left w:val="single" w:sz="4" w:space="0" w:color="auto"/>
              <w:bottom w:val="single" w:sz="4" w:space="0" w:color="auto"/>
              <w:right w:val="single" w:sz="4" w:space="0" w:color="auto"/>
            </w:tcBorders>
          </w:tcPr>
          <w:p w:rsidR="00657F08" w:rsidRDefault="00657F08">
            <w:pPr>
              <w:jc w:val="center"/>
              <w:rPr>
                <w:rFonts w:ascii="宋体" w:eastAsia="宋体" w:hAnsi="宋体" w:cs="宋体"/>
                <w:sz w:val="24"/>
                <w:szCs w:val="24"/>
              </w:rPr>
            </w:pPr>
          </w:p>
        </w:tc>
        <w:tc>
          <w:tcPr>
            <w:tcW w:w="1198" w:type="dxa"/>
            <w:tcBorders>
              <w:top w:val="single" w:sz="4" w:space="0" w:color="auto"/>
              <w:left w:val="single" w:sz="4" w:space="0" w:color="auto"/>
              <w:bottom w:val="single" w:sz="4" w:space="0" w:color="auto"/>
              <w:right w:val="single" w:sz="4" w:space="0" w:color="auto"/>
            </w:tcBorders>
          </w:tcPr>
          <w:p w:rsidR="00657F08" w:rsidRDefault="00657F08">
            <w:pPr>
              <w:jc w:val="center"/>
              <w:rPr>
                <w:rFonts w:ascii="宋体" w:eastAsia="宋体" w:hAnsi="宋体" w:cs="宋体"/>
                <w:sz w:val="24"/>
                <w:szCs w:val="24"/>
              </w:rPr>
            </w:pPr>
          </w:p>
        </w:tc>
      </w:tr>
      <w:tr w:rsidR="00657F08">
        <w:trPr>
          <w:trHeight w:val="419"/>
        </w:trPr>
        <w:tc>
          <w:tcPr>
            <w:tcW w:w="4609" w:type="dxa"/>
            <w:gridSpan w:val="3"/>
            <w:tcBorders>
              <w:top w:val="single" w:sz="4" w:space="0" w:color="auto"/>
              <w:left w:val="single" w:sz="4" w:space="0" w:color="auto"/>
              <w:bottom w:val="single" w:sz="4" w:space="0" w:color="auto"/>
              <w:right w:val="single" w:sz="4" w:space="0" w:color="auto"/>
            </w:tcBorders>
          </w:tcPr>
          <w:p w:rsidR="00657F08" w:rsidRDefault="00550375">
            <w:pPr>
              <w:jc w:val="center"/>
              <w:rPr>
                <w:rFonts w:ascii="宋体" w:eastAsia="宋体" w:hAnsi="宋体" w:cs="宋体"/>
                <w:sz w:val="24"/>
                <w:szCs w:val="24"/>
              </w:rPr>
            </w:pPr>
            <w:r>
              <w:rPr>
                <w:rFonts w:ascii="宋体" w:eastAsia="宋体" w:hAnsi="宋体" w:cs="宋体" w:hint="eastAsia"/>
                <w:b/>
                <w:sz w:val="24"/>
                <w:szCs w:val="24"/>
              </w:rPr>
              <w:t>合计得分</w:t>
            </w:r>
          </w:p>
        </w:tc>
        <w:tc>
          <w:tcPr>
            <w:tcW w:w="3603" w:type="dxa"/>
            <w:gridSpan w:val="3"/>
            <w:tcBorders>
              <w:top w:val="single" w:sz="4" w:space="0" w:color="auto"/>
              <w:left w:val="single" w:sz="4" w:space="0" w:color="auto"/>
              <w:bottom w:val="single" w:sz="4" w:space="0" w:color="auto"/>
              <w:right w:val="single" w:sz="4" w:space="0" w:color="auto"/>
            </w:tcBorders>
          </w:tcPr>
          <w:p w:rsidR="00657F08" w:rsidRDefault="00657F08">
            <w:pPr>
              <w:jc w:val="center"/>
              <w:rPr>
                <w:rFonts w:ascii="宋体" w:eastAsia="宋体" w:hAnsi="宋体" w:cs="宋体"/>
                <w:sz w:val="24"/>
                <w:szCs w:val="24"/>
              </w:rPr>
            </w:pPr>
          </w:p>
        </w:tc>
      </w:tr>
    </w:tbl>
    <w:p w:rsidR="00657F08" w:rsidRDefault="00550375">
      <w:pPr>
        <w:numPr>
          <w:ilvl w:val="255"/>
          <w:numId w:val="0"/>
        </w:numPr>
        <w:adjustRightInd w:val="0"/>
        <w:rPr>
          <w:rFonts w:ascii="宋体" w:eastAsia="宋体" w:hAnsi="宋体" w:cs="宋体"/>
          <w:bCs/>
          <w:sz w:val="24"/>
          <w:szCs w:val="24"/>
        </w:rPr>
      </w:pPr>
      <w:r>
        <w:rPr>
          <w:rFonts w:ascii="宋体" w:eastAsia="宋体" w:hAnsi="宋体" w:cs="宋体" w:hint="eastAsia"/>
          <w:bCs/>
          <w:sz w:val="24"/>
          <w:szCs w:val="24"/>
        </w:rPr>
        <w:t>在线监测服务质量考核情况由</w:t>
      </w:r>
      <w:r>
        <w:rPr>
          <w:rFonts w:ascii="宋体" w:eastAsia="宋体" w:hAnsi="宋体" w:cs="宋体"/>
          <w:bCs/>
          <w:sz w:val="24"/>
          <w:szCs w:val="24"/>
        </w:rPr>
        <w:t>采购人</w:t>
      </w:r>
      <w:r>
        <w:rPr>
          <w:rFonts w:ascii="宋体" w:eastAsia="宋体" w:hAnsi="宋体" w:cs="宋体" w:hint="eastAsia"/>
          <w:bCs/>
          <w:sz w:val="24"/>
          <w:szCs w:val="24"/>
        </w:rPr>
        <w:t>进行季度综合考评，考评表见附件一《污水处理在线监测服务综合评价表》</w:t>
      </w:r>
      <w:r>
        <w:rPr>
          <w:rFonts w:ascii="宋体" w:eastAsia="宋体" w:hAnsi="宋体" w:cs="宋体"/>
          <w:bCs/>
          <w:sz w:val="24"/>
          <w:szCs w:val="24"/>
        </w:rPr>
        <w:t>，采购人有权按需调整考评表内容。</w:t>
      </w:r>
      <w:r>
        <w:rPr>
          <w:rFonts w:ascii="宋体" w:eastAsia="宋体" w:hAnsi="宋体" w:cs="宋体" w:hint="eastAsia"/>
          <w:bCs/>
          <w:sz w:val="24"/>
          <w:szCs w:val="24"/>
        </w:rPr>
        <w:t>综合考评</w:t>
      </w:r>
      <w:r>
        <w:rPr>
          <w:rFonts w:ascii="宋体" w:eastAsia="宋体" w:hAnsi="宋体" w:cs="宋体"/>
          <w:bCs/>
          <w:sz w:val="24"/>
          <w:szCs w:val="24"/>
        </w:rPr>
        <w:t>得分≥85分为合格；得分&lt;85分为不合格，</w:t>
      </w:r>
      <w:r>
        <w:rPr>
          <w:rFonts w:ascii="宋体" w:eastAsia="宋体" w:hAnsi="宋体" w:cs="宋体" w:hint="eastAsia"/>
          <w:bCs/>
          <w:sz w:val="24"/>
          <w:szCs w:val="24"/>
        </w:rPr>
        <w:t>每下降1分扣当月服务费2000元</w:t>
      </w:r>
      <w:r>
        <w:rPr>
          <w:rFonts w:ascii="宋体" w:eastAsia="宋体" w:hAnsi="宋体" w:cs="宋体"/>
          <w:bCs/>
          <w:sz w:val="24"/>
          <w:szCs w:val="24"/>
        </w:rPr>
        <w:t>。连续3个月得分&lt;85分的，采购人有权终止合同。</w:t>
      </w:r>
    </w:p>
    <w:p w:rsidR="00657F08" w:rsidRDefault="00550375">
      <w:pPr>
        <w:spacing w:line="360" w:lineRule="auto"/>
        <w:ind w:firstLine="480"/>
        <w:rPr>
          <w:rFonts w:ascii="宋体" w:eastAsia="宋体" w:hAnsi="宋体" w:cs="宋体"/>
          <w:sz w:val="24"/>
          <w:szCs w:val="24"/>
        </w:rPr>
      </w:pPr>
      <w:r>
        <w:rPr>
          <w:rFonts w:ascii="宋体" w:eastAsia="宋体" w:hAnsi="宋体" w:cs="宋体" w:hint="eastAsia"/>
          <w:sz w:val="24"/>
          <w:szCs w:val="24"/>
        </w:rPr>
        <w:t>考评人签名：                           公司确认签名：</w:t>
      </w:r>
    </w:p>
    <w:p w:rsidR="00657F08" w:rsidRDefault="00550375">
      <w:pPr>
        <w:spacing w:line="360" w:lineRule="auto"/>
        <w:ind w:firstLine="480"/>
        <w:rPr>
          <w:rFonts w:ascii="宋体" w:eastAsia="宋体" w:hAnsi="宋体"/>
          <w:sz w:val="28"/>
          <w:szCs w:val="28"/>
        </w:rPr>
      </w:pPr>
      <w:r>
        <w:rPr>
          <w:rFonts w:ascii="宋体" w:eastAsia="宋体" w:hAnsi="宋体" w:cs="宋体" w:hint="eastAsia"/>
          <w:sz w:val="24"/>
          <w:szCs w:val="24"/>
        </w:rPr>
        <w:lastRenderedPageBreak/>
        <w:t>日期：                                 日期：</w:t>
      </w:r>
    </w:p>
    <w:sectPr w:rsidR="00657F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E1" w:rsidRDefault="00AD72E1" w:rsidP="0057358A">
      <w:r>
        <w:separator/>
      </w:r>
    </w:p>
  </w:endnote>
  <w:endnote w:type="continuationSeparator" w:id="0">
    <w:p w:rsidR="00AD72E1" w:rsidRDefault="00AD72E1" w:rsidP="0057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E1" w:rsidRDefault="00AD72E1" w:rsidP="0057358A">
      <w:r>
        <w:separator/>
      </w:r>
    </w:p>
  </w:footnote>
  <w:footnote w:type="continuationSeparator" w:id="0">
    <w:p w:rsidR="00AD72E1" w:rsidRDefault="00AD72E1" w:rsidP="0057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6CA21"/>
    <w:multiLevelType w:val="singleLevel"/>
    <w:tmpl w:val="99A6CA21"/>
    <w:lvl w:ilvl="0">
      <w:start w:val="1"/>
      <w:numFmt w:val="chineseCounting"/>
      <w:suff w:val="nothing"/>
      <w:lvlText w:val="（%1）"/>
      <w:lvlJc w:val="left"/>
      <w:pPr>
        <w:ind w:left="0" w:firstLine="420"/>
      </w:pPr>
      <w:rPr>
        <w:rFonts w:hint="eastAsia"/>
      </w:rPr>
    </w:lvl>
  </w:abstractNum>
  <w:abstractNum w:abstractNumId="1" w15:restartNumberingAfterBreak="0">
    <w:nsid w:val="B3305C5E"/>
    <w:multiLevelType w:val="singleLevel"/>
    <w:tmpl w:val="B3305C5E"/>
    <w:lvl w:ilvl="0">
      <w:start w:val="8"/>
      <w:numFmt w:val="chineseCounting"/>
      <w:suff w:val="nothing"/>
      <w:lvlText w:val="%1、"/>
      <w:lvlJc w:val="left"/>
      <w:pPr>
        <w:ind w:left="0" w:firstLine="420"/>
      </w:pPr>
      <w:rPr>
        <w:rFonts w:hint="eastAsia"/>
      </w:rPr>
    </w:lvl>
  </w:abstractNum>
  <w:abstractNum w:abstractNumId="2" w15:restartNumberingAfterBreak="0">
    <w:nsid w:val="D5CD89B7"/>
    <w:multiLevelType w:val="singleLevel"/>
    <w:tmpl w:val="D5CD89B7"/>
    <w:lvl w:ilvl="0">
      <w:start w:val="1"/>
      <w:numFmt w:val="chineseCounting"/>
      <w:suff w:val="nothing"/>
      <w:lvlText w:val="（%1）"/>
      <w:lvlJc w:val="left"/>
      <w:pPr>
        <w:ind w:left="0" w:firstLine="420"/>
      </w:pPr>
      <w:rPr>
        <w:rFonts w:hint="eastAsia"/>
        <w:sz w:val="24"/>
        <w:szCs w:val="24"/>
      </w:rPr>
    </w:lvl>
  </w:abstractNum>
  <w:abstractNum w:abstractNumId="3" w15:restartNumberingAfterBreak="0">
    <w:nsid w:val="0749D809"/>
    <w:multiLevelType w:val="multilevel"/>
    <w:tmpl w:val="0749D809"/>
    <w:lvl w:ilvl="0">
      <w:start w:val="1"/>
      <w:numFmt w:val="japaneseCounting"/>
      <w:suff w:val="nothing"/>
      <w:lvlText w:val="%1、"/>
      <w:lvlJc w:val="left"/>
      <w:pPr>
        <w:ind w:left="720" w:hanging="720"/>
      </w:pPr>
      <w:rPr>
        <w:rFonts w:ascii="黑体" w:eastAsia="黑体" w:hAnsi="黑体" w:cs="黑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D756E7E"/>
    <w:multiLevelType w:val="singleLevel"/>
    <w:tmpl w:val="0D756E7E"/>
    <w:lvl w:ilvl="0">
      <w:start w:val="1"/>
      <w:numFmt w:val="decimal"/>
      <w:suff w:val="nothing"/>
      <w:lvlText w:val="(%1)"/>
      <w:lvlJc w:val="left"/>
      <w:pPr>
        <w:ind w:left="425" w:hanging="425"/>
      </w:pPr>
      <w:rPr>
        <w:rFonts w:hint="default"/>
      </w:rPr>
    </w:lvl>
  </w:abstractNum>
  <w:abstractNum w:abstractNumId="5" w15:restartNumberingAfterBreak="0">
    <w:nsid w:val="3B7E143B"/>
    <w:multiLevelType w:val="multilevel"/>
    <w:tmpl w:val="3B7E143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0"/>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4AA9112"/>
    <w:multiLevelType w:val="singleLevel"/>
    <w:tmpl w:val="44AA9112"/>
    <w:lvl w:ilvl="0">
      <w:start w:val="1"/>
      <w:numFmt w:val="decimal"/>
      <w:suff w:val="nothing"/>
      <w:lvlText w:val="(%1)"/>
      <w:lvlJc w:val="left"/>
      <w:pPr>
        <w:ind w:left="425" w:hanging="425"/>
      </w:pPr>
      <w:rPr>
        <w:rFonts w:hint="default"/>
      </w:rPr>
    </w:lvl>
  </w:abstractNum>
  <w:abstractNum w:abstractNumId="7" w15:restartNumberingAfterBreak="0">
    <w:nsid w:val="47F4C27E"/>
    <w:multiLevelType w:val="singleLevel"/>
    <w:tmpl w:val="47F4C27E"/>
    <w:lvl w:ilvl="0">
      <w:start w:val="1"/>
      <w:numFmt w:val="decimal"/>
      <w:suff w:val="nothing"/>
      <w:lvlText w:val="（%1）"/>
      <w:lvlJc w:val="left"/>
    </w:lvl>
  </w:abstractNum>
  <w:abstractNum w:abstractNumId="8" w15:restartNumberingAfterBreak="0">
    <w:nsid w:val="50821208"/>
    <w:multiLevelType w:val="singleLevel"/>
    <w:tmpl w:val="50821208"/>
    <w:lvl w:ilvl="0">
      <w:start w:val="1"/>
      <w:numFmt w:val="decimal"/>
      <w:suff w:val="nothing"/>
      <w:lvlText w:val="(%1)"/>
      <w:lvlJc w:val="left"/>
      <w:pPr>
        <w:ind w:left="425" w:hanging="425"/>
      </w:pPr>
      <w:rPr>
        <w:rFonts w:ascii="宋体" w:eastAsia="宋体" w:hAnsi="宋体" w:cs="宋体" w:hint="default"/>
      </w:rPr>
    </w:lvl>
  </w:abstractNum>
  <w:abstractNum w:abstractNumId="9" w15:restartNumberingAfterBreak="0">
    <w:nsid w:val="5C508194"/>
    <w:multiLevelType w:val="singleLevel"/>
    <w:tmpl w:val="5C508194"/>
    <w:lvl w:ilvl="0">
      <w:start w:val="1"/>
      <w:numFmt w:val="decimal"/>
      <w:suff w:val="nothing"/>
      <w:lvlText w:val="(%1)"/>
      <w:lvlJc w:val="left"/>
      <w:pPr>
        <w:ind w:left="425" w:hanging="425"/>
      </w:pPr>
      <w:rPr>
        <w:rFonts w:hint="default"/>
      </w:rPr>
    </w:lvl>
  </w:abstractNum>
  <w:abstractNum w:abstractNumId="10" w15:restartNumberingAfterBreak="0">
    <w:nsid w:val="677C09F7"/>
    <w:multiLevelType w:val="singleLevel"/>
    <w:tmpl w:val="677C09F7"/>
    <w:lvl w:ilvl="0">
      <w:start w:val="3"/>
      <w:numFmt w:val="decimal"/>
      <w:lvlText w:val="%1."/>
      <w:lvlJc w:val="left"/>
      <w:pPr>
        <w:tabs>
          <w:tab w:val="left" w:pos="312"/>
        </w:tabs>
      </w:pPr>
    </w:lvl>
  </w:abstractNum>
  <w:num w:numId="1">
    <w:abstractNumId w:val="5"/>
  </w:num>
  <w:num w:numId="2">
    <w:abstractNumId w:val="3"/>
  </w:num>
  <w:num w:numId="3">
    <w:abstractNumId w:val="0"/>
  </w:num>
  <w:num w:numId="4">
    <w:abstractNumId w:val="7"/>
  </w:num>
  <w:num w:numId="5">
    <w:abstractNumId w:val="2"/>
  </w:num>
  <w:num w:numId="6">
    <w:abstractNumId w:val="4"/>
  </w:num>
  <w:num w:numId="7">
    <w:abstractNumId w:val="10"/>
  </w:num>
  <w:num w:numId="8">
    <w:abstractNumId w:val="8"/>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jOWY1MTJhMDFiY2IzOTI4YjNmYWM3ZGU4YTg2YzkifQ=="/>
    <w:docVar w:name="KGWebUrl" w:val="http://10.2.240.65:8888/seeyon/officeservlet"/>
  </w:docVars>
  <w:rsids>
    <w:rsidRoot w:val="00107C94"/>
    <w:rsid w:val="ABFF3D7C"/>
    <w:rsid w:val="BD7DC3EB"/>
    <w:rsid w:val="EAF8921C"/>
    <w:rsid w:val="EB9F5056"/>
    <w:rsid w:val="ECFD7A32"/>
    <w:rsid w:val="EFFFA7DC"/>
    <w:rsid w:val="FFFF51D3"/>
    <w:rsid w:val="00075086"/>
    <w:rsid w:val="00101ECF"/>
    <w:rsid w:val="00107C94"/>
    <w:rsid w:val="001617AB"/>
    <w:rsid w:val="001E2694"/>
    <w:rsid w:val="00205F25"/>
    <w:rsid w:val="002809E4"/>
    <w:rsid w:val="00282EA2"/>
    <w:rsid w:val="00297C0D"/>
    <w:rsid w:val="002A148B"/>
    <w:rsid w:val="002A7A99"/>
    <w:rsid w:val="002B0A65"/>
    <w:rsid w:val="002E1266"/>
    <w:rsid w:val="00310AC4"/>
    <w:rsid w:val="00317077"/>
    <w:rsid w:val="003307AC"/>
    <w:rsid w:val="003705BE"/>
    <w:rsid w:val="003A085F"/>
    <w:rsid w:val="003C53A7"/>
    <w:rsid w:val="003C5B90"/>
    <w:rsid w:val="003F03D2"/>
    <w:rsid w:val="00447408"/>
    <w:rsid w:val="004A0EFF"/>
    <w:rsid w:val="004C6DDB"/>
    <w:rsid w:val="00522B5B"/>
    <w:rsid w:val="00550375"/>
    <w:rsid w:val="00564FE2"/>
    <w:rsid w:val="0057358A"/>
    <w:rsid w:val="00575D11"/>
    <w:rsid w:val="005E2985"/>
    <w:rsid w:val="00657F08"/>
    <w:rsid w:val="006D7F86"/>
    <w:rsid w:val="006E3C8A"/>
    <w:rsid w:val="007103C3"/>
    <w:rsid w:val="007315A2"/>
    <w:rsid w:val="00763D6C"/>
    <w:rsid w:val="008443A0"/>
    <w:rsid w:val="0089141D"/>
    <w:rsid w:val="008C4BAC"/>
    <w:rsid w:val="0097794E"/>
    <w:rsid w:val="009A3121"/>
    <w:rsid w:val="009B3596"/>
    <w:rsid w:val="00AB0D1F"/>
    <w:rsid w:val="00AD72E1"/>
    <w:rsid w:val="00B205D3"/>
    <w:rsid w:val="00B4026A"/>
    <w:rsid w:val="00C77485"/>
    <w:rsid w:val="00D116B0"/>
    <w:rsid w:val="00D2583B"/>
    <w:rsid w:val="00D549CF"/>
    <w:rsid w:val="00D827C3"/>
    <w:rsid w:val="00DA28C4"/>
    <w:rsid w:val="00E55573"/>
    <w:rsid w:val="00E957F8"/>
    <w:rsid w:val="00EE3A47"/>
    <w:rsid w:val="00F037B6"/>
    <w:rsid w:val="00F047A7"/>
    <w:rsid w:val="00FA58B5"/>
    <w:rsid w:val="02057EC6"/>
    <w:rsid w:val="0596483F"/>
    <w:rsid w:val="0DFF9C87"/>
    <w:rsid w:val="10101691"/>
    <w:rsid w:val="130D010A"/>
    <w:rsid w:val="146D70B2"/>
    <w:rsid w:val="14F612E3"/>
    <w:rsid w:val="164B51D1"/>
    <w:rsid w:val="19A05834"/>
    <w:rsid w:val="1B2B55D1"/>
    <w:rsid w:val="223217A4"/>
    <w:rsid w:val="23EF1892"/>
    <w:rsid w:val="2F2D6561"/>
    <w:rsid w:val="2FB308C4"/>
    <w:rsid w:val="37313B18"/>
    <w:rsid w:val="37EF32A7"/>
    <w:rsid w:val="38311C2B"/>
    <w:rsid w:val="3B0A6B5A"/>
    <w:rsid w:val="3E957021"/>
    <w:rsid w:val="43324E9F"/>
    <w:rsid w:val="53FE9B9E"/>
    <w:rsid w:val="5A9164F8"/>
    <w:rsid w:val="638135AD"/>
    <w:rsid w:val="64B41760"/>
    <w:rsid w:val="66BE0674"/>
    <w:rsid w:val="6E3DE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D4A0031-9EFC-4036-BE12-A288FFCE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7"/>
    <w:qFormat/>
    <w:pPr>
      <w:spacing w:beforeLines="50" w:before="50" w:afterLines="50" w:after="50" w:line="360" w:lineRule="auto"/>
      <w:jc w:val="left"/>
      <w:outlineLvl w:val="0"/>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30">
    <w:name w:val="标题 3_0"/>
    <w:basedOn w:val="00"/>
    <w:next w:val="0"/>
    <w:qFormat/>
    <w:pPr>
      <w:widowControl w:val="0"/>
      <w:numPr>
        <w:ilvl w:val="2"/>
        <w:numId w:val="1"/>
      </w:numPr>
      <w:tabs>
        <w:tab w:val="left" w:pos="720"/>
        <w:tab w:val="left" w:pos="851"/>
      </w:tabs>
      <w:autoSpaceDE w:val="0"/>
      <w:autoSpaceDN w:val="0"/>
      <w:adjustRightInd w:val="0"/>
      <w:snapToGrid w:val="0"/>
      <w:spacing w:line="360" w:lineRule="auto"/>
      <w:jc w:val="both"/>
      <w:outlineLvl w:val="2"/>
    </w:pPr>
    <w:rPr>
      <w:rFonts w:ascii="宋体"/>
    </w:rPr>
  </w:style>
  <w:style w:type="paragraph" w:customStyle="1" w:styleId="00">
    <w:name w:val="正文_0_0"/>
    <w:qFormat/>
    <w:rPr>
      <w:sz w:val="21"/>
    </w:rPr>
  </w:style>
  <w:style w:type="paragraph" w:customStyle="1" w:styleId="0">
    <w:name w:val="正文缩进_0"/>
    <w:basedOn w:val="00"/>
    <w:qFormat/>
    <w:pPr>
      <w:ind w:firstLine="420"/>
    </w:pPr>
  </w:style>
  <w:style w:type="paragraph" w:customStyle="1" w:styleId="01">
    <w:name w:val="正文_0_1"/>
    <w:qFormat/>
    <w:pPr>
      <w:widowControl w:val="0"/>
      <w:jc w:val="both"/>
    </w:pPr>
    <w:rPr>
      <w:kern w:val="2"/>
      <w:sz w:val="21"/>
      <w:szCs w:val="24"/>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732</Words>
  <Characters>4175</Characters>
  <Application>Microsoft Office Word</Application>
  <DocSecurity>0</DocSecurity>
  <Lines>34</Lines>
  <Paragraphs>9</Paragraphs>
  <ScaleCrop>false</ScaleCrop>
  <Company>Microsoft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2024-03-28T03:50:00Z</dcterms:created>
  <dcterms:modified xsi:type="dcterms:W3CDTF">2024-03-28T04:00:00Z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69B0AB84A9644870AEA7825CFD46BF40_12</vt:lpwstr>
  </property>
</Properties>
</file>