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04" w:rsidRDefault="005E2B04">
      <w:pPr>
        <w:tabs>
          <w:tab w:val="left" w:pos="1140"/>
        </w:tabs>
        <w:spacing w:line="600" w:lineRule="auto"/>
        <w:jc w:val="center"/>
        <w:rPr>
          <w:rFonts w:asciiTheme="majorEastAsia" w:eastAsiaTheme="majorEastAsia" w:hAnsiTheme="majorEastAsia" w:cstheme="majorEastAsia"/>
          <w:b/>
          <w:sz w:val="40"/>
          <w:szCs w:val="40"/>
        </w:rPr>
      </w:pPr>
    </w:p>
    <w:p w:rsidR="005E2B04" w:rsidRDefault="008501DC">
      <w:pPr>
        <w:widowControl/>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心理测试系统</w:t>
      </w:r>
      <w:r>
        <w:rPr>
          <w:rFonts w:asciiTheme="majorEastAsia" w:eastAsiaTheme="majorEastAsia" w:hAnsiTheme="majorEastAsia" w:cstheme="majorEastAsia" w:hint="eastAsia"/>
          <w:b/>
          <w:sz w:val="40"/>
          <w:szCs w:val="40"/>
        </w:rPr>
        <w:t>采购</w:t>
      </w:r>
      <w:r>
        <w:rPr>
          <w:rFonts w:asciiTheme="majorEastAsia" w:eastAsiaTheme="majorEastAsia" w:hAnsiTheme="majorEastAsia" w:cstheme="majorEastAsia" w:hint="eastAsia"/>
          <w:b/>
          <w:sz w:val="40"/>
          <w:szCs w:val="40"/>
        </w:rPr>
        <w:t>项目</w:t>
      </w:r>
      <w:r>
        <w:rPr>
          <w:rFonts w:asciiTheme="majorEastAsia" w:eastAsiaTheme="majorEastAsia" w:hAnsiTheme="majorEastAsia" w:cstheme="majorEastAsia" w:hint="eastAsia"/>
          <w:b/>
          <w:sz w:val="40"/>
          <w:szCs w:val="40"/>
        </w:rPr>
        <w:t>市场调查公告</w:t>
      </w:r>
      <w:bookmarkEnd w:id="0"/>
    </w:p>
    <w:p w:rsidR="005E2B04" w:rsidRDefault="005E2B04">
      <w:pPr>
        <w:tabs>
          <w:tab w:val="left" w:pos="1140"/>
        </w:tabs>
        <w:spacing w:line="360" w:lineRule="auto"/>
        <w:ind w:firstLineChars="200" w:firstLine="480"/>
        <w:rPr>
          <w:rFonts w:ascii="宋体" w:hAnsi="宋体" w:cs="宋体"/>
          <w:sz w:val="24"/>
        </w:rPr>
      </w:pPr>
    </w:p>
    <w:p w:rsidR="005E2B04" w:rsidRDefault="008501DC">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广州医科大学附属番禺中心医院拟采购一套心理测试系统，现进行市场调查，请有意向</w:t>
      </w:r>
      <w:r>
        <w:rPr>
          <w:rFonts w:ascii="宋体" w:hAnsi="宋体" w:cs="宋体"/>
          <w:sz w:val="24"/>
        </w:rPr>
        <w:t>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5E2B04" w:rsidRDefault="008501DC">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14" w:type="dxa"/>
        <w:tblLook w:val="04A0" w:firstRow="1" w:lastRow="0" w:firstColumn="1" w:lastColumn="0" w:noHBand="0" w:noVBand="1"/>
      </w:tblPr>
      <w:tblGrid>
        <w:gridCol w:w="1292"/>
        <w:gridCol w:w="2968"/>
        <w:gridCol w:w="1504"/>
        <w:gridCol w:w="2950"/>
      </w:tblGrid>
      <w:tr w:rsidR="005E2B04">
        <w:tc>
          <w:tcPr>
            <w:tcW w:w="1292" w:type="dxa"/>
          </w:tcPr>
          <w:p w:rsidR="005E2B04" w:rsidRDefault="008501DC">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5E2B04" w:rsidRDefault="008501DC">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5E2B04" w:rsidRDefault="008501DC">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5E2B04" w:rsidRDefault="008501DC">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5E2B04">
        <w:tc>
          <w:tcPr>
            <w:tcW w:w="1292" w:type="dxa"/>
          </w:tcPr>
          <w:p w:rsidR="005E2B04" w:rsidRDefault="008501DC">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A</w:t>
            </w:r>
          </w:p>
        </w:tc>
        <w:tc>
          <w:tcPr>
            <w:tcW w:w="2968" w:type="dxa"/>
          </w:tcPr>
          <w:p w:rsidR="005E2B04" w:rsidRDefault="008501DC">
            <w:pPr>
              <w:spacing w:line="360" w:lineRule="auto"/>
              <w:jc w:val="center"/>
              <w:rPr>
                <w:rFonts w:asciiTheme="majorEastAsia" w:eastAsiaTheme="majorEastAsia" w:hAnsiTheme="majorEastAsia" w:cstheme="majorEastAsia"/>
                <w:sz w:val="24"/>
                <w:lang w:bidi="ar"/>
              </w:rPr>
            </w:pPr>
            <w:r>
              <w:rPr>
                <w:rFonts w:ascii="宋体" w:hAnsi="宋体" w:cs="宋体" w:hint="eastAsia"/>
                <w:sz w:val="24"/>
              </w:rPr>
              <w:t>心理测试系统</w:t>
            </w:r>
          </w:p>
        </w:tc>
        <w:tc>
          <w:tcPr>
            <w:tcW w:w="1504" w:type="dxa"/>
          </w:tcPr>
          <w:p w:rsidR="005E2B04" w:rsidRDefault="008501DC">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r>
              <w:rPr>
                <w:rFonts w:asciiTheme="majorEastAsia" w:eastAsiaTheme="majorEastAsia" w:hAnsiTheme="majorEastAsia" w:cstheme="majorEastAsia" w:hint="eastAsia"/>
                <w:sz w:val="24"/>
                <w:lang w:bidi="ar"/>
              </w:rPr>
              <w:t>套</w:t>
            </w:r>
          </w:p>
        </w:tc>
        <w:tc>
          <w:tcPr>
            <w:tcW w:w="2950" w:type="dxa"/>
          </w:tcPr>
          <w:p w:rsidR="005E2B04" w:rsidRDefault="008501DC">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心理精神科</w:t>
            </w:r>
          </w:p>
        </w:tc>
      </w:tr>
    </w:tbl>
    <w:p w:rsidR="005E2B04" w:rsidRDefault="005E2B04">
      <w:pPr>
        <w:pStyle w:val="af"/>
        <w:tabs>
          <w:tab w:val="left" w:pos="709"/>
        </w:tabs>
        <w:spacing w:line="360" w:lineRule="auto"/>
        <w:ind w:firstLineChars="0" w:firstLine="0"/>
        <w:rPr>
          <w:rFonts w:ascii="宋体" w:hAnsi="宋体" w:cs="宋体"/>
          <w:b/>
          <w:bCs/>
          <w:sz w:val="24"/>
        </w:rPr>
      </w:pPr>
    </w:p>
    <w:p w:rsidR="005E2B04" w:rsidRDefault="008501DC">
      <w:pPr>
        <w:pStyle w:val="af"/>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5E2B04" w:rsidRDefault="005E2B04">
      <w:pPr>
        <w:pStyle w:val="af"/>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5E2B04">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5E2B04" w:rsidRDefault="008501DC">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5E2B04" w:rsidRDefault="008501DC">
            <w:pPr>
              <w:jc w:val="center"/>
              <w:rPr>
                <w:rFonts w:ascii="宋体" w:hAnsi="宋体" w:cs="宋体"/>
                <w:b/>
                <w:bCs/>
                <w:color w:val="000000"/>
                <w:sz w:val="24"/>
              </w:rPr>
            </w:pPr>
            <w:r>
              <w:rPr>
                <w:rFonts w:ascii="宋体" w:hAnsi="宋体" w:cs="宋体" w:hint="eastAsia"/>
                <w:b/>
                <w:bCs/>
                <w:color w:val="000000"/>
                <w:sz w:val="24"/>
              </w:rPr>
              <w:t>参数需求</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5E2B04" w:rsidRDefault="008501DC">
            <w:pPr>
              <w:jc w:val="center"/>
              <w:rPr>
                <w:rFonts w:ascii="宋体" w:hAnsi="宋体" w:cs="宋体"/>
                <w:b/>
                <w:bCs/>
                <w:color w:val="000000"/>
                <w:sz w:val="24"/>
              </w:rPr>
            </w:pPr>
            <w:r>
              <w:rPr>
                <w:rFonts w:ascii="宋体" w:hAnsi="宋体" w:cs="宋体" w:hint="eastAsia"/>
                <w:b/>
                <w:bCs/>
                <w:color w:val="000000"/>
                <w:sz w:val="24"/>
              </w:rPr>
              <w:t>配置清单</w:t>
            </w:r>
          </w:p>
        </w:tc>
      </w:tr>
      <w:tr w:rsidR="005E2B04">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5E2B04" w:rsidRDefault="008501DC">
            <w:pPr>
              <w:jc w:val="left"/>
              <w:rPr>
                <w:rFonts w:ascii="宋体" w:hAnsi="宋体" w:cs="宋体"/>
                <w:szCs w:val="21"/>
              </w:rPr>
            </w:pPr>
            <w:r>
              <w:rPr>
                <w:rFonts w:ascii="宋体" w:hAnsi="宋体" w:cs="宋体" w:hint="eastAsia"/>
                <w:szCs w:val="21"/>
              </w:rPr>
              <w:t>心理测试系统</w:t>
            </w:r>
          </w:p>
        </w:tc>
        <w:tc>
          <w:tcPr>
            <w:tcW w:w="4432" w:type="dxa"/>
            <w:tcBorders>
              <w:top w:val="single" w:sz="6" w:space="0" w:color="auto"/>
              <w:left w:val="single" w:sz="6" w:space="0" w:color="auto"/>
              <w:bottom w:val="single" w:sz="6" w:space="0" w:color="auto"/>
              <w:right w:val="single" w:sz="6" w:space="0" w:color="auto"/>
              <w:tl2br w:val="nil"/>
              <w:tr2bl w:val="nil"/>
            </w:tcBorders>
          </w:tcPr>
          <w:p w:rsidR="005E2B04" w:rsidRDefault="008501DC">
            <w:pPr>
              <w:numPr>
                <w:ilvl w:val="0"/>
                <w:numId w:val="2"/>
              </w:numPr>
              <w:jc w:val="left"/>
            </w:pPr>
            <w:r>
              <w:rPr>
                <w:rFonts w:ascii="宋体" w:hAnsi="宋体" w:cs="宋体" w:hint="eastAsia"/>
                <w:szCs w:val="21"/>
              </w:rPr>
              <w:t>心理量表评估软件是精神、心理疾患的客观诊断依据，是精神心理的辅助诊断工具。</w:t>
            </w:r>
          </w:p>
          <w:p w:rsidR="005E2B04" w:rsidRDefault="008501DC">
            <w:pPr>
              <w:pStyle w:val="a0"/>
              <w:numPr>
                <w:ilvl w:val="0"/>
                <w:numId w:val="2"/>
              </w:numPr>
              <w:ind w:firstLineChars="0" w:firstLine="0"/>
              <w:rPr>
                <w:rFonts w:ascii="宋体" w:hAnsi="宋体" w:cs="宋体"/>
                <w:bCs/>
                <w:sz w:val="21"/>
                <w:szCs w:val="21"/>
              </w:rPr>
            </w:pPr>
            <w:r>
              <w:rPr>
                <w:rFonts w:ascii="宋体" w:hAnsi="宋体" w:cs="宋体" w:hint="eastAsia"/>
                <w:bCs/>
                <w:sz w:val="21"/>
                <w:szCs w:val="21"/>
              </w:rPr>
              <w:t>检查内容包括感知觉、思维、焦虑、抑郁、人格、睡眠、心理发育、性心理、人际关系、认知功能、学习能力、个人风格、职业倾向、婚恋和家庭问题、心理防御机制、心身疾病和心理疾病等方面，对心理健康和心理素质进行全面的测量。</w:t>
            </w:r>
            <w:r>
              <w:rPr>
                <w:rFonts w:ascii="宋体" w:hAnsi="宋体" w:cs="宋体" w:hint="eastAsia"/>
                <w:bCs/>
                <w:sz w:val="21"/>
                <w:szCs w:val="21"/>
              </w:rPr>
              <w:t xml:space="preserve"> </w:t>
            </w:r>
          </w:p>
          <w:p w:rsidR="005E2B04" w:rsidRDefault="008501DC">
            <w:pPr>
              <w:pStyle w:val="a0"/>
              <w:numPr>
                <w:ilvl w:val="0"/>
                <w:numId w:val="2"/>
              </w:numPr>
              <w:ind w:firstLineChars="0" w:firstLine="0"/>
              <w:rPr>
                <w:rFonts w:ascii="宋体" w:hAnsi="宋体" w:cs="宋体"/>
                <w:bCs/>
                <w:sz w:val="21"/>
                <w:szCs w:val="21"/>
              </w:rPr>
            </w:pPr>
            <w:r>
              <w:rPr>
                <w:rFonts w:ascii="宋体" w:hAnsi="宋体" w:cs="宋体" w:hint="eastAsia"/>
                <w:bCs/>
                <w:sz w:val="21"/>
                <w:szCs w:val="21"/>
              </w:rPr>
              <w:t>系统支持选配扩展脑神经调控模块，通过经颅微电流刺激疗法（</w:t>
            </w:r>
            <w:r>
              <w:rPr>
                <w:rFonts w:ascii="宋体" w:hAnsi="宋体" w:cs="宋体" w:hint="eastAsia"/>
                <w:bCs/>
                <w:sz w:val="21"/>
                <w:szCs w:val="21"/>
              </w:rPr>
              <w:t>CES</w:t>
            </w:r>
            <w:r>
              <w:rPr>
                <w:rFonts w:ascii="宋体" w:hAnsi="宋体" w:cs="宋体" w:hint="eastAsia"/>
                <w:bCs/>
                <w:sz w:val="21"/>
                <w:szCs w:val="21"/>
              </w:rPr>
              <w:t>）有效缓解失眠、焦虑等问题；</w:t>
            </w:r>
          </w:p>
          <w:p w:rsidR="005E2B04" w:rsidRDefault="008501DC">
            <w:pPr>
              <w:pStyle w:val="a0"/>
              <w:numPr>
                <w:ilvl w:val="0"/>
                <w:numId w:val="2"/>
              </w:numPr>
              <w:ind w:firstLineChars="0" w:firstLine="0"/>
              <w:rPr>
                <w:rFonts w:ascii="宋体" w:hAnsi="宋体" w:cs="宋体"/>
                <w:bCs/>
                <w:sz w:val="21"/>
                <w:szCs w:val="21"/>
              </w:rPr>
            </w:pPr>
            <w:r>
              <w:rPr>
                <w:rFonts w:ascii="宋体" w:hAnsi="宋体" w:cs="宋体" w:hint="eastAsia"/>
                <w:bCs/>
                <w:sz w:val="21"/>
                <w:szCs w:val="21"/>
              </w:rPr>
              <w:t>可实现一台管理端同时搭载多台</w:t>
            </w:r>
            <w:r>
              <w:rPr>
                <w:rFonts w:ascii="宋体" w:hAnsi="宋体" w:cs="宋体" w:hint="eastAsia"/>
                <w:bCs/>
                <w:sz w:val="21"/>
                <w:szCs w:val="21"/>
              </w:rPr>
              <w:t>CES</w:t>
            </w:r>
            <w:r>
              <w:rPr>
                <w:rFonts w:ascii="宋体" w:hAnsi="宋体" w:cs="宋体" w:hint="eastAsia"/>
                <w:bCs/>
                <w:sz w:val="21"/>
                <w:szCs w:val="21"/>
              </w:rPr>
              <w:t>硬件系统支持同一患者同一量表不同时间结果对</w:t>
            </w:r>
            <w:r>
              <w:rPr>
                <w:rFonts w:ascii="宋体" w:hAnsi="宋体" w:cs="宋体" w:hint="eastAsia"/>
                <w:bCs/>
                <w:sz w:val="21"/>
                <w:szCs w:val="21"/>
              </w:rPr>
              <w:lastRenderedPageBreak/>
              <w:t>比，可出具对比报告。</w:t>
            </w:r>
          </w:p>
          <w:p w:rsidR="005E2B04" w:rsidRDefault="008501DC">
            <w:pPr>
              <w:pStyle w:val="a0"/>
              <w:numPr>
                <w:ilvl w:val="0"/>
                <w:numId w:val="2"/>
              </w:numPr>
              <w:ind w:firstLineChars="0" w:firstLine="0"/>
              <w:rPr>
                <w:rFonts w:ascii="宋体" w:hAnsi="宋体" w:cs="宋体"/>
                <w:bCs/>
                <w:sz w:val="21"/>
                <w:szCs w:val="21"/>
              </w:rPr>
            </w:pPr>
            <w:r>
              <w:rPr>
                <w:rFonts w:ascii="宋体" w:hAnsi="宋体" w:cs="宋体" w:hint="eastAsia"/>
                <w:bCs/>
                <w:sz w:val="21"/>
                <w:szCs w:val="21"/>
              </w:rPr>
              <w:t>系统支持同一量表不同时间的报告合</w:t>
            </w:r>
            <w:r>
              <w:rPr>
                <w:rFonts w:ascii="宋体" w:hAnsi="宋体" w:cs="宋体" w:hint="eastAsia"/>
                <w:bCs/>
                <w:sz w:val="21"/>
                <w:szCs w:val="21"/>
              </w:rPr>
              <w:t>并打印，便于住院报告打印归档，合并报告支持自定义医生评估、复核双签名勾选。</w:t>
            </w:r>
          </w:p>
          <w:p w:rsidR="005E2B04" w:rsidRDefault="008501DC">
            <w:pPr>
              <w:pStyle w:val="a0"/>
              <w:numPr>
                <w:ilvl w:val="0"/>
                <w:numId w:val="2"/>
              </w:numPr>
              <w:ind w:firstLineChars="0" w:firstLine="0"/>
              <w:rPr>
                <w:rFonts w:ascii="宋体" w:hAnsi="宋体" w:cs="宋体"/>
                <w:sz w:val="21"/>
                <w:szCs w:val="21"/>
              </w:rPr>
            </w:pPr>
            <w:r>
              <w:rPr>
                <w:rFonts w:ascii="宋体" w:hAnsi="宋体" w:cs="宋体" w:hint="eastAsia"/>
                <w:bCs/>
                <w:sz w:val="21"/>
                <w:szCs w:val="21"/>
              </w:rPr>
              <w:t>系统具有处方管理功能：支持医生一次性开具长期且定期重复的处方量表套餐，每个医生账号单独管理所负责患者，指定时间内定时测评提示，待诊、已诊患者提示，方便医生对长期且定期复诊患者及住院患者进行评估和管理。本功能可在系统内独立使用，也可以对接</w:t>
            </w:r>
            <w:r>
              <w:rPr>
                <w:rFonts w:ascii="宋体" w:hAnsi="宋体" w:cs="宋体" w:hint="eastAsia"/>
                <w:bCs/>
                <w:sz w:val="21"/>
                <w:szCs w:val="21"/>
              </w:rPr>
              <w:t>his</w:t>
            </w:r>
            <w:r>
              <w:rPr>
                <w:rFonts w:ascii="宋体" w:hAnsi="宋体" w:cs="宋体" w:hint="eastAsia"/>
                <w:bCs/>
                <w:sz w:val="21"/>
                <w:szCs w:val="21"/>
              </w:rPr>
              <w:t>系统使用。</w:t>
            </w:r>
          </w:p>
        </w:tc>
        <w:tc>
          <w:tcPr>
            <w:tcW w:w="2643" w:type="dxa"/>
            <w:tcBorders>
              <w:top w:val="single" w:sz="6" w:space="0" w:color="auto"/>
              <w:left w:val="single" w:sz="6" w:space="0" w:color="auto"/>
              <w:bottom w:val="single" w:sz="6" w:space="0" w:color="auto"/>
              <w:right w:val="single" w:sz="6" w:space="0" w:color="auto"/>
              <w:tl2br w:val="nil"/>
              <w:tr2bl w:val="nil"/>
            </w:tcBorders>
          </w:tcPr>
          <w:p w:rsidR="005E2B04" w:rsidRDefault="008501DC">
            <w:pPr>
              <w:spacing w:line="480" w:lineRule="auto"/>
              <w:rPr>
                <w:rFonts w:ascii="宋体" w:hAnsi="宋体" w:cs="宋体"/>
                <w:bCs/>
                <w:szCs w:val="21"/>
              </w:rPr>
            </w:pPr>
            <w:r>
              <w:rPr>
                <w:rFonts w:ascii="宋体" w:hAnsi="宋体" w:cs="宋体" w:hint="eastAsia"/>
                <w:bCs/>
                <w:szCs w:val="21"/>
              </w:rPr>
              <w:lastRenderedPageBreak/>
              <w:t>1</w:t>
            </w:r>
            <w:r>
              <w:rPr>
                <w:rFonts w:ascii="宋体" w:hAnsi="宋体" w:cs="宋体" w:hint="eastAsia"/>
                <w:bCs/>
                <w:szCs w:val="21"/>
              </w:rPr>
              <w:t>、心理量表评估软件</w:t>
            </w:r>
            <w:r>
              <w:rPr>
                <w:rFonts w:ascii="宋体" w:hAnsi="宋体" w:cs="宋体" w:hint="eastAsia"/>
                <w:bCs/>
                <w:szCs w:val="21"/>
              </w:rPr>
              <w:t xml:space="preserve"> </w:t>
            </w:r>
            <w:r>
              <w:rPr>
                <w:rFonts w:ascii="宋体" w:hAnsi="宋体" w:cs="宋体" w:hint="eastAsia"/>
                <w:bCs/>
                <w:szCs w:val="21"/>
                <w:u w:val="single"/>
              </w:rPr>
              <w:t>1</w:t>
            </w:r>
            <w:r>
              <w:rPr>
                <w:rFonts w:ascii="宋体" w:hAnsi="宋体" w:cs="宋体" w:hint="eastAsia"/>
                <w:bCs/>
                <w:szCs w:val="21"/>
              </w:rPr>
              <w:t xml:space="preserve"> </w:t>
            </w:r>
            <w:r>
              <w:rPr>
                <w:rFonts w:ascii="宋体" w:hAnsi="宋体" w:cs="宋体" w:hint="eastAsia"/>
                <w:bCs/>
                <w:szCs w:val="21"/>
              </w:rPr>
              <w:t>套</w:t>
            </w:r>
          </w:p>
          <w:p w:rsidR="005E2B04" w:rsidRDefault="008501DC">
            <w:pPr>
              <w:spacing w:line="48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、主控机（医生端）</w:t>
            </w:r>
            <w:r>
              <w:rPr>
                <w:rFonts w:ascii="宋体" w:hAnsi="宋体" w:cs="宋体" w:hint="eastAsia"/>
                <w:bCs/>
                <w:szCs w:val="21"/>
                <w:u w:val="single"/>
              </w:rPr>
              <w:t>1</w:t>
            </w:r>
            <w:r>
              <w:rPr>
                <w:rFonts w:ascii="宋体" w:hAnsi="宋体" w:cs="宋体" w:hint="eastAsia"/>
                <w:bCs/>
                <w:szCs w:val="21"/>
              </w:rPr>
              <w:t xml:space="preserve"> </w:t>
            </w:r>
            <w:r>
              <w:rPr>
                <w:rFonts w:ascii="宋体" w:hAnsi="宋体" w:cs="宋体" w:hint="eastAsia"/>
                <w:bCs/>
                <w:szCs w:val="21"/>
              </w:rPr>
              <w:t>台</w:t>
            </w:r>
          </w:p>
          <w:p w:rsidR="005E2B04" w:rsidRDefault="008501DC">
            <w:pPr>
              <w:spacing w:line="480" w:lineRule="auto"/>
              <w:rPr>
                <w:rFonts w:ascii="宋体" w:hAnsi="宋体" w:cs="宋体"/>
                <w:bCs/>
                <w:szCs w:val="21"/>
              </w:rPr>
            </w:pPr>
            <w:r>
              <w:rPr>
                <w:rFonts w:ascii="宋体" w:hAnsi="宋体" w:cs="宋体" w:hint="eastAsia"/>
                <w:bCs/>
                <w:szCs w:val="21"/>
              </w:rPr>
              <w:t>3</w:t>
            </w:r>
            <w:r>
              <w:rPr>
                <w:rFonts w:ascii="宋体" w:hAnsi="宋体" w:cs="宋体" w:hint="eastAsia"/>
                <w:bCs/>
                <w:szCs w:val="21"/>
              </w:rPr>
              <w:t>、心理</w:t>
            </w:r>
            <w:r>
              <w:rPr>
                <w:rFonts w:ascii="宋体" w:hAnsi="宋体" w:cs="宋体" w:hint="eastAsia"/>
                <w:bCs/>
                <w:szCs w:val="21"/>
              </w:rPr>
              <w:t>CT</w:t>
            </w:r>
            <w:r>
              <w:rPr>
                <w:rFonts w:ascii="宋体" w:hAnsi="宋体" w:cs="宋体" w:hint="eastAsia"/>
                <w:bCs/>
                <w:szCs w:val="21"/>
              </w:rPr>
              <w:t>移动测查终端机（患者端）</w:t>
            </w:r>
            <w:r>
              <w:rPr>
                <w:rFonts w:ascii="宋体" w:hAnsi="宋体" w:cs="宋体" w:hint="eastAsia"/>
                <w:bCs/>
                <w:szCs w:val="21"/>
                <w:u w:val="single"/>
              </w:rPr>
              <w:t xml:space="preserve"> 1</w:t>
            </w:r>
            <w:r>
              <w:rPr>
                <w:rFonts w:ascii="宋体" w:hAnsi="宋体" w:cs="宋体" w:hint="eastAsia"/>
                <w:bCs/>
                <w:szCs w:val="21"/>
              </w:rPr>
              <w:t>台</w:t>
            </w:r>
          </w:p>
          <w:p w:rsidR="005E2B04" w:rsidRDefault="008501DC">
            <w:pPr>
              <w:spacing w:line="360" w:lineRule="auto"/>
              <w:rPr>
                <w:rFonts w:ascii="宋体" w:hAnsi="宋体" w:cs="宋体"/>
                <w:bCs/>
                <w:szCs w:val="21"/>
              </w:rPr>
            </w:pPr>
            <w:r>
              <w:rPr>
                <w:rFonts w:ascii="宋体" w:hAnsi="宋体" w:cs="宋体" w:hint="eastAsia"/>
                <w:bCs/>
                <w:szCs w:val="21"/>
              </w:rPr>
              <w:t>4</w:t>
            </w:r>
            <w:r>
              <w:rPr>
                <w:rFonts w:ascii="宋体" w:hAnsi="宋体" w:cs="宋体" w:hint="eastAsia"/>
                <w:bCs/>
                <w:szCs w:val="21"/>
              </w:rPr>
              <w:t>、心理</w:t>
            </w:r>
            <w:r>
              <w:rPr>
                <w:rFonts w:ascii="宋体" w:hAnsi="宋体" w:cs="宋体" w:hint="eastAsia"/>
                <w:bCs/>
                <w:szCs w:val="21"/>
              </w:rPr>
              <w:t>CT</w:t>
            </w:r>
            <w:r>
              <w:rPr>
                <w:rFonts w:ascii="宋体" w:hAnsi="宋体" w:cs="宋体" w:hint="eastAsia"/>
                <w:bCs/>
                <w:szCs w:val="21"/>
              </w:rPr>
              <w:t>固定测试终端机（患者端）</w:t>
            </w:r>
            <w:r>
              <w:rPr>
                <w:rFonts w:ascii="宋体" w:hAnsi="宋体" w:cs="宋体" w:hint="eastAsia"/>
                <w:bCs/>
                <w:szCs w:val="21"/>
                <w:u w:val="single"/>
              </w:rPr>
              <w:t xml:space="preserve"> </w:t>
            </w:r>
            <w:r>
              <w:rPr>
                <w:rFonts w:ascii="宋体" w:hAnsi="宋体" w:cs="宋体" w:hint="eastAsia"/>
                <w:bCs/>
                <w:szCs w:val="21"/>
                <w:u w:val="single"/>
              </w:rPr>
              <w:t>多</w:t>
            </w:r>
            <w:r>
              <w:rPr>
                <w:rFonts w:ascii="宋体" w:hAnsi="宋体" w:cs="宋体" w:hint="eastAsia"/>
                <w:bCs/>
                <w:szCs w:val="21"/>
              </w:rPr>
              <w:t>台</w:t>
            </w:r>
          </w:p>
          <w:p w:rsidR="005E2B04" w:rsidRDefault="008501DC" w:rsidP="002330BB">
            <w:pPr>
              <w:spacing w:line="480" w:lineRule="auto"/>
              <w:rPr>
                <w:rFonts w:ascii="宋体" w:hAnsi="宋体" w:cs="宋体"/>
                <w:szCs w:val="21"/>
              </w:rPr>
            </w:pPr>
            <w:r>
              <w:rPr>
                <w:rFonts w:ascii="宋体" w:hAnsi="宋体" w:cs="宋体" w:hint="eastAsia"/>
                <w:bCs/>
                <w:szCs w:val="21"/>
              </w:rPr>
              <w:t>5</w:t>
            </w:r>
            <w:r>
              <w:rPr>
                <w:rFonts w:ascii="宋体" w:hAnsi="宋体" w:cs="宋体" w:hint="eastAsia"/>
                <w:bCs/>
                <w:szCs w:val="21"/>
              </w:rPr>
              <w:t>、报告</w:t>
            </w:r>
            <w:r>
              <w:rPr>
                <w:rFonts w:ascii="宋体" w:hAnsi="宋体" w:cs="宋体" w:hint="eastAsia"/>
                <w:bCs/>
                <w:szCs w:val="21"/>
              </w:rPr>
              <w:t>图文输出</w:t>
            </w:r>
            <w:r>
              <w:rPr>
                <w:rFonts w:ascii="宋体" w:hAnsi="宋体" w:cs="宋体"/>
                <w:bCs/>
                <w:szCs w:val="21"/>
              </w:rPr>
              <w:t>设备</w:t>
            </w:r>
            <w:r>
              <w:rPr>
                <w:rFonts w:ascii="宋体" w:hAnsi="宋体" w:cs="宋体" w:hint="eastAsia"/>
                <w:bCs/>
                <w:szCs w:val="21"/>
              </w:rPr>
              <w:t xml:space="preserve"> </w:t>
            </w:r>
            <w:r>
              <w:rPr>
                <w:rFonts w:ascii="宋体" w:hAnsi="宋体" w:cs="宋体" w:hint="eastAsia"/>
                <w:bCs/>
                <w:szCs w:val="21"/>
                <w:u w:val="single"/>
              </w:rPr>
              <w:t xml:space="preserve"> 1 </w:t>
            </w:r>
            <w:r>
              <w:rPr>
                <w:rFonts w:ascii="宋体" w:hAnsi="宋体" w:cs="宋体" w:hint="eastAsia"/>
                <w:bCs/>
                <w:szCs w:val="21"/>
              </w:rPr>
              <w:t>台</w:t>
            </w:r>
          </w:p>
        </w:tc>
      </w:tr>
    </w:tbl>
    <w:p w:rsidR="005E2B04" w:rsidRDefault="005E2B04">
      <w:pPr>
        <w:pStyle w:val="af"/>
        <w:tabs>
          <w:tab w:val="left" w:pos="709"/>
        </w:tabs>
        <w:spacing w:line="360" w:lineRule="auto"/>
        <w:ind w:firstLineChars="0" w:firstLine="0"/>
        <w:rPr>
          <w:rFonts w:ascii="宋体" w:hAnsi="宋体" w:cs="宋体"/>
          <w:b/>
          <w:bCs/>
          <w:sz w:val="24"/>
        </w:rPr>
      </w:pPr>
    </w:p>
    <w:p w:rsidR="005E2B04" w:rsidRDefault="008501DC">
      <w:pPr>
        <w:pStyle w:val="aa"/>
        <w:widowControl/>
        <w:rPr>
          <w:b/>
          <w:bCs/>
        </w:rPr>
      </w:pPr>
      <w:r>
        <w:rPr>
          <w:b/>
          <w:bCs/>
        </w:rPr>
        <w:t>三、报名资料要求：</w:t>
      </w:r>
      <w:r>
        <w:rPr>
          <w:b/>
          <w:bCs/>
        </w:rPr>
        <w:t> </w:t>
      </w:r>
    </w:p>
    <w:p w:rsidR="005E2B04" w:rsidRDefault="008501DC">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5E2B04" w:rsidRDefault="008501DC">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5E2B04">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5E2B04" w:rsidRDefault="008501DC">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5E2B04" w:rsidRDefault="008501DC">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5E2B04" w:rsidRDefault="008501DC">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5E2B04" w:rsidRDefault="008501DC">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5E2B04">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5E2B04" w:rsidRDefault="005E2B04">
            <w:pPr>
              <w:jc w:val="center"/>
              <w:rPr>
                <w:rFonts w:ascii="宋体" w:hAnsi="宋体" w:cs="宋体"/>
                <w:color w:val="000000"/>
                <w:sz w:val="22"/>
                <w:szCs w:val="22"/>
              </w:rPr>
            </w:pPr>
          </w:p>
        </w:tc>
      </w:tr>
    </w:tbl>
    <w:p w:rsidR="005E2B04" w:rsidRDefault="008501DC">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5E2B04" w:rsidRDefault="008501DC">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5E2B04" w:rsidRDefault="008501DC">
      <w:pPr>
        <w:numPr>
          <w:ilvl w:val="0"/>
          <w:numId w:val="3"/>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10665" w:type="dxa"/>
        <w:tblInd w:w="-986" w:type="dxa"/>
        <w:tblLayout w:type="fixed"/>
        <w:tblLook w:val="04A0" w:firstRow="1" w:lastRow="0" w:firstColumn="1" w:lastColumn="0" w:noHBand="0" w:noVBand="1"/>
      </w:tblPr>
      <w:tblGrid>
        <w:gridCol w:w="975"/>
        <w:gridCol w:w="1365"/>
        <w:gridCol w:w="1215"/>
        <w:gridCol w:w="915"/>
        <w:gridCol w:w="780"/>
        <w:gridCol w:w="1170"/>
        <w:gridCol w:w="1065"/>
        <w:gridCol w:w="1305"/>
        <w:gridCol w:w="1050"/>
        <w:gridCol w:w="825"/>
      </w:tblGrid>
      <w:tr w:rsidR="005E2B04">
        <w:tc>
          <w:tcPr>
            <w:tcW w:w="975" w:type="dxa"/>
          </w:tcPr>
          <w:p w:rsidR="005E2B04" w:rsidRDefault="008501DC">
            <w:r>
              <w:rPr>
                <w:rFonts w:hint="eastAsia"/>
              </w:rPr>
              <w:t>序号</w:t>
            </w:r>
          </w:p>
        </w:tc>
        <w:tc>
          <w:tcPr>
            <w:tcW w:w="1365" w:type="dxa"/>
          </w:tcPr>
          <w:p w:rsidR="005E2B04" w:rsidRDefault="008501DC">
            <w:r>
              <w:rPr>
                <w:rFonts w:hint="eastAsia"/>
              </w:rPr>
              <w:t>耗材产品名称</w:t>
            </w:r>
          </w:p>
        </w:tc>
        <w:tc>
          <w:tcPr>
            <w:tcW w:w="1215" w:type="dxa"/>
          </w:tcPr>
          <w:p w:rsidR="005E2B04" w:rsidRDefault="008501DC">
            <w:r>
              <w:rPr>
                <w:rFonts w:hint="eastAsia"/>
              </w:rPr>
              <w:t>耗材规格型号</w:t>
            </w:r>
          </w:p>
        </w:tc>
        <w:tc>
          <w:tcPr>
            <w:tcW w:w="915" w:type="dxa"/>
          </w:tcPr>
          <w:p w:rsidR="005E2B04" w:rsidRDefault="008501DC">
            <w:r>
              <w:rPr>
                <w:rFonts w:hint="eastAsia"/>
              </w:rPr>
              <w:t>品牌</w:t>
            </w:r>
          </w:p>
        </w:tc>
        <w:tc>
          <w:tcPr>
            <w:tcW w:w="780" w:type="dxa"/>
          </w:tcPr>
          <w:p w:rsidR="005E2B04" w:rsidRDefault="008501DC">
            <w:r>
              <w:rPr>
                <w:rFonts w:hint="eastAsia"/>
              </w:rPr>
              <w:t>单价</w:t>
            </w:r>
          </w:p>
        </w:tc>
        <w:tc>
          <w:tcPr>
            <w:tcW w:w="1170" w:type="dxa"/>
          </w:tcPr>
          <w:p w:rsidR="005E2B04" w:rsidRDefault="008501DC">
            <w:r>
              <w:rPr>
                <w:rFonts w:hint="eastAsia"/>
              </w:rPr>
              <w:t>注册证号</w:t>
            </w:r>
          </w:p>
        </w:tc>
        <w:tc>
          <w:tcPr>
            <w:tcW w:w="1065" w:type="dxa"/>
          </w:tcPr>
          <w:p w:rsidR="005E2B04" w:rsidRDefault="008501DC">
            <w:r>
              <w:rPr>
                <w:rFonts w:hint="eastAsia"/>
              </w:rPr>
              <w:t>医保码</w:t>
            </w:r>
          </w:p>
        </w:tc>
        <w:tc>
          <w:tcPr>
            <w:tcW w:w="1305" w:type="dxa"/>
          </w:tcPr>
          <w:p w:rsidR="005E2B04" w:rsidRDefault="008501DC">
            <w:pPr>
              <w:rPr>
                <w:sz w:val="20"/>
                <w:szCs w:val="22"/>
              </w:rPr>
            </w:pPr>
            <w:r>
              <w:rPr>
                <w:rFonts w:hint="eastAsia"/>
                <w:sz w:val="20"/>
                <w:szCs w:val="22"/>
              </w:rPr>
              <w:t>是否一次性使用耗材</w:t>
            </w:r>
          </w:p>
        </w:tc>
        <w:tc>
          <w:tcPr>
            <w:tcW w:w="1050" w:type="dxa"/>
          </w:tcPr>
          <w:p w:rsidR="005E2B04" w:rsidRDefault="008501DC">
            <w:pPr>
              <w:rPr>
                <w:sz w:val="20"/>
                <w:szCs w:val="22"/>
              </w:rPr>
            </w:pPr>
            <w:r>
              <w:rPr>
                <w:rFonts w:hint="eastAsia"/>
                <w:sz w:val="20"/>
                <w:szCs w:val="22"/>
              </w:rPr>
              <w:t>是否可用通用耗材</w:t>
            </w:r>
          </w:p>
        </w:tc>
        <w:tc>
          <w:tcPr>
            <w:tcW w:w="825" w:type="dxa"/>
          </w:tcPr>
          <w:p w:rsidR="005E2B04" w:rsidRDefault="008501DC">
            <w:r>
              <w:rPr>
                <w:rFonts w:hint="eastAsia"/>
              </w:rPr>
              <w:t>备注</w:t>
            </w:r>
          </w:p>
        </w:tc>
      </w:tr>
      <w:tr w:rsidR="005E2B04">
        <w:tc>
          <w:tcPr>
            <w:tcW w:w="975" w:type="dxa"/>
          </w:tcPr>
          <w:p w:rsidR="005E2B04" w:rsidRDefault="005E2B04"/>
        </w:tc>
        <w:tc>
          <w:tcPr>
            <w:tcW w:w="1365" w:type="dxa"/>
          </w:tcPr>
          <w:p w:rsidR="005E2B04" w:rsidRDefault="005E2B04"/>
        </w:tc>
        <w:tc>
          <w:tcPr>
            <w:tcW w:w="1215" w:type="dxa"/>
          </w:tcPr>
          <w:p w:rsidR="005E2B04" w:rsidRDefault="005E2B04"/>
        </w:tc>
        <w:tc>
          <w:tcPr>
            <w:tcW w:w="915" w:type="dxa"/>
          </w:tcPr>
          <w:p w:rsidR="005E2B04" w:rsidRDefault="005E2B04"/>
        </w:tc>
        <w:tc>
          <w:tcPr>
            <w:tcW w:w="780" w:type="dxa"/>
          </w:tcPr>
          <w:p w:rsidR="005E2B04" w:rsidRDefault="005E2B04"/>
        </w:tc>
        <w:tc>
          <w:tcPr>
            <w:tcW w:w="1170" w:type="dxa"/>
          </w:tcPr>
          <w:p w:rsidR="005E2B04" w:rsidRDefault="005E2B04"/>
        </w:tc>
        <w:tc>
          <w:tcPr>
            <w:tcW w:w="1065" w:type="dxa"/>
          </w:tcPr>
          <w:p w:rsidR="005E2B04" w:rsidRDefault="005E2B04"/>
        </w:tc>
        <w:tc>
          <w:tcPr>
            <w:tcW w:w="1305" w:type="dxa"/>
          </w:tcPr>
          <w:p w:rsidR="005E2B04" w:rsidRDefault="005E2B04"/>
        </w:tc>
        <w:tc>
          <w:tcPr>
            <w:tcW w:w="1050" w:type="dxa"/>
          </w:tcPr>
          <w:p w:rsidR="005E2B04" w:rsidRDefault="005E2B04"/>
        </w:tc>
        <w:tc>
          <w:tcPr>
            <w:tcW w:w="825" w:type="dxa"/>
          </w:tcPr>
          <w:p w:rsidR="005E2B04" w:rsidRDefault="005E2B04"/>
        </w:tc>
      </w:tr>
    </w:tbl>
    <w:p w:rsidR="005E2B04" w:rsidRDefault="008501DC">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5E2B04" w:rsidRDefault="008501DC">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5E2B04" w:rsidRDefault="008501DC">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5E2B04" w:rsidRDefault="008501DC">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5E2B04" w:rsidRDefault="008501DC">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5E2B04" w:rsidRDefault="008501DC">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5E2B04" w:rsidRDefault="008501DC">
      <w:pPr>
        <w:spacing w:line="360" w:lineRule="auto"/>
        <w:rPr>
          <w:rFonts w:ascii="宋体" w:hAnsi="宋体"/>
          <w:color w:val="000000"/>
          <w:szCs w:val="21"/>
        </w:rPr>
      </w:pPr>
      <w:r>
        <w:rPr>
          <w:rFonts w:ascii="宋体" w:hAnsi="宋体" w:hint="eastAsia"/>
          <w:color w:val="000000"/>
          <w:szCs w:val="21"/>
          <w:shd w:val="clear" w:color="auto" w:fill="FFFFFF"/>
        </w:rPr>
        <w:lastRenderedPageBreak/>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5E2B04" w:rsidRDefault="008501DC">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5E2B04" w:rsidRDefault="008501DC">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w:t>
      </w:r>
      <w:r>
        <w:rPr>
          <w:rFonts w:ascii="宋体" w:hAnsi="宋体"/>
          <w:color w:val="000000"/>
          <w:kern w:val="2"/>
          <w:sz w:val="21"/>
          <w:szCs w:val="21"/>
          <w:shd w:val="clear" w:color="auto" w:fill="FFFFFF"/>
        </w:rPr>
        <w:t>《用户需求书》响应细化表（要求对已有需求作出明确响应，列明具体响应数值或内容，并且完善细化技术要求和补充可提供的商务服务）</w:t>
      </w:r>
    </w:p>
    <w:p w:rsidR="005E2B04" w:rsidRDefault="008501DC">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5E2B04" w:rsidRDefault="008501DC">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w:t>
      </w:r>
      <w:r>
        <w:rPr>
          <w:rFonts w:ascii="宋体" w:hAnsi="宋体" w:hint="eastAsia"/>
          <w:color w:val="000000"/>
          <w:szCs w:val="21"/>
        </w:rPr>
        <w:t>020-</w:t>
      </w:r>
      <w:r>
        <w:rPr>
          <w:rFonts w:ascii="宋体" w:hAnsi="宋体"/>
          <w:color w:val="000000"/>
          <w:szCs w:val="21"/>
        </w:rPr>
        <w:t>34858223</w:t>
      </w:r>
    </w:p>
    <w:p w:rsidR="005E2B04" w:rsidRDefault="008501DC">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号儿童发热门诊大楼三楼设备科</w:t>
      </w:r>
      <w:r>
        <w:rPr>
          <w:rFonts w:ascii="宋体" w:hAnsi="宋体" w:hint="eastAsia"/>
          <w:color w:val="000000"/>
          <w:szCs w:val="21"/>
        </w:rPr>
        <w:t xml:space="preserve"> </w:t>
      </w:r>
    </w:p>
    <w:p w:rsidR="005E2B04" w:rsidRDefault="008501DC">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5E2B04" w:rsidRDefault="008501DC">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w:t>
      </w:r>
      <w:r>
        <w:rPr>
          <w:rFonts w:ascii="宋体" w:hAnsi="宋体" w:cs="宋体" w:hint="eastAsia"/>
          <w:szCs w:val="21"/>
          <w:shd w:val="clear" w:color="auto" w:fill="FFFFFF"/>
        </w:rPr>
        <w:t>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5E2B04" w:rsidRDefault="008501DC">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5</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21</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5</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27</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18:00</w:t>
      </w:r>
      <w:r>
        <w:rPr>
          <w:rFonts w:ascii="宋体" w:hAnsi="宋体" w:cs="宋体" w:hint="eastAsia"/>
          <w:b/>
          <w:bCs/>
          <w:color w:val="000000"/>
          <w:szCs w:val="21"/>
          <w:shd w:val="clear" w:color="auto" w:fill="FFFFFF"/>
        </w:rPr>
        <w:t>，后续等通知邀请现场会议。</w:t>
      </w:r>
    </w:p>
    <w:p w:rsidR="005E2B04" w:rsidRDefault="008501DC">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w:t>
      </w:r>
      <w:r>
        <w:rPr>
          <w:rFonts w:ascii="宋体" w:hAnsi="宋体" w:cs="宋体" w:hint="eastAsia"/>
          <w:b/>
          <w:bCs/>
          <w:color w:val="000000"/>
          <w:szCs w:val="21"/>
          <w:shd w:val="clear" w:color="auto" w:fill="FFFFFF"/>
        </w:rPr>
        <w:t>纸质材料准备：纸质材料一式五份（一正四副），先寄一份纸质材料到医院地点。</w:t>
      </w:r>
    </w:p>
    <w:p w:rsidR="005E2B04" w:rsidRDefault="008501DC">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电子材料准备：扫描一份报价单、配置清单即可，以</w:t>
      </w:r>
      <w:r>
        <w:rPr>
          <w:rFonts w:ascii="宋体" w:hAnsi="宋体" w:cs="宋体" w:hint="eastAsia"/>
          <w:b/>
          <w:bCs/>
          <w:color w:val="000000"/>
          <w:szCs w:val="21"/>
          <w:shd w:val="clear" w:color="auto" w:fill="FFFFFF"/>
        </w:rPr>
        <w:t>PDF</w:t>
      </w:r>
      <w:r>
        <w:rPr>
          <w:rFonts w:ascii="宋体" w:hAnsi="宋体" w:cs="宋体" w:hint="eastAsia"/>
          <w:b/>
          <w:bCs/>
          <w:color w:val="000000"/>
          <w:szCs w:val="21"/>
          <w:shd w:val="clear" w:color="auto" w:fill="FFFFFF"/>
        </w:rPr>
        <w:t>格式发送邮箱：</w:t>
      </w:r>
      <w:r>
        <w:rPr>
          <w:rFonts w:ascii="宋体" w:hAnsi="宋体" w:cs="宋体" w:hint="eastAsia"/>
          <w:b/>
          <w:bCs/>
          <w:color w:val="000000"/>
          <w:szCs w:val="21"/>
          <w:shd w:val="clear" w:color="auto" w:fill="FFFFFF"/>
        </w:rPr>
        <w:t>pyzxyysbk@163.</w:t>
      </w:r>
      <w:r>
        <w:rPr>
          <w:rFonts w:ascii="宋体" w:hAnsi="宋体" w:cs="宋体" w:hint="eastAsia"/>
          <w:b/>
          <w:bCs/>
          <w:color w:val="000000"/>
          <w:szCs w:val="21"/>
          <w:shd w:val="clear" w:color="auto" w:fill="FFFFFF"/>
        </w:rPr>
        <w:t>com</w:t>
      </w:r>
      <w:r>
        <w:rPr>
          <w:rFonts w:ascii="宋体" w:hAnsi="宋体" w:cs="宋体" w:hint="eastAsia"/>
          <w:b/>
          <w:bCs/>
          <w:color w:val="000000"/>
          <w:szCs w:val="21"/>
          <w:shd w:val="clear" w:color="auto" w:fill="FFFFFF"/>
        </w:rPr>
        <w:t>；压缩包命名规则：</w:t>
      </w:r>
      <w:r>
        <w:rPr>
          <w:rFonts w:ascii="宋体" w:hAnsi="宋体" w:cs="宋体" w:hint="eastAsia"/>
          <w:b/>
          <w:bCs/>
          <w:color w:val="000000"/>
          <w:szCs w:val="21"/>
          <w:shd w:val="clear" w:color="auto" w:fill="FFFFFF"/>
        </w:rPr>
        <w:t>A</w:t>
      </w:r>
      <w:r>
        <w:rPr>
          <w:rFonts w:ascii="宋体" w:hAnsi="宋体" w:cs="宋体" w:hint="eastAsia"/>
          <w:b/>
          <w:bCs/>
          <w:color w:val="000000"/>
          <w:szCs w:val="21"/>
          <w:shd w:val="clear" w:color="auto" w:fill="FFFFFF"/>
        </w:rPr>
        <w:t>项目名称</w:t>
      </w: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供应商。</w:t>
      </w:r>
    </w:p>
    <w:p w:rsidR="005E2B04" w:rsidRDefault="008501DC">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后</w:t>
      </w:r>
      <w:r>
        <w:rPr>
          <w:rFonts w:ascii="宋体" w:hAnsi="宋体" w:cs="宋体" w:hint="eastAsia"/>
          <w:color w:val="000000"/>
          <w:szCs w:val="21"/>
          <w:shd w:val="clear" w:color="auto" w:fill="FFFFFF"/>
        </w:rPr>
        <w:t>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电话通知市场调查会议时间，会议当天准备多带几份纸质材料。</w:t>
      </w:r>
    </w:p>
    <w:p w:rsidR="005E2B04" w:rsidRDefault="005E2B04">
      <w:pPr>
        <w:spacing w:line="360" w:lineRule="auto"/>
        <w:ind w:firstLineChars="200" w:firstLine="420"/>
        <w:rPr>
          <w:rFonts w:ascii="宋体" w:hAnsi="宋体" w:cs="宋体"/>
          <w:color w:val="000000"/>
          <w:szCs w:val="21"/>
          <w:shd w:val="clear" w:color="auto" w:fill="FFFFFF"/>
        </w:rPr>
      </w:pPr>
    </w:p>
    <w:p w:rsidR="005E2B04" w:rsidRPr="002330BB" w:rsidRDefault="008501DC">
      <w:pPr>
        <w:tabs>
          <w:tab w:val="left" w:pos="1140"/>
        </w:tabs>
        <w:spacing w:line="600" w:lineRule="auto"/>
        <w:jc w:val="left"/>
        <w:rPr>
          <w:rFonts w:ascii="宋体" w:hAnsi="宋体"/>
        </w:rPr>
      </w:pPr>
      <w:r w:rsidRPr="002330BB">
        <w:rPr>
          <w:rFonts w:ascii="宋体" w:hAnsi="宋体" w:hint="eastAsia"/>
        </w:rPr>
        <w:t>附件：</w:t>
      </w:r>
      <w:r w:rsidRPr="002330BB">
        <w:rPr>
          <w:rFonts w:ascii="宋体" w:hAnsi="宋体" w:hint="eastAsia"/>
        </w:rPr>
        <w:t>广州医科大学附属番禺中心医院心理测试系统采购项目市场调查公告</w:t>
      </w:r>
    </w:p>
    <w:p w:rsidR="005E2B04" w:rsidRPr="002330BB" w:rsidRDefault="005E2B04">
      <w:pPr>
        <w:pStyle w:val="af"/>
        <w:tabs>
          <w:tab w:val="left" w:pos="709"/>
          <w:tab w:val="left" w:pos="851"/>
        </w:tabs>
        <w:spacing w:line="360" w:lineRule="auto"/>
        <w:ind w:firstLineChars="0" w:firstLine="0"/>
        <w:rPr>
          <w:rFonts w:ascii="宋体" w:hAnsi="宋体"/>
        </w:rPr>
      </w:pPr>
    </w:p>
    <w:p w:rsidR="005E2B04" w:rsidRPr="002330BB" w:rsidRDefault="008501DC">
      <w:pPr>
        <w:pStyle w:val="af"/>
        <w:tabs>
          <w:tab w:val="left" w:pos="709"/>
          <w:tab w:val="left" w:pos="851"/>
        </w:tabs>
        <w:spacing w:line="360" w:lineRule="auto"/>
        <w:ind w:firstLineChars="0" w:firstLine="0"/>
        <w:jc w:val="right"/>
        <w:rPr>
          <w:rFonts w:ascii="宋体" w:hAnsi="宋体"/>
        </w:rPr>
      </w:pPr>
      <w:r w:rsidRPr="002330BB">
        <w:rPr>
          <w:rFonts w:ascii="宋体" w:hAnsi="宋体" w:hint="eastAsia"/>
        </w:rPr>
        <w:t>广州医科大学附属番禺中心医院</w:t>
      </w:r>
    </w:p>
    <w:p w:rsidR="005E2B04" w:rsidRPr="002330BB" w:rsidRDefault="008501DC">
      <w:pPr>
        <w:pStyle w:val="af"/>
        <w:tabs>
          <w:tab w:val="left" w:pos="709"/>
          <w:tab w:val="left" w:pos="851"/>
        </w:tabs>
        <w:spacing w:line="360" w:lineRule="auto"/>
        <w:ind w:firstLineChars="0" w:firstLine="0"/>
        <w:jc w:val="right"/>
        <w:rPr>
          <w:rFonts w:ascii="宋体" w:hAnsi="宋体"/>
        </w:rPr>
      </w:pPr>
      <w:r w:rsidRPr="002330BB">
        <w:rPr>
          <w:rFonts w:ascii="宋体" w:hAnsi="宋体"/>
        </w:rPr>
        <w:t>2024</w:t>
      </w:r>
      <w:r w:rsidRPr="002330BB">
        <w:rPr>
          <w:rFonts w:ascii="宋体" w:hAnsi="宋体" w:hint="eastAsia"/>
        </w:rPr>
        <w:t>年</w:t>
      </w:r>
      <w:r w:rsidRPr="002330BB">
        <w:rPr>
          <w:rFonts w:ascii="宋体" w:hAnsi="宋体"/>
        </w:rPr>
        <w:t>5</w:t>
      </w:r>
      <w:r w:rsidRPr="002330BB">
        <w:rPr>
          <w:rFonts w:ascii="宋体" w:hAnsi="宋体" w:hint="eastAsia"/>
        </w:rPr>
        <w:t>月</w:t>
      </w:r>
      <w:r w:rsidRPr="002330BB">
        <w:rPr>
          <w:rFonts w:ascii="宋体" w:hAnsi="宋体"/>
        </w:rPr>
        <w:t>2</w:t>
      </w:r>
      <w:r>
        <w:rPr>
          <w:rFonts w:ascii="宋体" w:hAnsi="宋体"/>
        </w:rPr>
        <w:t>1</w:t>
      </w:r>
      <w:r w:rsidRPr="002330BB">
        <w:rPr>
          <w:rFonts w:ascii="宋体" w:hAnsi="宋体" w:hint="eastAsia"/>
        </w:rPr>
        <w:t>日</w:t>
      </w:r>
    </w:p>
    <w:sectPr w:rsidR="005E2B04" w:rsidRPr="002330B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DC" w:rsidRDefault="008501DC">
      <w:r>
        <w:separator/>
      </w:r>
    </w:p>
  </w:endnote>
  <w:endnote w:type="continuationSeparator" w:id="0">
    <w:p w:rsidR="008501DC" w:rsidRDefault="0085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04" w:rsidRDefault="008501DC">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2B04" w:rsidRDefault="008501DC">
                          <w:pPr>
                            <w:pStyle w:val="a8"/>
                          </w:pPr>
                          <w:r>
                            <w:rPr>
                              <w:rFonts w:hint="eastAsia"/>
                            </w:rPr>
                            <w:fldChar w:fldCharType="begin"/>
                          </w:r>
                          <w:r>
                            <w:rPr>
                              <w:rFonts w:hint="eastAsia"/>
                            </w:rPr>
                            <w:instrText xml:space="preserve"> PAGE  \* MERGEFORMAT </w:instrText>
                          </w:r>
                          <w:r>
                            <w:rPr>
                              <w:rFonts w:hint="eastAsia"/>
                            </w:rPr>
                            <w:fldChar w:fldCharType="separate"/>
                          </w:r>
                          <w:r w:rsidR="002330BB">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E2B04" w:rsidRDefault="008501DC">
                    <w:pPr>
                      <w:pStyle w:val="a8"/>
                    </w:pPr>
                    <w:r>
                      <w:rPr>
                        <w:rFonts w:hint="eastAsia"/>
                      </w:rPr>
                      <w:fldChar w:fldCharType="begin"/>
                    </w:r>
                    <w:r>
                      <w:rPr>
                        <w:rFonts w:hint="eastAsia"/>
                      </w:rPr>
                      <w:instrText xml:space="preserve"> PAGE  \* MERGEFORMAT </w:instrText>
                    </w:r>
                    <w:r>
                      <w:rPr>
                        <w:rFonts w:hint="eastAsia"/>
                      </w:rPr>
                      <w:fldChar w:fldCharType="separate"/>
                    </w:r>
                    <w:r w:rsidR="002330BB">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DC" w:rsidRDefault="008501DC">
      <w:r>
        <w:separator/>
      </w:r>
    </w:p>
  </w:footnote>
  <w:footnote w:type="continuationSeparator" w:id="0">
    <w:p w:rsidR="008501DC" w:rsidRDefault="00850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FE0E7E"/>
    <w:multiLevelType w:val="singleLevel"/>
    <w:tmpl w:val="C5FE0E7E"/>
    <w:lvl w:ilvl="0">
      <w:start w:val="1"/>
      <w:numFmt w:val="decimal"/>
      <w:suff w:val="nothing"/>
      <w:lvlText w:val="%1、"/>
      <w:lvlJc w:val="left"/>
    </w:lvl>
  </w:abstractNum>
  <w:abstractNum w:abstractNumId="1"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2" w15:restartNumberingAfterBreak="0">
    <w:nsid w:val="1FF5FB00"/>
    <w:multiLevelType w:val="singleLevel"/>
    <w:tmpl w:val="1FF5FB00"/>
    <w:lvl w:ilvl="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F7EF55FD"/>
    <w:rsid w:val="00035F0E"/>
    <w:rsid w:val="000604D7"/>
    <w:rsid w:val="00063F0A"/>
    <w:rsid w:val="00080787"/>
    <w:rsid w:val="000C5293"/>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330BB"/>
    <w:rsid w:val="00236D71"/>
    <w:rsid w:val="00242118"/>
    <w:rsid w:val="0026580E"/>
    <w:rsid w:val="0027376B"/>
    <w:rsid w:val="00283C4E"/>
    <w:rsid w:val="00291F81"/>
    <w:rsid w:val="002977E0"/>
    <w:rsid w:val="002A4772"/>
    <w:rsid w:val="002C0EC1"/>
    <w:rsid w:val="002D6BCF"/>
    <w:rsid w:val="002F102D"/>
    <w:rsid w:val="002F1F53"/>
    <w:rsid w:val="003110AC"/>
    <w:rsid w:val="0033074F"/>
    <w:rsid w:val="00352EAB"/>
    <w:rsid w:val="00373DE4"/>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5E2B04"/>
    <w:rsid w:val="0061031F"/>
    <w:rsid w:val="00616E99"/>
    <w:rsid w:val="006420A0"/>
    <w:rsid w:val="0065545F"/>
    <w:rsid w:val="0067681B"/>
    <w:rsid w:val="0068650B"/>
    <w:rsid w:val="006A3160"/>
    <w:rsid w:val="006B6A04"/>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835D8F"/>
    <w:rsid w:val="0084056F"/>
    <w:rsid w:val="00842A47"/>
    <w:rsid w:val="008501DC"/>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0200"/>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1EE08B6"/>
    <w:rsid w:val="01EF79A1"/>
    <w:rsid w:val="02753E85"/>
    <w:rsid w:val="02E80CAC"/>
    <w:rsid w:val="02F46EA8"/>
    <w:rsid w:val="03936CB9"/>
    <w:rsid w:val="03BE185C"/>
    <w:rsid w:val="045521C0"/>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8A2FA1"/>
    <w:rsid w:val="0DAD0977"/>
    <w:rsid w:val="0E101123"/>
    <w:rsid w:val="0EDD4DFE"/>
    <w:rsid w:val="0EDF5826"/>
    <w:rsid w:val="0F234C69"/>
    <w:rsid w:val="0F6C03BE"/>
    <w:rsid w:val="0FDC19E8"/>
    <w:rsid w:val="10C074CB"/>
    <w:rsid w:val="111F236C"/>
    <w:rsid w:val="1131366D"/>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5F86E50"/>
    <w:rsid w:val="16F11B48"/>
    <w:rsid w:val="170B2BB3"/>
    <w:rsid w:val="179965BF"/>
    <w:rsid w:val="17A706EF"/>
    <w:rsid w:val="17A76872"/>
    <w:rsid w:val="181C55AD"/>
    <w:rsid w:val="19423051"/>
    <w:rsid w:val="195B2FFC"/>
    <w:rsid w:val="1A21174F"/>
    <w:rsid w:val="1A46363D"/>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1278B7"/>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450D7B"/>
    <w:rsid w:val="25735078"/>
    <w:rsid w:val="2581623B"/>
    <w:rsid w:val="25907622"/>
    <w:rsid w:val="25F80DA5"/>
    <w:rsid w:val="26026D82"/>
    <w:rsid w:val="260E749A"/>
    <w:rsid w:val="26E04AA9"/>
    <w:rsid w:val="273E1594"/>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5844D8"/>
    <w:rsid w:val="2EC75EF7"/>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4FD565F"/>
    <w:rsid w:val="350330C9"/>
    <w:rsid w:val="361A62C5"/>
    <w:rsid w:val="361E2949"/>
    <w:rsid w:val="36935DF9"/>
    <w:rsid w:val="37F1663F"/>
    <w:rsid w:val="38502424"/>
    <w:rsid w:val="38BE13DB"/>
    <w:rsid w:val="38D97FC3"/>
    <w:rsid w:val="39114305"/>
    <w:rsid w:val="392338B6"/>
    <w:rsid w:val="393A5672"/>
    <w:rsid w:val="39606625"/>
    <w:rsid w:val="39CB75DC"/>
    <w:rsid w:val="39E12130"/>
    <w:rsid w:val="39F577E3"/>
    <w:rsid w:val="3A825B44"/>
    <w:rsid w:val="3A8D72B7"/>
    <w:rsid w:val="3A9C07CF"/>
    <w:rsid w:val="3AF259F8"/>
    <w:rsid w:val="3AFC5E2F"/>
    <w:rsid w:val="3C1F6B25"/>
    <w:rsid w:val="3C814BF9"/>
    <w:rsid w:val="3CB37F5D"/>
    <w:rsid w:val="3CCC61DC"/>
    <w:rsid w:val="3D0760F7"/>
    <w:rsid w:val="3D2966F1"/>
    <w:rsid w:val="3E3459F3"/>
    <w:rsid w:val="3E640C2F"/>
    <w:rsid w:val="3EA13331"/>
    <w:rsid w:val="3EBA43F3"/>
    <w:rsid w:val="3EFE2D17"/>
    <w:rsid w:val="3FD414E4"/>
    <w:rsid w:val="3FE8108F"/>
    <w:rsid w:val="403C71F7"/>
    <w:rsid w:val="406C191D"/>
    <w:rsid w:val="408F6B53"/>
    <w:rsid w:val="40B26D6B"/>
    <w:rsid w:val="412E7302"/>
    <w:rsid w:val="41632C15"/>
    <w:rsid w:val="419D3ADA"/>
    <w:rsid w:val="41AB4B7E"/>
    <w:rsid w:val="426B25D4"/>
    <w:rsid w:val="42731488"/>
    <w:rsid w:val="42A67168"/>
    <w:rsid w:val="42F13B3C"/>
    <w:rsid w:val="43B41D58"/>
    <w:rsid w:val="44051238"/>
    <w:rsid w:val="440E2729"/>
    <w:rsid w:val="44502560"/>
    <w:rsid w:val="44586B88"/>
    <w:rsid w:val="44B36CB3"/>
    <w:rsid w:val="45261B89"/>
    <w:rsid w:val="45C269AF"/>
    <w:rsid w:val="462363F0"/>
    <w:rsid w:val="46236D21"/>
    <w:rsid w:val="46B34815"/>
    <w:rsid w:val="46F61971"/>
    <w:rsid w:val="47A614C4"/>
    <w:rsid w:val="47A75C45"/>
    <w:rsid w:val="47BE0994"/>
    <w:rsid w:val="47F668F8"/>
    <w:rsid w:val="483B6A39"/>
    <w:rsid w:val="484E2B45"/>
    <w:rsid w:val="48CB2E1C"/>
    <w:rsid w:val="49380D36"/>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D252B5"/>
    <w:rsid w:val="4DF78192"/>
    <w:rsid w:val="4E1336E1"/>
    <w:rsid w:val="4E3C6BD2"/>
    <w:rsid w:val="4E4024FE"/>
    <w:rsid w:val="4E516B22"/>
    <w:rsid w:val="4ED726B9"/>
    <w:rsid w:val="4EF53C8B"/>
    <w:rsid w:val="4F005E52"/>
    <w:rsid w:val="4F23133C"/>
    <w:rsid w:val="4FF26417"/>
    <w:rsid w:val="501872DC"/>
    <w:rsid w:val="5019778B"/>
    <w:rsid w:val="50327208"/>
    <w:rsid w:val="5037206F"/>
    <w:rsid w:val="507F780F"/>
    <w:rsid w:val="50E90D6E"/>
    <w:rsid w:val="52102850"/>
    <w:rsid w:val="521D27E0"/>
    <w:rsid w:val="52D90E94"/>
    <w:rsid w:val="53FF1076"/>
    <w:rsid w:val="5458105A"/>
    <w:rsid w:val="548216F8"/>
    <w:rsid w:val="54D87190"/>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B242EC8"/>
    <w:rsid w:val="5B2D4472"/>
    <w:rsid w:val="5B4C440E"/>
    <w:rsid w:val="5B503CBD"/>
    <w:rsid w:val="5B6055A8"/>
    <w:rsid w:val="5C4D4C8A"/>
    <w:rsid w:val="5DC0337C"/>
    <w:rsid w:val="5DDD2E45"/>
    <w:rsid w:val="5DEB60E6"/>
    <w:rsid w:val="5E355124"/>
    <w:rsid w:val="5E633E92"/>
    <w:rsid w:val="5E802F57"/>
    <w:rsid w:val="5EE2338E"/>
    <w:rsid w:val="5F047298"/>
    <w:rsid w:val="5F373278"/>
    <w:rsid w:val="5FBE16C4"/>
    <w:rsid w:val="5FC829BC"/>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25440C"/>
    <w:rsid w:val="65757142"/>
    <w:rsid w:val="657D6222"/>
    <w:rsid w:val="65C46152"/>
    <w:rsid w:val="65F67BD9"/>
    <w:rsid w:val="6670744D"/>
    <w:rsid w:val="66737E10"/>
    <w:rsid w:val="669C6DB4"/>
    <w:rsid w:val="66D00F9D"/>
    <w:rsid w:val="672512B7"/>
    <w:rsid w:val="6747066A"/>
    <w:rsid w:val="67567D63"/>
    <w:rsid w:val="67F57AE5"/>
    <w:rsid w:val="68384F46"/>
    <w:rsid w:val="68484033"/>
    <w:rsid w:val="686A38E1"/>
    <w:rsid w:val="699E1084"/>
    <w:rsid w:val="69F316DB"/>
    <w:rsid w:val="6A486BD3"/>
    <w:rsid w:val="6A8E6680"/>
    <w:rsid w:val="6ABF2868"/>
    <w:rsid w:val="6AC71BBB"/>
    <w:rsid w:val="6B2036AC"/>
    <w:rsid w:val="6B657311"/>
    <w:rsid w:val="6BAE6F0A"/>
    <w:rsid w:val="6BE06162"/>
    <w:rsid w:val="6BE835ED"/>
    <w:rsid w:val="6CB54F22"/>
    <w:rsid w:val="6CBF33DE"/>
    <w:rsid w:val="6CC26E5A"/>
    <w:rsid w:val="6D142D9C"/>
    <w:rsid w:val="6D5C7DF2"/>
    <w:rsid w:val="6D906CB9"/>
    <w:rsid w:val="6DDA4BD3"/>
    <w:rsid w:val="6E950C2C"/>
    <w:rsid w:val="6EFFD814"/>
    <w:rsid w:val="6F76382E"/>
    <w:rsid w:val="6FBF7F25"/>
    <w:rsid w:val="6FE23626"/>
    <w:rsid w:val="702116A6"/>
    <w:rsid w:val="707D037F"/>
    <w:rsid w:val="70AE79D5"/>
    <w:rsid w:val="70BC3E77"/>
    <w:rsid w:val="71262BCE"/>
    <w:rsid w:val="713779A1"/>
    <w:rsid w:val="71755A40"/>
    <w:rsid w:val="718900C6"/>
    <w:rsid w:val="71C936ED"/>
    <w:rsid w:val="71F72C8D"/>
    <w:rsid w:val="72303324"/>
    <w:rsid w:val="72E310E7"/>
    <w:rsid w:val="72F86CBC"/>
    <w:rsid w:val="7312260B"/>
    <w:rsid w:val="73271F1D"/>
    <w:rsid w:val="73811B93"/>
    <w:rsid w:val="73880EAC"/>
    <w:rsid w:val="75980F80"/>
    <w:rsid w:val="75B0387E"/>
    <w:rsid w:val="75D40613"/>
    <w:rsid w:val="75EA60F5"/>
    <w:rsid w:val="75F96FD3"/>
    <w:rsid w:val="76312863"/>
    <w:rsid w:val="768F16E6"/>
    <w:rsid w:val="76E019CD"/>
    <w:rsid w:val="773773E3"/>
    <w:rsid w:val="77744E17"/>
    <w:rsid w:val="77856566"/>
    <w:rsid w:val="77C33297"/>
    <w:rsid w:val="79C601B6"/>
    <w:rsid w:val="79EE46A2"/>
    <w:rsid w:val="7A0822E6"/>
    <w:rsid w:val="7A490822"/>
    <w:rsid w:val="7A540E6F"/>
    <w:rsid w:val="7A54732D"/>
    <w:rsid w:val="7A6D61E2"/>
    <w:rsid w:val="7A8148CE"/>
    <w:rsid w:val="7B276391"/>
    <w:rsid w:val="7B303CE7"/>
    <w:rsid w:val="7B3630FE"/>
    <w:rsid w:val="7B9A7C93"/>
    <w:rsid w:val="7C66401C"/>
    <w:rsid w:val="7CA56B8F"/>
    <w:rsid w:val="7CD67418"/>
    <w:rsid w:val="7CEE761A"/>
    <w:rsid w:val="7D172435"/>
    <w:rsid w:val="7D7E216A"/>
    <w:rsid w:val="7DF72E77"/>
    <w:rsid w:val="7E202B6D"/>
    <w:rsid w:val="7E792FCF"/>
    <w:rsid w:val="7E981BDD"/>
    <w:rsid w:val="7EE50A3C"/>
    <w:rsid w:val="7F3E04DE"/>
    <w:rsid w:val="7F7F1206"/>
    <w:rsid w:val="7F871AF4"/>
    <w:rsid w:val="7F949A04"/>
    <w:rsid w:val="7FC12377"/>
    <w:rsid w:val="7FD55449"/>
    <w:rsid w:val="7FF34B3B"/>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772C81-272B-46B0-962C-FC0FEA4B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99"/>
    <w:qFormat/>
    <w:pPr>
      <w:spacing w:line="360" w:lineRule="auto"/>
    </w:pPr>
    <w:rPr>
      <w:kern w:val="0"/>
      <w:sz w:val="20"/>
      <w:szCs w:val="20"/>
    </w:rPr>
  </w:style>
  <w:style w:type="paragraph" w:styleId="a5">
    <w:name w:val="Normal Indent"/>
    <w:basedOn w:val="a"/>
    <w:qFormat/>
    <w:pPr>
      <w:ind w:firstLine="420"/>
    </w:pPr>
    <w:rPr>
      <w:kern w:val="0"/>
      <w:sz w:val="2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rPr>
  </w:style>
  <w:style w:type="character" w:styleId="ae">
    <w:name w:val="Hyperlink"/>
    <w:basedOn w:val="a1"/>
    <w:qFormat/>
    <w:rPr>
      <w:color w:val="0000FF"/>
      <w:u w:val="single"/>
    </w:rPr>
  </w:style>
  <w:style w:type="paragraph" w:customStyle="1" w:styleId="61">
    <w:name w:val="目录 61"/>
    <w:next w:val="a"/>
    <w:uiPriority w:val="99"/>
    <w:qFormat/>
    <w:pPr>
      <w:wordWrap w:val="0"/>
      <w:ind w:left="2125"/>
      <w:jc w:val="both"/>
    </w:pPr>
    <w:rPr>
      <w:sz w:val="21"/>
      <w:szCs w:val="21"/>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f">
    <w:name w:val="List Paragraph"/>
    <w:basedOn w:val="a"/>
    <w:uiPriority w:val="34"/>
    <w:qFormat/>
    <w:pPr>
      <w:ind w:firstLineChars="200" w:firstLine="420"/>
    </w:pPr>
  </w:style>
  <w:style w:type="character" w:customStyle="1" w:styleId="a7">
    <w:name w:val="批注框文本 字符"/>
    <w:basedOn w:val="a1"/>
    <w:link w:val="a6"/>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2024-05-21T08:32:00Z</dcterms:created>
  <dcterms:modified xsi:type="dcterms:W3CDTF">2024-05-21T03:49:00Z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