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97" w:rsidRDefault="00D02D60">
      <w:pPr>
        <w:pStyle w:val="a5"/>
        <w:spacing w:before="70" w:line="270" w:lineRule="auto"/>
        <w:ind w:right="1496"/>
        <w:jc w:val="center"/>
        <w:outlineLvl w:val="0"/>
        <w:rPr>
          <w:rFonts w:asciiTheme="minorEastAsia" w:eastAsiaTheme="minorEastAsia" w:hAnsiTheme="minorEastAsia" w:cstheme="minorEastAsia"/>
          <w:b/>
          <w:bCs/>
          <w:spacing w:val="4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pacing w:val="4"/>
          <w:lang w:eastAsia="zh-CN"/>
        </w:rPr>
        <w:t xml:space="preserve">         番禺中心医院医疗集团电梯配件配送服务项目</w:t>
      </w:r>
    </w:p>
    <w:p w:rsidR="00BC6097" w:rsidRDefault="00D02D60">
      <w:pPr>
        <w:pStyle w:val="a5"/>
        <w:spacing w:before="70" w:line="270" w:lineRule="auto"/>
        <w:ind w:right="1496"/>
        <w:jc w:val="center"/>
        <w:outlineLvl w:val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4"/>
          <w:lang w:eastAsia="zh-CN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spacing w:val="4"/>
        </w:rPr>
        <w:t>用户需</w:t>
      </w:r>
      <w:r>
        <w:rPr>
          <w:rFonts w:asciiTheme="minorEastAsia" w:eastAsiaTheme="minorEastAsia" w:hAnsiTheme="minorEastAsia" w:cstheme="minorEastAsia" w:hint="eastAsia"/>
          <w:b/>
          <w:bCs/>
          <w:spacing w:val="4"/>
          <w:lang w:eastAsia="zh-CN"/>
        </w:rPr>
        <w:t>求</w:t>
      </w:r>
      <w:r>
        <w:rPr>
          <w:rFonts w:asciiTheme="minorEastAsia" w:eastAsiaTheme="minorEastAsia" w:hAnsiTheme="minorEastAsia" w:cstheme="minorEastAsia" w:hint="eastAsia"/>
          <w:b/>
          <w:bCs/>
          <w:spacing w:val="4"/>
        </w:rPr>
        <w:t>书</w:t>
      </w:r>
    </w:p>
    <w:p w:rsidR="00BC6097" w:rsidRDefault="00D02D60" w:rsidP="00230C3C">
      <w:pPr>
        <w:pStyle w:val="a5"/>
        <w:numPr>
          <w:ilvl w:val="0"/>
          <w:numId w:val="1"/>
        </w:numPr>
        <w:spacing w:before="239" w:line="219" w:lineRule="auto"/>
        <w:ind w:left="98"/>
        <w:rPr>
          <w:rFonts w:asciiTheme="minorEastAsia" w:eastAsiaTheme="minorEastAsia" w:hAnsiTheme="minorEastAsia" w:cstheme="minorEastAsia"/>
          <w:b/>
          <w:bCs/>
          <w:spacing w:val="-1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项目概况</w:t>
      </w:r>
    </w:p>
    <w:p w:rsidR="00BC6097" w:rsidRDefault="00BC6097" w:rsidP="00230C3C">
      <w:pPr>
        <w:pStyle w:val="a5"/>
        <w:numPr>
          <w:ilvl w:val="255"/>
          <w:numId w:val="0"/>
        </w:numPr>
        <w:spacing w:before="239" w:line="219" w:lineRule="auto"/>
        <w:rPr>
          <w:rFonts w:asciiTheme="minorEastAsia" w:eastAsiaTheme="minorEastAsia" w:hAnsiTheme="minorEastAsia" w:cstheme="minorEastAsia"/>
          <w:b/>
          <w:bCs/>
          <w:spacing w:val="-1"/>
        </w:rPr>
      </w:pPr>
    </w:p>
    <w:p w:rsidR="00BC6097" w:rsidRDefault="00D02D60">
      <w:pPr>
        <w:pStyle w:val="a5"/>
        <w:spacing w:before="220" w:line="360" w:lineRule="auto"/>
        <w:ind w:left="98"/>
        <w:rPr>
          <w:rFonts w:asciiTheme="minorEastAsia" w:eastAsiaTheme="minorEastAsia" w:hAnsiTheme="minorEastAsia" w:cstheme="minorEastAsia"/>
          <w:spacing w:val="4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4"/>
          <w:lang w:eastAsia="zh-CN"/>
        </w:rPr>
        <w:t>番禺中心医院医疗集团</w:t>
      </w:r>
      <w:r>
        <w:rPr>
          <w:rFonts w:asciiTheme="minorEastAsia" w:eastAsiaTheme="minorEastAsia" w:hAnsiTheme="minorEastAsia" w:cstheme="minorEastAsia"/>
          <w:spacing w:val="4"/>
          <w:lang w:eastAsia="zh-CN"/>
        </w:rPr>
        <w:t>包括</w:t>
      </w:r>
      <w:r>
        <w:rPr>
          <w:rFonts w:asciiTheme="minorEastAsia" w:eastAsiaTheme="minorEastAsia" w:hAnsiTheme="minorEastAsia" w:cstheme="minorEastAsia"/>
          <w:bCs/>
          <w:lang w:eastAsia="zh-CN"/>
        </w:rPr>
        <w:t>广州医科大学附属番禺中心医院（以下简称院本部）、广州市番禺区第七人民医院（以下简称东院区），此次采购为番禺中心医院医疗集团（包含院本部、东院区）</w:t>
      </w:r>
      <w:r>
        <w:rPr>
          <w:rFonts w:asciiTheme="minorEastAsia" w:eastAsiaTheme="minorEastAsia" w:hAnsiTheme="minorEastAsia" w:cstheme="minorEastAsia" w:hint="eastAsia"/>
          <w:spacing w:val="4"/>
          <w:lang w:eastAsia="zh-CN"/>
        </w:rPr>
        <w:t>电梯配件配送服务</w:t>
      </w:r>
      <w:r>
        <w:rPr>
          <w:rFonts w:asciiTheme="minorEastAsia" w:eastAsiaTheme="minorEastAsia" w:hAnsiTheme="minorEastAsia" w:cstheme="minorEastAsia"/>
          <w:spacing w:val="4"/>
          <w:lang w:eastAsia="zh-CN"/>
        </w:rPr>
        <w:t>。</w:t>
      </w:r>
    </w:p>
    <w:p w:rsidR="00BC6097" w:rsidRDefault="00D02D60">
      <w:pPr>
        <w:pStyle w:val="a5"/>
        <w:spacing w:before="220" w:line="360" w:lineRule="auto"/>
        <w:ind w:left="9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8"/>
          <w:lang w:eastAsia="zh-CN"/>
        </w:rPr>
        <w:t>二、</w:t>
      </w:r>
      <w:r>
        <w:rPr>
          <w:rFonts w:asciiTheme="minorEastAsia" w:eastAsiaTheme="minorEastAsia" w:hAnsiTheme="minorEastAsia" w:cstheme="minorEastAsia" w:hint="eastAsia"/>
          <w:spacing w:val="12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12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8"/>
          <w:lang w:eastAsia="zh-CN"/>
        </w:rPr>
        <w:t>报价范围的定义</w:t>
      </w:r>
    </w:p>
    <w:p w:rsidR="00BC6097" w:rsidRDefault="00D02D60">
      <w:pPr>
        <w:pStyle w:val="a5"/>
        <w:spacing w:before="106" w:line="360" w:lineRule="auto"/>
        <w:ind w:left="98"/>
        <w:rPr>
          <w:rFonts w:asciiTheme="minorEastAsia" w:eastAsiaTheme="minorEastAsia" w:hAnsiTheme="minorEastAsia" w:cstheme="minorEastAsia"/>
          <w:spacing w:val="-9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9"/>
          <w:lang w:eastAsia="zh-CN"/>
        </w:rPr>
        <w:t>报价范围的定义：货物的货款、配送、包装、运输、保险、装卸、质保期售后服务、全额含税发票、雇员费用、合同实施过程中应预见和不可预见费用等</w:t>
      </w:r>
    </w:p>
    <w:p w:rsidR="00BC6097" w:rsidRDefault="00D02D60">
      <w:pPr>
        <w:pStyle w:val="a5"/>
        <w:spacing w:before="106" w:line="360" w:lineRule="auto"/>
        <w:ind w:left="9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9"/>
          <w:lang w:eastAsia="zh-CN"/>
        </w:rPr>
        <w:t>三、</w:t>
      </w:r>
      <w:r>
        <w:rPr>
          <w:rFonts w:asciiTheme="minorEastAsia" w:eastAsiaTheme="minorEastAsia" w:hAnsiTheme="minorEastAsia" w:cstheme="minorEastAsia" w:hint="eastAsia"/>
          <w:b/>
          <w:bCs/>
          <w:spacing w:val="27"/>
          <w:lang w:eastAsia="zh-CN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pacing w:val="-9"/>
          <w:lang w:eastAsia="zh-CN"/>
        </w:rPr>
        <w:t>资格要求</w:t>
      </w:r>
    </w:p>
    <w:p w:rsidR="00BC6097" w:rsidRDefault="00D02D60">
      <w:pPr>
        <w:pStyle w:val="a5"/>
        <w:spacing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无</w:t>
      </w:r>
    </w:p>
    <w:p w:rsidR="00BC6097" w:rsidRDefault="00D02D60">
      <w:pPr>
        <w:pStyle w:val="a5"/>
        <w:spacing w:before="33" w:line="360" w:lineRule="auto"/>
        <w:ind w:left="9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pacing w:val="-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pacing w:val="65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是否进口产品</w:t>
      </w:r>
    </w:p>
    <w:p w:rsidR="00BC6097" w:rsidRDefault="00D02D60">
      <w:pPr>
        <w:pStyle w:val="a5"/>
        <w:spacing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否</w:t>
      </w:r>
    </w:p>
    <w:p w:rsidR="00BC6097" w:rsidRDefault="00D02D60">
      <w:pPr>
        <w:pStyle w:val="a5"/>
        <w:spacing w:before="22" w:line="360" w:lineRule="auto"/>
        <w:ind w:left="9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4"/>
          <w:lang w:eastAsia="zh-CN"/>
        </w:rPr>
        <w:t>五、</w:t>
      </w:r>
      <w:r>
        <w:rPr>
          <w:rFonts w:asciiTheme="minorEastAsia" w:eastAsiaTheme="minorEastAsia" w:hAnsiTheme="minorEastAsia" w:cstheme="minorEastAsia" w:hint="eastAsia"/>
          <w:b/>
          <w:bCs/>
          <w:spacing w:val="23"/>
          <w:lang w:eastAsia="zh-CN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pacing w:val="-4"/>
          <w:lang w:eastAsia="zh-CN"/>
        </w:rPr>
        <w:t>是否面向中小企业或小微企业</w:t>
      </w:r>
    </w:p>
    <w:p w:rsidR="00BC6097" w:rsidRDefault="00D02D60">
      <w:pPr>
        <w:pStyle w:val="a5"/>
        <w:spacing w:before="2"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是</w:t>
      </w:r>
    </w:p>
    <w:p w:rsidR="00BC6097" w:rsidRDefault="00D02D60">
      <w:pPr>
        <w:pStyle w:val="a5"/>
        <w:spacing w:before="25" w:line="360" w:lineRule="auto"/>
        <w:ind w:left="8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pacing w:val="-36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pacing w:val="75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是否接受联合体投标</w:t>
      </w:r>
    </w:p>
    <w:p w:rsidR="00BC6097" w:rsidRDefault="00D02D60">
      <w:pPr>
        <w:pStyle w:val="a5"/>
        <w:spacing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否</w:t>
      </w:r>
    </w:p>
    <w:p w:rsidR="00BC6097" w:rsidRDefault="00D02D60">
      <w:pPr>
        <w:pStyle w:val="a5"/>
        <w:spacing w:before="44" w:line="360" w:lineRule="auto"/>
        <w:ind w:left="8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七、配送物品要求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1.本次项目采购的是电梯专用配件，供应商的配件要齐备、响应迅速。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2.供应商须提供全新的、未使用过的货物，其型号、质量、规格及技术特征等符合国家标准、用户需求书或采购人的要求，并能提供产品出厂合格证；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3.供应商需在项目所在地设有固定的售后服务地点，以保障送货及售后服务的及时性；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4.本项目分批次进行采购，供应商需按照采购人要求的数量及时间将货物送达采购人指定地点。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lastRenderedPageBreak/>
        <w:t>5.采购人在任何情况下无法预计和无法保证每项货物的采购数量。请供应商根据自身经验自行承担采购风险。供应商必须无条件完成采购人的供货需求，不得以任何理由拒绝提供服务，否则采购人有权提前终止供应商服务资格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6.</w:t>
      </w:r>
      <w:r w:rsidRPr="00230C3C">
        <w:rPr>
          <w:rFonts w:asciiTheme="minorEastAsia" w:eastAsiaTheme="minorEastAsia" w:hAnsiTheme="minorEastAsia" w:cstheme="minorEastAsia"/>
          <w:bCs/>
          <w:u w:val="single"/>
          <w:lang w:eastAsia="zh-CN"/>
        </w:rPr>
        <w:t>服务期限：1年；本项目限价为20万元（其中院本部限价17万，东院区限价3万元）</w:t>
      </w:r>
      <w:r>
        <w:rPr>
          <w:rFonts w:asciiTheme="minorEastAsia" w:eastAsiaTheme="minorEastAsia" w:hAnsiTheme="minorEastAsia" w:cstheme="minorEastAsia"/>
          <w:bCs/>
          <w:u w:val="single"/>
          <w:lang w:eastAsia="zh-CN"/>
        </w:rPr>
        <w:t>。</w:t>
      </w:r>
      <w:r w:rsidRPr="00230C3C">
        <w:rPr>
          <w:rFonts w:asciiTheme="minorEastAsia" w:eastAsiaTheme="minorEastAsia" w:hAnsiTheme="minorEastAsia" w:cstheme="minorEastAsia"/>
          <w:bCs/>
          <w:lang w:eastAsia="zh-CN"/>
        </w:rPr>
        <w:t>以实际产生的采购量进行结算；若在服务期限内，采购金额达到预算金额，视作合同期结束；若服务期限到期，采购金额未达到预算金额，也视作合同结束。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7.服务响应时间:供应商收到采购人服务通知后，在正常上班时间48小时内配送到位，紧急常用的配件必须12小时配送到位。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8.服务地点：采购人指定地点（广州医科大学附属番禺中心医院、广州市番禺区第七人民医院）。</w:t>
      </w:r>
    </w:p>
    <w:p w:rsidR="00BC6097" w:rsidRPr="00230C3C" w:rsidRDefault="00D02D60" w:rsidP="00230C3C">
      <w:pPr>
        <w:pStyle w:val="a5"/>
        <w:spacing w:before="30" w:line="360" w:lineRule="auto"/>
        <w:jc w:val="both"/>
        <w:rPr>
          <w:rFonts w:asciiTheme="minorEastAsia" w:eastAsiaTheme="minorEastAsia" w:hAnsiTheme="minorEastAsia" w:cstheme="minorEastAsia"/>
          <w:bCs/>
          <w:lang w:eastAsia="zh-CN"/>
        </w:rPr>
      </w:pPr>
      <w:r w:rsidRPr="00230C3C">
        <w:rPr>
          <w:rFonts w:asciiTheme="minorEastAsia" w:eastAsiaTheme="minorEastAsia" w:hAnsiTheme="minorEastAsia" w:cstheme="minorEastAsia"/>
          <w:bCs/>
          <w:lang w:eastAsia="zh-CN"/>
        </w:rPr>
        <w:t>9.本项目为大包干项目，供应商承包及负责采购文件对供应商要求的一切事宜及责任。投标报价应包含：货物的货款、配送、包装、运输、保险、装卸、质保期售后服务、全额含税发票、雇员费用、合同实施过程中应预见和不可预见费用等。；如发生缺漏项视同已包含在报价之中。</w:t>
      </w:r>
    </w:p>
    <w:p w:rsidR="00BC6097" w:rsidRDefault="00D02D60">
      <w:pPr>
        <w:pStyle w:val="a5"/>
        <w:spacing w:before="30" w:line="360" w:lineRule="auto"/>
        <w:rPr>
          <w:rFonts w:asciiTheme="minorEastAsia" w:eastAsiaTheme="minorEastAsia" w:hAnsiTheme="minorEastAsia" w:cstheme="minorEastAsia"/>
          <w:b/>
          <w:bCs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21"/>
          <w:lang w:eastAsia="zh-CN"/>
        </w:rPr>
        <w:t>八、商务要求</w:t>
      </w:r>
    </w:p>
    <w:p w:rsidR="00BC6097" w:rsidRDefault="00D02D60" w:rsidP="00230C3C">
      <w:pPr>
        <w:spacing w:line="360" w:lineRule="auto"/>
        <w:outlineLvl w:val="2"/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交货时间：根据采购人的电话、微信等社交软件或传真通知后，中标人须在 2 个工作日内将产品送达，节假日照常配送。对于应急物资，要求2小时内送达。采购物品和数量以采购人的通知为准。中标人除不可抗力因素，不得因其他任何理由延迟送货。采购人如遇特殊情况需推迟送货，应提前通知中标人。因中标人原因延误交货日期的（采购人要求推迟的除外），采购人有权自行采购，由中标人承担由此产生的一切损失和费用。（投标时提供服务承诺函并加盖投标人公章）</w:t>
      </w:r>
    </w:p>
    <w:p w:rsidR="00BC6097" w:rsidRDefault="00D02D60" w:rsidP="00230C3C">
      <w:pPr>
        <w:spacing w:line="360" w:lineRule="auto"/>
        <w:outlineLvl w:val="2"/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  <w:t>2.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交货要求：验收过程中采购人提出存在质量问题或不符合规格型号的物品，5个工作日内由中标人提供产品质量合格证书或其他检验证明，如产品不合格则采购人拒绝接收。</w:t>
      </w:r>
    </w:p>
    <w:p w:rsidR="00BC6097" w:rsidRDefault="00D02D60" w:rsidP="00230C3C">
      <w:pPr>
        <w:spacing w:line="360" w:lineRule="auto"/>
        <w:outlineLvl w:val="2"/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  <w:t>3.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紧急配送服务要求</w:t>
      </w:r>
      <w:r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  <w:t>：</w:t>
      </w:r>
    </w:p>
    <w:p w:rsidR="00BC6097" w:rsidRDefault="00D02D60">
      <w:pPr>
        <w:spacing w:line="360" w:lineRule="auto"/>
        <w:ind w:firstLineChars="200" w:firstLine="480"/>
        <w:outlineLvl w:val="2"/>
        <w:rPr>
          <w:rFonts w:asciiTheme="minorEastAsia" w:eastAsiaTheme="minorEastAsia" w:hAnsiTheme="minorEastAsia" w:cs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对采购人的服务通知，中标人在接报后 2小时内响应，24小时内到达现场，48小时内处理完毕。若在48小时内仍未能有效解决，中标人须提供同档次的设备予采购人临时使用。</w:t>
      </w:r>
    </w:p>
    <w:p w:rsidR="00BC6097" w:rsidRDefault="00D02D60">
      <w:pPr>
        <w:spacing w:line="360" w:lineRule="auto"/>
        <w:outlineLvl w:val="2"/>
        <w:rPr>
          <w:rFonts w:asciiTheme="minorEastAsia" w:eastAsiaTheme="minorEastAsia" w:hAnsiTheme="minorEastAsia" w:cs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eastAsia="zh-CN"/>
        </w:rPr>
        <w:t>九、</w:t>
      </w:r>
      <w:r>
        <w:rPr>
          <w:rFonts w:asciiTheme="minorEastAsia" w:eastAsiaTheme="minorEastAsia" w:hAnsiTheme="minorEastAsia" w:cstheme="minorEastAsia"/>
          <w:b/>
          <w:sz w:val="24"/>
          <w:szCs w:val="24"/>
          <w:lang w:eastAsia="zh-CN"/>
        </w:rPr>
        <w:t>交付与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eastAsia="zh-CN"/>
        </w:rPr>
        <w:t>验收要求</w:t>
      </w:r>
    </w:p>
    <w:p w:rsidR="00BC6097" w:rsidRPr="00230C3C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230C3C">
        <w:rPr>
          <w:rFonts w:ascii="宋体" w:eastAsia="宋体" w:hAnsi="宋体" w:cs="宋体"/>
          <w:sz w:val="24"/>
          <w:szCs w:val="24"/>
          <w:lang w:eastAsia="zh-CN"/>
        </w:rPr>
        <w:lastRenderedPageBreak/>
        <w:t>1.供应商所提供的全部货物，均应采用本行业通用的方式进行包装，且该包装应符合国家有关包装的法律、法规的规定；包装应适应于远距离运输、防潮、防震、防锈和防粗暴装卸，确保货物安全无损，运抵现场；由于包装不善所引起的货物锈蚀、浸水、损坏和损失均由供应商承担。</w:t>
      </w:r>
    </w:p>
    <w:p w:rsidR="00BC6097" w:rsidRPr="00230C3C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230C3C">
        <w:rPr>
          <w:rFonts w:ascii="宋体" w:eastAsia="宋体" w:hAnsi="宋体" w:cs="宋体"/>
          <w:sz w:val="24"/>
          <w:szCs w:val="24"/>
          <w:lang w:eastAsia="zh-CN"/>
        </w:rPr>
        <w:t>2.货物在规定时间运抵采购人指定地点后，由相关人员清点数量，确认货物质量，质量合格的由采购人签名确认，供应商留下相应的送货记录给采购人备案；质量不合格的货物返还给供应商，供应商负责送回合格的的货物，因延迟产生的损失由供应商负责。</w:t>
      </w:r>
    </w:p>
    <w:p w:rsidR="00BC6097" w:rsidRPr="00230C3C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230C3C">
        <w:rPr>
          <w:rFonts w:ascii="宋体" w:eastAsia="宋体" w:hAnsi="宋体" w:cs="宋体"/>
          <w:sz w:val="24"/>
          <w:szCs w:val="24"/>
          <w:lang w:eastAsia="zh-CN"/>
        </w:rPr>
        <w:t>3.合同货物运输过程中非采购人原因的货物短缺、损坏，供应商应及时安排换货，以保证合同货物成功完整交付；换货的相关费用由供应商承担。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采购人每季度对供应商服务质量进行一次考核，考核评分项目内容及扣分标准由采购人制定，供应商需无条件遵照执行。采购人在服务期内有权结合实际需求更新、调整考核项目内容及扣分标准；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5.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月考核要求（详见附表）：满分100分，按下列原则评定：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（1）根据科室主管人员对服务质量进行综合考评（具体考核内容甲方有权根据实际情况作出调整），综合考评分≥95分为优秀，85-94分（含85分）为合格，＜85分的为不合格；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（2）综合考评分＜85分：第一次给予口头警告，并做退货处理；第二次将书面登记，并做退货处理，并扣罚该批次货款总价的30%；第三次采购人有权取消其供货资格，由另一个成交供应商进行供货服务。</w:t>
      </w:r>
    </w:p>
    <w:p w:rsidR="00BC6097" w:rsidRDefault="00D02D60">
      <w:pPr>
        <w:ind w:firstLineChars="200" w:firstLine="422"/>
        <w:jc w:val="center"/>
        <w:rPr>
          <w:b/>
        </w:rPr>
      </w:pPr>
      <w:r>
        <w:rPr>
          <w:rFonts w:hint="eastAsia"/>
          <w:b/>
        </w:rPr>
        <w:t>考核评分表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23"/>
        <w:gridCol w:w="2480"/>
        <w:gridCol w:w="1126"/>
        <w:gridCol w:w="2030"/>
        <w:gridCol w:w="709"/>
        <w:gridCol w:w="1134"/>
        <w:gridCol w:w="708"/>
      </w:tblGrid>
      <w:tr w:rsidR="00BC6097">
        <w:trPr>
          <w:trHeight w:val="500"/>
          <w:jc w:val="center"/>
        </w:trPr>
        <w:tc>
          <w:tcPr>
            <w:tcW w:w="80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检查对象</w:t>
            </w:r>
          </w:p>
        </w:tc>
        <w:tc>
          <w:tcPr>
            <w:tcW w:w="9110" w:type="dxa"/>
            <w:gridSpan w:val="7"/>
            <w:vAlign w:val="center"/>
          </w:tcPr>
          <w:p w:rsidR="00BC6097" w:rsidRDefault="00BC6097">
            <w:pPr>
              <w:jc w:val="center"/>
              <w:rPr>
                <w:rFonts w:ascii="宋体" w:hAnsi="宋体"/>
              </w:rPr>
            </w:pPr>
          </w:p>
        </w:tc>
      </w:tr>
      <w:tr w:rsidR="00BC6097">
        <w:trPr>
          <w:trHeight w:val="500"/>
          <w:jc w:val="center"/>
        </w:trPr>
        <w:tc>
          <w:tcPr>
            <w:tcW w:w="80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考核项目</w:t>
            </w:r>
          </w:p>
        </w:tc>
        <w:tc>
          <w:tcPr>
            <w:tcW w:w="92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标准分</w:t>
            </w:r>
          </w:p>
        </w:tc>
        <w:tc>
          <w:tcPr>
            <w:tcW w:w="2480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考评内容</w:t>
            </w:r>
          </w:p>
        </w:tc>
        <w:tc>
          <w:tcPr>
            <w:tcW w:w="3156" w:type="dxa"/>
            <w:gridSpan w:val="2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扣分规定</w:t>
            </w:r>
          </w:p>
        </w:tc>
        <w:tc>
          <w:tcPr>
            <w:tcW w:w="709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扣分</w:t>
            </w:r>
          </w:p>
        </w:tc>
        <w:tc>
          <w:tcPr>
            <w:tcW w:w="1134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扣分原因</w:t>
            </w:r>
          </w:p>
        </w:tc>
        <w:tc>
          <w:tcPr>
            <w:tcW w:w="708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BC6097">
        <w:trPr>
          <w:jc w:val="center"/>
        </w:trPr>
        <w:tc>
          <w:tcPr>
            <w:tcW w:w="803" w:type="dxa"/>
            <w:vMerge w:val="restart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eastAsia="zh-CN"/>
              </w:rPr>
              <w:t>电梯配件</w:t>
            </w:r>
            <w:r>
              <w:rPr>
                <w:rFonts w:ascii="宋体" w:hAnsi="宋体" w:cs="宋体" w:hint="eastAsia"/>
              </w:rPr>
              <w:t>配送服务</w:t>
            </w:r>
          </w:p>
        </w:tc>
        <w:tc>
          <w:tcPr>
            <w:tcW w:w="92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2480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服务响应时间</w:t>
            </w:r>
          </w:p>
        </w:tc>
        <w:tc>
          <w:tcPr>
            <w:tcW w:w="3156" w:type="dxa"/>
            <w:gridSpan w:val="2"/>
            <w:vAlign w:val="center"/>
          </w:tcPr>
          <w:p w:rsidR="00BC6097" w:rsidRDefault="00D02D60">
            <w:pPr>
              <w:tabs>
                <w:tab w:val="right" w:pos="9524"/>
              </w:tabs>
              <w:spacing w:line="340" w:lineRule="exact"/>
              <w:rPr>
                <w:rFonts w:ascii="宋体" w:hAnsi="宋体" w:cs="Calibri"/>
                <w:lang w:eastAsia="zh-CN"/>
              </w:rPr>
            </w:pPr>
            <w:r>
              <w:rPr>
                <w:rFonts w:ascii="宋体" w:hAnsi="宋体" w:cs="Calibri" w:hint="eastAsia"/>
                <w:lang w:eastAsia="zh-CN"/>
              </w:rPr>
              <w:t>收到材料配送通知后，在正常上班时间</w:t>
            </w:r>
            <w:r>
              <w:rPr>
                <w:rFonts w:ascii="宋体" w:hAnsi="宋体" w:cs="Calibri" w:hint="eastAsia"/>
                <w:lang w:eastAsia="zh-CN"/>
              </w:rPr>
              <w:t>24</w:t>
            </w:r>
            <w:r>
              <w:rPr>
                <w:rFonts w:ascii="宋体" w:hAnsi="宋体" w:cs="Calibri" w:hint="eastAsia"/>
                <w:lang w:eastAsia="zh-CN"/>
              </w:rPr>
              <w:t>小时内未能配送到位，紧急常用的配件</w:t>
            </w:r>
            <w:r>
              <w:rPr>
                <w:rFonts w:ascii="宋体" w:hAnsi="宋体" w:cs="Calibri" w:hint="eastAsia"/>
                <w:lang w:eastAsia="zh-CN"/>
              </w:rPr>
              <w:t>2</w:t>
            </w:r>
            <w:r>
              <w:rPr>
                <w:rFonts w:ascii="宋体" w:hAnsi="宋体" w:cs="Calibri" w:hint="eastAsia"/>
                <w:lang w:eastAsia="zh-CN"/>
              </w:rPr>
              <w:t>小时内未能配送到位</w:t>
            </w:r>
            <w:r>
              <w:rPr>
                <w:rFonts w:ascii="宋体" w:hAnsi="宋体" w:cs="宋体" w:hint="eastAsia"/>
                <w:lang w:eastAsia="zh-CN"/>
              </w:rPr>
              <w:t>每次扣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BC6097">
        <w:trPr>
          <w:jc w:val="center"/>
        </w:trPr>
        <w:tc>
          <w:tcPr>
            <w:tcW w:w="803" w:type="dxa"/>
            <w:vMerge/>
            <w:vAlign w:val="center"/>
          </w:tcPr>
          <w:p w:rsidR="00BC6097" w:rsidRDefault="00BC6097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92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2480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材料质量</w:t>
            </w:r>
          </w:p>
        </w:tc>
        <w:tc>
          <w:tcPr>
            <w:tcW w:w="3156" w:type="dxa"/>
            <w:gridSpan w:val="2"/>
            <w:vAlign w:val="center"/>
          </w:tcPr>
          <w:p w:rsidR="00BC6097" w:rsidRDefault="00D02D60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所提供产品是伪、劣、冒牌产品，每个扣</w:t>
            </w:r>
            <w:r>
              <w:rPr>
                <w:rFonts w:ascii="宋体" w:hAnsi="宋体" w:cs="宋体" w:hint="eastAsia"/>
                <w:lang w:eastAsia="zh-CN"/>
              </w:rPr>
              <w:t>8</w:t>
            </w:r>
            <w:r>
              <w:rPr>
                <w:rFonts w:ascii="宋体" w:hAnsi="宋体" w:cs="宋体" w:hint="eastAsia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BC6097">
        <w:trPr>
          <w:jc w:val="center"/>
        </w:trPr>
        <w:tc>
          <w:tcPr>
            <w:tcW w:w="803" w:type="dxa"/>
            <w:vMerge/>
            <w:vAlign w:val="center"/>
          </w:tcPr>
          <w:p w:rsidR="00BC6097" w:rsidRDefault="00BC6097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92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480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质量问题处理</w:t>
            </w:r>
          </w:p>
        </w:tc>
        <w:tc>
          <w:tcPr>
            <w:tcW w:w="3156" w:type="dxa"/>
            <w:gridSpan w:val="2"/>
            <w:vAlign w:val="center"/>
          </w:tcPr>
          <w:p w:rsidR="00BC6097" w:rsidRDefault="00D02D60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Calibri" w:hint="eastAsia"/>
                <w:lang w:eastAsia="zh-CN"/>
              </w:rPr>
              <w:t>产品在使用过程中发现质量问题，</w:t>
            </w:r>
            <w:r>
              <w:rPr>
                <w:rFonts w:ascii="宋体" w:hAnsi="宋体" w:cs="宋体" w:hint="eastAsia"/>
                <w:lang w:eastAsia="zh-CN"/>
              </w:rPr>
              <w:t>未能</w:t>
            </w:r>
            <w:r>
              <w:rPr>
                <w:rFonts w:ascii="宋体" w:hAnsi="宋体" w:cs="Calibri" w:hint="eastAsia"/>
                <w:lang w:eastAsia="zh-CN"/>
              </w:rPr>
              <w:t>在收到通知后</w:t>
            </w:r>
            <w:r>
              <w:rPr>
                <w:rFonts w:ascii="宋体" w:hAnsi="宋体" w:cs="Calibri" w:hint="eastAsia"/>
                <w:lang w:eastAsia="zh-CN"/>
              </w:rPr>
              <w:t>48</w:t>
            </w:r>
            <w:r>
              <w:rPr>
                <w:rFonts w:ascii="宋体" w:hAnsi="宋体" w:cs="Calibri" w:hint="eastAsia"/>
                <w:lang w:eastAsia="zh-CN"/>
              </w:rPr>
              <w:t>小时内给予更换，</w:t>
            </w:r>
            <w:r>
              <w:rPr>
                <w:rFonts w:ascii="宋体" w:hAnsi="宋体" w:cs="宋体" w:hint="eastAsia"/>
                <w:lang w:eastAsia="zh-CN"/>
              </w:rPr>
              <w:t>每次扣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BC6097">
        <w:trPr>
          <w:jc w:val="center"/>
        </w:trPr>
        <w:tc>
          <w:tcPr>
            <w:tcW w:w="80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923" w:type="dxa"/>
            <w:vAlign w:val="center"/>
          </w:tcPr>
          <w:p w:rsidR="00BC6097" w:rsidRDefault="00D02D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480" w:type="dxa"/>
            <w:vAlign w:val="center"/>
          </w:tcPr>
          <w:p w:rsidR="00BC6097" w:rsidRDefault="00BC6097">
            <w:pPr>
              <w:rPr>
                <w:rFonts w:ascii="宋体" w:hAnsi="宋体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BC6097" w:rsidRDefault="00BC6097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BC6097" w:rsidRDefault="00BC6097">
            <w:pPr>
              <w:jc w:val="center"/>
              <w:rPr>
                <w:rFonts w:ascii="宋体" w:hAnsi="宋体"/>
              </w:rPr>
            </w:pPr>
          </w:p>
        </w:tc>
      </w:tr>
      <w:tr w:rsidR="00BC6097">
        <w:trPr>
          <w:trHeight w:val="1649"/>
          <w:jc w:val="center"/>
        </w:trPr>
        <w:tc>
          <w:tcPr>
            <w:tcW w:w="5332" w:type="dxa"/>
            <w:gridSpan w:val="4"/>
          </w:tcPr>
          <w:p w:rsidR="00BC6097" w:rsidRDefault="00D02D6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考评人意见：</w:t>
            </w:r>
          </w:p>
          <w:p w:rsidR="00BC6097" w:rsidRDefault="00BC6097">
            <w:pPr>
              <w:rPr>
                <w:rFonts w:ascii="宋体" w:hAnsi="宋体" w:cs="宋体"/>
              </w:rPr>
            </w:pPr>
          </w:p>
          <w:p w:rsidR="00BC6097" w:rsidRDefault="00BC6097">
            <w:pPr>
              <w:rPr>
                <w:rFonts w:ascii="宋体" w:hAnsi="宋体" w:cs="宋体"/>
              </w:rPr>
            </w:pPr>
          </w:p>
          <w:p w:rsidR="00BC6097" w:rsidRDefault="00D02D6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4581" w:type="dxa"/>
            <w:gridSpan w:val="4"/>
          </w:tcPr>
          <w:p w:rsidR="00BC6097" w:rsidRDefault="00D02D6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供应商确认：</w:t>
            </w:r>
          </w:p>
          <w:p w:rsidR="00BC6097" w:rsidRDefault="00BC6097">
            <w:pPr>
              <w:rPr>
                <w:rFonts w:ascii="宋体" w:hAnsi="宋体" w:cs="宋体"/>
              </w:rPr>
            </w:pPr>
          </w:p>
          <w:p w:rsidR="00BC6097" w:rsidRDefault="00BC6097">
            <w:pPr>
              <w:rPr>
                <w:rFonts w:ascii="宋体" w:hAnsi="宋体" w:cs="宋体"/>
              </w:rPr>
            </w:pPr>
          </w:p>
          <w:p w:rsidR="00BC6097" w:rsidRDefault="00D02D6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BC6097" w:rsidRDefault="00BC6097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:rsidR="00BC6097" w:rsidRDefault="00D02D60">
      <w:pPr>
        <w:ind w:firstLineChars="200" w:firstLine="482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十、配送货物清单及要求</w:t>
      </w:r>
    </w:p>
    <w:tbl>
      <w:tblPr>
        <w:tblW w:w="9345" w:type="dxa"/>
        <w:tblInd w:w="-3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8"/>
        <w:gridCol w:w="2505"/>
        <w:gridCol w:w="2007"/>
        <w:gridCol w:w="1025"/>
        <w:gridCol w:w="1655"/>
        <w:gridCol w:w="1295"/>
      </w:tblGrid>
      <w:tr w:rsidR="00BC6097" w:rsidTr="00230C3C">
        <w:trPr>
          <w:trHeight w:val="54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"/>
              </w:rPr>
              <w:t>零部件名称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"/>
              </w:rPr>
              <w:t>规格/型号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"/>
              </w:rPr>
              <w:t>单位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"/>
              </w:rPr>
              <w:t>单价（元）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"/>
              </w:rPr>
              <w:t>备注</w:t>
            </w: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抱闸接触器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SC-4-1/G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3TF50-2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3RT5054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门宽尺寸900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门宽尺寸900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门宽尺寸1100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门宽尺寸1300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轿顶通讯板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SCLB-V1.1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控制柜制动电阻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RXLG-1500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控制柜制动电阻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RXLG-2000W/3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门机马达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YSMB7124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平层感应器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RM-YA3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检修灯电源装置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RQ-P12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控制继电器板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IOSB749 784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二合一光幕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TLJONES-M415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AVR控制电源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VE300XHC380-A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外呼显示板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SCLA2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NPH梯旋转编码器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100-1024C/T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抱闸刹车皮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抱闸刹车皮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TKL主机（旧款机）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贯流风扇（AC220V）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GF-971H型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三角皮带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3/5M1450JB USA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称重传感器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DW-01/16502252-C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厅门主锁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DK-RSR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厅门主锁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DK-RSL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厅门门锁开关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UL-N1-A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门机程序板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DAB-C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2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门机驱动板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DAB-D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轿厢横显示板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B1001301.N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导向轮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TKL/5槽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轿底反绳轮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KONE minispace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旋转编码器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FA-CODER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梯变频器散热风扇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VG4/VG7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门机驱动板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DMD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门机控制板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DMC-1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扶手带出入口摩擦边条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1200EX-EN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扶手带驱动链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1200EX-EN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扶手带从动链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1200EX-EN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扶梯扶手带从动轮（托紧轮）组件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1200EX-EN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扶手带驱动总成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扶手带驱动齿盘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扶梯抱闸刹车盘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日立扶梯专配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扶梯抱闸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扶手带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1200EX-EN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日立扶梯驱动电机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日立扶梯专配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梯级大链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C-13T（整梯）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梯级大链轮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254（整梯）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2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扶梯梯级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扶梯运行接触器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SC-E1P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扶梯过载保护继电器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NDR1-38M25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扶梯控制PLC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日立扶梯专配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扶梯变频器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HE12-CMPU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FMT主板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GHE-FMT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主机抱闸制动器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ECB-240M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0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主机抱闸制动器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EHB-375M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0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变频器MCU板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MCU  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56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抱闸线圈与抱闸铁芯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32171874-B/DC110V-170V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轿底差动变压器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/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60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门机控制电源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R100-24/DC110V-170V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门机旋转编码器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TS6026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外呼显示板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65000448-V1/BX-SCL-C5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变频器驱动板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GDCI-07513520738A/B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门电机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MPM53-N2-174-H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门机控制主板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DSC-3A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轿厢显示板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C1P-11/12  C0024743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16501010-B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16501387-A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二合一光幕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HIT、HKE-2050MM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轿厢串行通讯板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65000517-V11/SCL B3-V40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微机控制主板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CA9-MPU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主机旋转编码器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60-8192P20-L6-V5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平层感应器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GLS-326  HIT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AVR控制电源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VE312XCHA380A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扩展 I/O 接口电</w:t>
            </w:r>
          </w:p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CA09-CAIO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厅外专用开关电源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CUS250LD-24/RB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SC-5-1/G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SC-N1/G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波纹制动电阻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72Ω/2000W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40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IP柜操作板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IP-B  V06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通讯扩展板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SB3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继电器板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C0072652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轿厢通讯扩展板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SCL- B3-V40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379板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713163  H06  LCE  230+ADO/ACL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主机旋转编码器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KM50027771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3RT1026-1B..0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电源板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KM1376516G01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驱动板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KM987080G01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轿顶通讯板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722083  H03  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主机发电编码器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KM942078.MC522222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3/MC5222225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限速器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BDS-8WS1G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限速器钢丝绳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∅ 8mm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限速器钢丝绳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∅ 6mm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国产∅ 10曳引钢丝绳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∅ 10mm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国产∅ 12曳引钢丝绳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∅ 12mm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补偿链（全塑）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/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补偿链（包塑）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/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补偿链导向轮组件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/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组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曳引钢丝绳裁短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NPH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满载安全钳联动试验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/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125%载荷试验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/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5V180302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外召板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HS3C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停电柜蓄电池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TN12-12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外召数显板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XEPGL-10J/SCLA2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主机蜗杆蜗轮油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曳引轮油封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主轴油封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主机曳引轮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TYF主机8槽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主机轴承更换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主机漏油处理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TYF/TKL主机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主机导向轮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TYF主机8槽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主机联轴器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TYF主机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日立外呼通讯板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UA2-HSB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 xml:space="preserve"> TYF主机电机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YTVF-30G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TKL主机电机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YTVF-15G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轿门门机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70G-MS-3-110V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钢丝绳绳头组件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日立专配12MM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轿门门挂板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16201545-A1B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厅门大弹簧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日立旁开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补偿链（包塑）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主机抱闸制动器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EHB-335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日立驱动变频器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FRN15LM1S-4C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日立旋转编码转换板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FDB板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继电器板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RYBD-1250273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CA9-MPU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底板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CA9-MPU-LCA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MCUB03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SC-N4/SE（80）DC48V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外呼通讯板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KM7137700G71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平层感应器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OS6,3-86420G03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门电机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903375G04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门刀组件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902670G13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门机变压器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606805 G01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375LCECPU40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并联通讯板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KM71311G04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安全回路板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379 LCE-ADO/ACL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消防回路板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KM713150G11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变频器散热风扇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KM997159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无齿轮曳引机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MX14/KM924900 C05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电源板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KM987080G01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运行接触器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3RT1026-1B..0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抱闸接触器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3RH1131-1AP00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门电机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MJ100A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门机变频器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NICE-D-A-SOP2-HNXJ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主控电脑板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SCH5600-V2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轿顶电脑板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SCH5600-03A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轿厢通信板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SCH5600-02A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轿厢扩展板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SCH5600-02B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提前开门板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SCH5600-05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轿厢及外招显示电脑板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SCH5600-04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CSC1(CJX4-D)4011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3RT6026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3RT6024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接触器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3TH80-40E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变频器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ES2404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门刀组件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SCH5600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光幕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微科917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国产曳引钢丝绳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∅ 8mm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厅门钢丝绳组件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OP900-1100-1300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161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扶梯驱动皮带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日立扶梯专配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  <w:tr w:rsidR="00BC6097" w:rsidTr="00230C3C">
        <w:trPr>
          <w:trHeight w:val="3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扶梯梯级传动系统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日立扶梯专配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D02D6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097" w:rsidRDefault="00BC6097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</w:pPr>
          </w:p>
        </w:tc>
      </w:tr>
    </w:tbl>
    <w:p w:rsidR="00BC6097" w:rsidRDefault="00D02D60">
      <w:pPr>
        <w:rPr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Excel.Sheet.8 "C:\\Users\\Administrator\\Documents\\WeChat Files\\kobeboy08\\FileStorage\\File\\2022-05\\中心医院电梯零配件300元以上铨允清单报价表.xls" "300元以上的配件!R3C1:R42C8" \a \f 4 \h</w:instrText>
      </w:r>
      <w:r>
        <w:instrText xml:space="preserve"> </w:instrText>
      </w:r>
      <w:bookmarkStart w:id="1" w:name="_1717333905"/>
      <w:bookmarkStart w:id="2" w:name="_1718435330"/>
      <w:bookmarkEnd w:id="1"/>
      <w:bookmarkEnd w:id="2"/>
      <w:r>
        <w:instrText xml:space="preserve"> \* MERGEFORMAT </w:instrText>
      </w:r>
      <w:r>
        <w:fldChar w:fldCharType="separate"/>
      </w:r>
      <w:bookmarkStart w:id="3" w:name="_1719381941"/>
      <w:bookmarkEnd w:id="3"/>
    </w:p>
    <w:p w:rsidR="00BC6097" w:rsidRDefault="00D02D60">
      <w:pPr>
        <w:rPr>
          <w:b/>
        </w:rPr>
      </w:pPr>
      <w:r>
        <w:rPr>
          <w:b/>
        </w:rPr>
        <w:fldChar w:fldCharType="end"/>
      </w:r>
    </w:p>
    <w:p w:rsidR="00BC6097" w:rsidRPr="00230C3C" w:rsidRDefault="00D02D60" w:rsidP="00230C3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230C3C">
        <w:rPr>
          <w:rFonts w:ascii="宋体" w:eastAsia="宋体" w:hAnsi="宋体" w:cs="宋体" w:hint="eastAsia"/>
          <w:sz w:val="24"/>
          <w:szCs w:val="24"/>
          <w:lang w:eastAsia="zh-CN"/>
        </w:rPr>
        <w:t>注：供应商所提供的产品均要求为正厂优等品，其质量档次应不低于或相当于采购人提供参考品牌厂家的质量档次，由采购人对产品质量档次进行评定，供应商自行考虑成本风险。若不符合上述要求，采购人有权终止合同，取消成交供应商的供货资格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十</w:t>
      </w:r>
      <w:r>
        <w:rPr>
          <w:rFonts w:ascii="宋体" w:eastAsia="宋体" w:hAnsi="宋体" w:cs="宋体"/>
          <w:b/>
          <w:sz w:val="24"/>
          <w:szCs w:val="24"/>
          <w:lang w:eastAsia="zh-CN"/>
        </w:rPr>
        <w:t>一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、项目售后要求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1.本次采购的货物，供应商有告知正确的使用方法的义务，并示范。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2.货物的质保期按照厂家的说明书上的承诺执行，若货物质量出现问题，供应商应负责包换，产生的费用由供应商负责，对出现严重质量问题的，采购人有权要求退货。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3.质保期内，所有质保服务方式均为供应商上门服务，即由供应商派人员到货物使用现场更换，由此产生的一切费用均由供应商承担。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4.供应商提供的货物在使用过程中发现质量问题，供应商应在收到采购人通知后48个小时内给予更换。</w:t>
      </w:r>
    </w:p>
    <w:p w:rsidR="00BC6097" w:rsidRDefault="00D02D60" w:rsidP="00230C3C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5.供应商不得以任何方式转包或分包本项目。</w:t>
      </w:r>
    </w:p>
    <w:p w:rsidR="00BC6097" w:rsidRDefault="00D02D60" w:rsidP="00230C3C">
      <w:pPr>
        <w:widowControl w:val="0"/>
        <w:spacing w:line="360" w:lineRule="auto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十</w:t>
      </w:r>
      <w:r>
        <w:rPr>
          <w:rFonts w:ascii="宋体" w:eastAsia="宋体" w:hAnsi="宋体" w:cs="宋体"/>
          <w:b/>
          <w:sz w:val="24"/>
          <w:szCs w:val="24"/>
          <w:lang w:eastAsia="zh-CN"/>
        </w:rPr>
        <w:t>二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、</w:t>
      </w:r>
      <w:r>
        <w:rPr>
          <w:rFonts w:ascii="宋体" w:eastAsia="宋体" w:hAnsi="宋体" w:cs="宋体" w:hint="eastAsia"/>
          <w:b/>
          <w:kern w:val="2"/>
          <w:sz w:val="24"/>
          <w:szCs w:val="24"/>
          <w:lang w:eastAsia="zh-CN" w:bidi="ar"/>
        </w:rPr>
        <w:t>结算方式及付款方式</w:t>
      </w:r>
    </w:p>
    <w:p w:rsidR="00BC6097" w:rsidRDefault="00D02D60" w:rsidP="00230C3C">
      <w:pPr>
        <w:widowControl w:val="0"/>
        <w:tabs>
          <w:tab w:val="left" w:pos="709"/>
        </w:tabs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 w:bidi="ar"/>
        </w:rPr>
      </w:pPr>
      <w:r>
        <w:rPr>
          <w:rFonts w:ascii="宋体" w:eastAsia="宋体" w:hAnsi="宋体" w:cs="宋体"/>
          <w:sz w:val="24"/>
          <w:szCs w:val="24"/>
          <w:lang w:eastAsia="zh-CN" w:bidi="ar"/>
        </w:rPr>
        <w:t>1.</w:t>
      </w:r>
      <w:r w:rsidRPr="00230C3C">
        <w:rPr>
          <w:rFonts w:ascii="宋体" w:eastAsia="宋体" w:hAnsi="宋体" w:cs="宋体" w:hint="eastAsia"/>
          <w:sz w:val="24"/>
          <w:szCs w:val="24"/>
          <w:lang w:eastAsia="zh-CN" w:bidi="ar"/>
        </w:rPr>
        <w:t>合同期内，采购货物的单价以</w:t>
      </w:r>
      <w:r w:rsidRPr="00230C3C">
        <w:rPr>
          <w:rFonts w:ascii="宋体" w:eastAsia="宋体" w:hAnsi="宋体" w:cs="宋体"/>
          <w:sz w:val="24"/>
          <w:szCs w:val="24"/>
          <w:lang w:eastAsia="zh-CN" w:bidi="ar"/>
        </w:rPr>
        <w:t>成交</w:t>
      </w:r>
      <w:r w:rsidRPr="00230C3C">
        <w:rPr>
          <w:rFonts w:ascii="宋体" w:eastAsia="宋体" w:hAnsi="宋体" w:cs="宋体" w:hint="eastAsia"/>
          <w:sz w:val="24"/>
          <w:szCs w:val="24"/>
          <w:lang w:eastAsia="zh-CN" w:bidi="ar"/>
        </w:rPr>
        <w:t>文件的单价限价为准，结算总价</w:t>
      </w:r>
      <w:r w:rsidRPr="00230C3C">
        <w:rPr>
          <w:rFonts w:ascii="宋体" w:eastAsia="宋体" w:hAnsi="宋体" w:cs="宋体"/>
          <w:sz w:val="24"/>
          <w:szCs w:val="24"/>
          <w:lang w:eastAsia="zh-CN" w:bidi="ar"/>
        </w:rPr>
        <w:t>=∑（</w:t>
      </w:r>
      <w:r w:rsidRPr="00230C3C">
        <w:rPr>
          <w:rFonts w:ascii="宋体" w:eastAsia="宋体" w:hAnsi="宋体" w:cs="宋体" w:hint="eastAsia"/>
          <w:sz w:val="24"/>
          <w:szCs w:val="24"/>
          <w:lang w:eastAsia="zh-CN" w:bidi="ar"/>
        </w:rPr>
        <w:t>各货物单价最终报价</w:t>
      </w:r>
      <w:r w:rsidRPr="00230C3C">
        <w:rPr>
          <w:rFonts w:ascii="宋体" w:eastAsia="宋体" w:hAnsi="宋体" w:cs="宋体"/>
          <w:sz w:val="24"/>
          <w:szCs w:val="24"/>
          <w:lang w:eastAsia="zh-CN" w:bidi="ar"/>
        </w:rPr>
        <w:t>*实际供货数量</w:t>
      </w:r>
      <w:r w:rsidRPr="00230C3C">
        <w:rPr>
          <w:rFonts w:ascii="宋体" w:eastAsia="宋体" w:hAnsi="宋体" w:cs="宋体" w:hint="eastAsia"/>
          <w:sz w:val="24"/>
          <w:szCs w:val="24"/>
          <w:lang w:eastAsia="zh-CN" w:bidi="ar"/>
        </w:rPr>
        <w:t>）。根据考核要求，无扣罚处理情况则等额支付。</w:t>
      </w:r>
    </w:p>
    <w:p w:rsidR="00BC6097" w:rsidRPr="00230C3C" w:rsidRDefault="00D02D60" w:rsidP="00230C3C">
      <w:pPr>
        <w:widowControl w:val="0"/>
        <w:tabs>
          <w:tab w:val="left" w:pos="709"/>
        </w:tabs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 w:bidi="ar"/>
        </w:rPr>
        <w:t>2.</w:t>
      </w:r>
      <w:r w:rsidRPr="00230C3C">
        <w:rPr>
          <w:rFonts w:ascii="宋体" w:eastAsia="宋体" w:hAnsi="宋体" w:cs="宋体" w:hint="eastAsia"/>
          <w:kern w:val="2"/>
          <w:sz w:val="24"/>
          <w:szCs w:val="24"/>
          <w:lang w:eastAsia="zh-CN" w:bidi="ar"/>
        </w:rPr>
        <w:t>结算方式：供应商每月按实际供货给采购人的部门已签收的送货单、等额合法发票给采购人，采购人收到供应商提交的签收凭证、发票，核对无误后，于</w:t>
      </w:r>
      <w:r w:rsidRPr="00230C3C">
        <w:rPr>
          <w:rFonts w:ascii="宋体" w:eastAsia="宋体" w:hAnsi="宋体" w:cs="宋体"/>
          <w:kern w:val="2"/>
          <w:sz w:val="24"/>
          <w:szCs w:val="24"/>
          <w:lang w:eastAsia="zh-CN" w:bidi="ar"/>
        </w:rPr>
        <w:t>5个工作日内办理支付手续。</w:t>
      </w:r>
    </w:p>
    <w:p w:rsidR="00BC6097" w:rsidRDefault="00BC6097" w:rsidP="00230C3C">
      <w:pPr>
        <w:spacing w:line="360" w:lineRule="auto"/>
        <w:ind w:firstLineChars="201" w:firstLine="482"/>
        <w:rPr>
          <w:rFonts w:ascii="宋体" w:eastAsia="宋体" w:hAnsi="宋体" w:cs="宋体"/>
          <w:sz w:val="24"/>
          <w:szCs w:val="24"/>
          <w:lang w:eastAsia="zh-CN" w:bidi="ar"/>
        </w:rPr>
      </w:pPr>
    </w:p>
    <w:p w:rsidR="00BC6097" w:rsidRPr="00230C3C" w:rsidRDefault="00BC6097" w:rsidP="00230C3C">
      <w:pPr>
        <w:spacing w:line="360" w:lineRule="auto"/>
        <w:ind w:firstLineChars="201" w:firstLine="422"/>
        <w:rPr>
          <w:rFonts w:ascii="宋体" w:eastAsia="宋体" w:hAnsi="宋体" w:cs="宋体"/>
          <w:lang w:eastAsia="zh-CN"/>
        </w:rPr>
      </w:pPr>
    </w:p>
    <w:p w:rsidR="00BC6097" w:rsidRDefault="00BC6097">
      <w:pPr>
        <w:pStyle w:val="a5"/>
        <w:spacing w:line="219" w:lineRule="auto"/>
        <w:ind w:left="510"/>
        <w:rPr>
          <w:rFonts w:asciiTheme="minorEastAsia" w:eastAsiaTheme="minorEastAsia" w:hAnsiTheme="minorEastAsia" w:cstheme="minorEastAsia"/>
          <w:lang w:eastAsia="zh-CN"/>
        </w:rPr>
      </w:pPr>
    </w:p>
    <w:sectPr w:rsidR="00BC6097">
      <w:pgSz w:w="12120" w:h="1698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45" w:rsidRDefault="00F00745" w:rsidP="00230C3C">
      <w:r>
        <w:separator/>
      </w:r>
    </w:p>
  </w:endnote>
  <w:endnote w:type="continuationSeparator" w:id="0">
    <w:p w:rsidR="00F00745" w:rsidRDefault="00F00745" w:rsidP="002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45" w:rsidRDefault="00F00745" w:rsidP="00230C3C">
      <w:r>
        <w:separator/>
      </w:r>
    </w:p>
  </w:footnote>
  <w:footnote w:type="continuationSeparator" w:id="0">
    <w:p w:rsidR="00F00745" w:rsidRDefault="00F00745" w:rsidP="0023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299E2"/>
    <w:multiLevelType w:val="singleLevel"/>
    <w:tmpl w:val="FDB299E2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trackRevision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jhjOWY1MTJhMDFiY2IzOTI4YjNmYWM3ZGU4YTg2YzkifQ=="/>
    <w:docVar w:name="KGWebUrl" w:val="https://10.2.240.65:11335/seeyon/officeservlet"/>
  </w:docVars>
  <w:rsids>
    <w:rsidRoot w:val="00EB68EC"/>
    <w:rsid w:val="BEFFFD7C"/>
    <w:rsid w:val="D7B33899"/>
    <w:rsid w:val="DF7F7ED7"/>
    <w:rsid w:val="EBE47A59"/>
    <w:rsid w:val="FE3E824E"/>
    <w:rsid w:val="00013F89"/>
    <w:rsid w:val="0006387F"/>
    <w:rsid w:val="000F14EC"/>
    <w:rsid w:val="00230C3C"/>
    <w:rsid w:val="00345A2E"/>
    <w:rsid w:val="00495240"/>
    <w:rsid w:val="00717455"/>
    <w:rsid w:val="00751F4A"/>
    <w:rsid w:val="00895637"/>
    <w:rsid w:val="00A47D3F"/>
    <w:rsid w:val="00BC6097"/>
    <w:rsid w:val="00D02D60"/>
    <w:rsid w:val="00E63203"/>
    <w:rsid w:val="00EB68EC"/>
    <w:rsid w:val="00F00745"/>
    <w:rsid w:val="090146C5"/>
    <w:rsid w:val="13DD7ADC"/>
    <w:rsid w:val="290C6A42"/>
    <w:rsid w:val="509B4084"/>
    <w:rsid w:val="529A6BD3"/>
    <w:rsid w:val="5A5009DC"/>
    <w:rsid w:val="6CCF5389"/>
    <w:rsid w:val="7048049D"/>
    <w:rsid w:val="76255F3C"/>
    <w:rsid w:val="7D0D3096"/>
    <w:rsid w:val="7DFFD21B"/>
    <w:rsid w:val="7F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48B6101-A987-4091-A947-CB5B593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</w:pPr>
    <w:rPr>
      <w:rFonts w:ascii="Times New Roman" w:eastAsia="宋体" w:hAnsi="Times New Roman" w:cs="Times New Roman"/>
      <w:kern w:val="2"/>
      <w:szCs w:val="24"/>
      <w:lang w:eastAsia="zh-CN"/>
    </w:rPr>
  </w:style>
  <w:style w:type="paragraph" w:styleId="a5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6">
    <w:name w:val="Plain Text"/>
    <w:basedOn w:val="a"/>
    <w:qFormat/>
    <w:pPr>
      <w:widowControl w:val="0"/>
      <w:spacing w:line="360" w:lineRule="auto"/>
      <w:ind w:firstLine="240"/>
      <w:jc w:val="both"/>
    </w:pPr>
    <w:rPr>
      <w:rFonts w:ascii="宋体" w:hAnsi="Courier New"/>
      <w:kern w:val="2"/>
    </w:rPr>
  </w:style>
  <w:style w:type="paragraph" w:styleId="a7">
    <w:name w:val="Balloon Text"/>
    <w:basedOn w:val="a"/>
    <w:link w:val="a8"/>
    <w:rPr>
      <w:sz w:val="18"/>
      <w:szCs w:val="18"/>
    </w:rPr>
  </w:style>
  <w:style w:type="table" w:styleId="a9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b">
    <w:name w:val="header"/>
    <w:basedOn w:val="a"/>
    <w:link w:val="ac"/>
    <w:rsid w:val="00230C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230C3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d">
    <w:name w:val="footer"/>
    <w:basedOn w:val="a"/>
    <w:link w:val="ae"/>
    <w:rsid w:val="00230C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e">
    <w:name w:val="页脚 字符"/>
    <w:basedOn w:val="a0"/>
    <w:link w:val="ad"/>
    <w:rsid w:val="00230C3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1048</Words>
  <Characters>5976</Characters>
  <Application>Microsoft Office Word</Application>
  <DocSecurity>0</DocSecurity>
  <Lines>49</Lines>
  <Paragraphs>14</Paragraphs>
  <ScaleCrop>false</ScaleCrop>
  <Company>Microsoft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肖翔</cp:lastModifiedBy>
  <cp:revision>3</cp:revision>
  <dcterms:created xsi:type="dcterms:W3CDTF">2024-05-27T10:40:00Z</dcterms:created>
  <dcterms:modified xsi:type="dcterms:W3CDTF">2024-05-27T10:40:00Z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2024-05-16T15:30:08Z</vt:filetime>
  </property>
  <property fmtid="{D5CDD505-2E9C-101B-9397-08002B2CF9AE}" pid="4" name="UsrData">
    <vt:lpwstr>6645b5fca6e115001f0bec06wl</vt:lpwstr>
  </property>
  <property fmtid="{D5CDD505-2E9C-101B-9397-08002B2CF9AE}" pid="5" name="KSOProductBuildVer">
    <vt:lpwstr>2052-0.0.0.0</vt:lpwstr>
  </property>
  <property fmtid="{D5CDD505-2E9C-101B-9397-08002B2CF9AE}" pid="6" name="ICV">
    <vt:lpwstr>6C9064A0F09847378FEAB62A5C6E5EA1_12</vt:lpwstr>
  </property>
</Properties>
</file>