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bookmarkStart w:id="0" w:name="_GoBack"/>
      <w:bookmarkEnd w:id="0"/>
      <w:r>
        <w:rPr>
          <w:rFonts w:hint="eastAsia" w:ascii="宋体" w:hAnsi="宋体" w:eastAsia="宋体"/>
          <w:b/>
          <w:sz w:val="32"/>
          <w:szCs w:val="32"/>
        </w:rPr>
        <w:t>广州医科大学附属番禺中心医院外文数据库采购项目</w:t>
      </w:r>
    </w:p>
    <w:p>
      <w:pPr>
        <w:jc w:val="center"/>
        <w:rPr>
          <w:rFonts w:ascii="宋体" w:hAnsi="宋体" w:eastAsia="宋体"/>
          <w:b/>
          <w:sz w:val="32"/>
          <w:szCs w:val="32"/>
        </w:rPr>
      </w:pPr>
      <w:r>
        <w:rPr>
          <w:rFonts w:hint="eastAsia" w:ascii="宋体" w:hAnsi="宋体" w:eastAsia="宋体"/>
          <w:b/>
          <w:sz w:val="32"/>
          <w:szCs w:val="32"/>
        </w:rPr>
        <w:t>用户需求书</w:t>
      </w:r>
    </w:p>
    <w:p>
      <w:pPr>
        <w:jc w:val="center"/>
        <w:rPr>
          <w:rFonts w:ascii="宋体" w:hAnsi="宋体" w:eastAsia="宋体"/>
          <w:b/>
          <w:sz w:val="32"/>
          <w:szCs w:val="32"/>
        </w:rPr>
      </w:pPr>
    </w:p>
    <w:p>
      <w:pPr>
        <w:pStyle w:val="12"/>
        <w:numPr>
          <w:ilvl w:val="255"/>
          <w:numId w:val="0"/>
        </w:numPr>
        <w:tabs>
          <w:tab w:val="left" w:pos="709"/>
        </w:tabs>
        <w:ind w:firstLine="280" w:firstLineChars="100"/>
        <w:rPr>
          <w:rFonts w:ascii="黑体" w:hAnsi="黑体" w:eastAsia="黑体" w:cs="黑体"/>
          <w:sz w:val="28"/>
          <w:szCs w:val="28"/>
        </w:rPr>
      </w:pPr>
      <w:r>
        <w:rPr>
          <w:rFonts w:hint="eastAsia" w:ascii="黑体" w:hAnsi="黑体" w:eastAsia="黑体" w:cs="黑体"/>
          <w:sz w:val="28"/>
          <w:szCs w:val="28"/>
        </w:rPr>
        <w:t>一、项目概况</w:t>
      </w:r>
    </w:p>
    <w:tbl>
      <w:tblPr>
        <w:tblStyle w:val="9"/>
        <w:tblpPr w:leftFromText="180" w:rightFromText="180" w:vertAnchor="text" w:horzAnchor="margin" w:tblpXSpec="center" w:tblpY="71"/>
        <w:tblW w:w="7255" w:type="dxa"/>
        <w:jc w:val="center"/>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417"/>
        <w:gridCol w:w="1138"/>
        <w:gridCol w:w="873"/>
        <w:gridCol w:w="1243"/>
        <w:gridCol w:w="1058"/>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34"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992"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主管科室</w:t>
            </w:r>
          </w:p>
        </w:tc>
        <w:tc>
          <w:tcPr>
            <w:tcW w:w="1417"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服务名称</w:t>
            </w:r>
          </w:p>
        </w:tc>
        <w:tc>
          <w:tcPr>
            <w:tcW w:w="1138"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预算单价（万元）</w:t>
            </w:r>
          </w:p>
        </w:tc>
        <w:tc>
          <w:tcPr>
            <w:tcW w:w="873"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243"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预算金额（万元）</w:t>
            </w:r>
          </w:p>
        </w:tc>
        <w:tc>
          <w:tcPr>
            <w:tcW w:w="1058"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34" w:type="dxa"/>
            <w:vAlign w:val="center"/>
          </w:tcPr>
          <w:p>
            <w:pPr>
              <w:widowControl/>
              <w:jc w:val="center"/>
              <w:rPr>
                <w:rFonts w:ascii="宋体" w:hAnsi="宋体" w:eastAsia="宋体" w:cs="宋体"/>
                <w:bCs/>
                <w:color w:val="000000"/>
                <w:szCs w:val="21"/>
              </w:rPr>
            </w:pPr>
            <w:r>
              <w:rPr>
                <w:rFonts w:hint="eastAsia" w:ascii="宋体" w:hAnsi="宋体" w:eastAsia="宋体" w:cs="宋体"/>
                <w:bCs/>
                <w:color w:val="000000"/>
                <w:szCs w:val="21"/>
              </w:rPr>
              <w:t>1</w:t>
            </w:r>
          </w:p>
        </w:tc>
        <w:tc>
          <w:tcPr>
            <w:tcW w:w="992" w:type="dxa"/>
            <w:vAlign w:val="center"/>
          </w:tcPr>
          <w:p>
            <w:pPr>
              <w:widowControl/>
              <w:jc w:val="center"/>
              <w:rPr>
                <w:rFonts w:ascii="宋体" w:hAnsi="宋体" w:eastAsia="宋体" w:cs="宋体"/>
                <w:bCs/>
                <w:color w:val="000000"/>
                <w:szCs w:val="21"/>
              </w:rPr>
            </w:pPr>
            <w:r>
              <w:rPr>
                <w:rFonts w:hint="eastAsia" w:ascii="宋体" w:hAnsi="宋体" w:eastAsia="宋体" w:cs="宋体"/>
                <w:bCs/>
                <w:color w:val="000000"/>
                <w:szCs w:val="21"/>
              </w:rPr>
              <w:t>科教科</w:t>
            </w:r>
          </w:p>
        </w:tc>
        <w:tc>
          <w:tcPr>
            <w:tcW w:w="1417"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szCs w:val="21"/>
              </w:rPr>
              <w:t>外文数据库</w:t>
            </w:r>
          </w:p>
        </w:tc>
        <w:tc>
          <w:tcPr>
            <w:tcW w:w="1138"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12.98</w:t>
            </w:r>
          </w:p>
        </w:tc>
        <w:tc>
          <w:tcPr>
            <w:tcW w:w="873" w:type="dxa"/>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年</w:t>
            </w:r>
          </w:p>
        </w:tc>
        <w:tc>
          <w:tcPr>
            <w:tcW w:w="1243"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12.98</w:t>
            </w:r>
          </w:p>
        </w:tc>
        <w:tc>
          <w:tcPr>
            <w:tcW w:w="1058" w:type="dxa"/>
            <w:tcBorders>
              <w:right w:val="single" w:color="auto" w:sz="4" w:space="0"/>
            </w:tcBorders>
            <w:vAlign w:val="center"/>
          </w:tcPr>
          <w:p>
            <w:pPr>
              <w:jc w:val="center"/>
              <w:rPr>
                <w:rFonts w:ascii="宋体" w:hAnsi="宋体" w:eastAsia="宋体" w:cs="宋体"/>
                <w:bCs/>
                <w:color w:val="000000"/>
                <w:szCs w:val="21"/>
              </w:rPr>
            </w:pPr>
          </w:p>
        </w:tc>
      </w:tr>
    </w:tbl>
    <w:p>
      <w:pPr>
        <w:pStyle w:val="12"/>
        <w:tabs>
          <w:tab w:val="left" w:pos="709"/>
        </w:tabs>
        <w:spacing w:line="500" w:lineRule="exact"/>
        <w:ind w:firstLine="560"/>
        <w:rPr>
          <w:rFonts w:ascii="黑体" w:hAnsi="黑体" w:eastAsia="黑体" w:cs="黑体"/>
          <w:sz w:val="28"/>
          <w:szCs w:val="28"/>
        </w:rPr>
      </w:pPr>
      <w:r>
        <w:rPr>
          <w:rFonts w:hint="eastAsia" w:ascii="黑体" w:hAnsi="黑体" w:eastAsia="黑体" w:cs="黑体"/>
          <w:sz w:val="28"/>
          <w:szCs w:val="28"/>
        </w:rPr>
        <w:t>二、项目介绍</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1.临床医生时间有限、医学信息资源太过分散、医生的检索技能有限，遇到卫生决策循证难题时，难以平衡查全差准。</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2.为给我院医务人员提供良好的查阅外文资源和临床证据资源的途径，拟采购外文数据库。</w:t>
      </w:r>
    </w:p>
    <w:p>
      <w:pPr>
        <w:pStyle w:val="2"/>
        <w:autoSpaceDE/>
        <w:autoSpaceDN/>
        <w:spacing w:line="500" w:lineRule="exact"/>
        <w:ind w:right="0" w:firstLine="480" w:firstLineChars="200"/>
        <w:rPr>
          <w:rFonts w:ascii="宋体" w:hAnsi="宋体" w:cs="宋体"/>
          <w:szCs w:val="24"/>
        </w:rPr>
      </w:pPr>
      <w:r>
        <w:rPr>
          <w:rFonts w:hint="eastAsia" w:ascii="宋体" w:hAnsi="宋体" w:cs="宋体"/>
        </w:rPr>
        <w:t>★3.外文数据库服务期限为1年，自2024年7月5日起向采购人提供外文数据库服务。</w:t>
      </w:r>
    </w:p>
    <w:p>
      <w:pPr>
        <w:pStyle w:val="12"/>
        <w:tabs>
          <w:tab w:val="left" w:pos="709"/>
        </w:tabs>
        <w:spacing w:line="500" w:lineRule="exact"/>
        <w:ind w:firstLine="560"/>
        <w:rPr>
          <w:rFonts w:ascii="黑体" w:hAnsi="黑体" w:eastAsia="黑体" w:cs="黑体"/>
          <w:sz w:val="28"/>
          <w:szCs w:val="28"/>
        </w:rPr>
      </w:pPr>
      <w:r>
        <w:rPr>
          <w:rFonts w:hint="eastAsia" w:ascii="黑体" w:hAnsi="黑体" w:eastAsia="黑体" w:cs="黑体"/>
          <w:sz w:val="28"/>
          <w:szCs w:val="28"/>
        </w:rPr>
        <w:t>三、项目报价的范围和定义</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1.本项目报价包含但不限于外文医学信息检索、检索结果全文获取、循证医学信息检索、pdf文献翻译、系统故障维护、数据库使用培训等，并按需调整。</w:t>
      </w:r>
    </w:p>
    <w:p>
      <w:pPr>
        <w:pStyle w:val="12"/>
        <w:tabs>
          <w:tab w:val="left" w:pos="709"/>
        </w:tabs>
        <w:spacing w:line="500" w:lineRule="exact"/>
        <w:ind w:firstLine="560"/>
        <w:rPr>
          <w:rFonts w:ascii="黑体" w:hAnsi="黑体" w:eastAsia="黑体" w:cs="黑体"/>
          <w:sz w:val="28"/>
          <w:szCs w:val="28"/>
        </w:rPr>
      </w:pPr>
      <w:r>
        <w:rPr>
          <w:rFonts w:hint="eastAsia" w:ascii="黑体" w:hAnsi="黑体" w:eastAsia="黑体" w:cs="黑体"/>
          <w:sz w:val="28"/>
          <w:szCs w:val="28"/>
        </w:rPr>
        <w:t>四、资格要求及政策要求</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无</w:t>
      </w:r>
    </w:p>
    <w:p>
      <w:pPr>
        <w:tabs>
          <w:tab w:val="left" w:pos="709"/>
        </w:tabs>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五、是否面向中小企业或小微企业</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是</w:t>
      </w:r>
    </w:p>
    <w:p>
      <w:pPr>
        <w:tabs>
          <w:tab w:val="left" w:pos="709"/>
        </w:tabs>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六、是否接受联合体投标</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否</w:t>
      </w:r>
    </w:p>
    <w:p>
      <w:pPr>
        <w:pStyle w:val="12"/>
        <w:tabs>
          <w:tab w:val="left" w:pos="709"/>
        </w:tabs>
        <w:spacing w:line="500" w:lineRule="exact"/>
        <w:ind w:firstLine="560"/>
        <w:rPr>
          <w:rFonts w:ascii="黑体" w:hAnsi="黑体" w:eastAsia="黑体" w:cs="黑体"/>
          <w:sz w:val="28"/>
          <w:szCs w:val="28"/>
        </w:rPr>
      </w:pPr>
      <w:r>
        <w:rPr>
          <w:rFonts w:hint="eastAsia" w:ascii="黑体" w:hAnsi="黑体" w:eastAsia="黑体" w:cs="黑体"/>
          <w:sz w:val="28"/>
          <w:szCs w:val="28"/>
        </w:rPr>
        <w:t>七、技术/服务要求：</w:t>
      </w:r>
    </w:p>
    <w:p>
      <w:pPr>
        <w:pStyle w:val="4"/>
        <w:spacing w:line="500" w:lineRule="exact"/>
        <w:ind w:firstLine="480" w:firstLineChars="200"/>
        <w:rPr>
          <w:rFonts w:hAnsi="宋体" w:eastAsia="宋体" w:cs="宋体"/>
          <w:b/>
          <w:bCs/>
          <w:sz w:val="24"/>
          <w:szCs w:val="24"/>
        </w:rPr>
      </w:pPr>
      <w:r>
        <w:rPr>
          <w:rFonts w:hint="eastAsia" w:hAnsi="宋体" w:eastAsia="宋体" w:cs="宋体"/>
          <w:b/>
          <w:bCs/>
          <w:sz w:val="24"/>
          <w:szCs w:val="24"/>
        </w:rPr>
        <w:t>1</w:t>
      </w:r>
      <w:r>
        <w:rPr>
          <w:rFonts w:hAnsi="宋体" w:eastAsia="宋体" w:cs="宋体"/>
          <w:b/>
          <w:bCs/>
          <w:sz w:val="24"/>
          <w:szCs w:val="24"/>
        </w:rPr>
        <w:t>.</w:t>
      </w:r>
      <w:r>
        <w:rPr>
          <w:rFonts w:hint="eastAsia" w:hAnsi="宋体" w:eastAsia="宋体" w:cs="宋体"/>
          <w:b/>
          <w:bCs/>
          <w:sz w:val="24"/>
          <w:szCs w:val="24"/>
        </w:rPr>
        <w:t>外文数据库必须包含外文文献资源和循证医学信息检索服务两大模块。</w:t>
      </w:r>
    </w:p>
    <w:p>
      <w:pPr>
        <w:pStyle w:val="4"/>
        <w:spacing w:line="500" w:lineRule="exact"/>
        <w:ind w:firstLine="480" w:firstLineChars="200"/>
        <w:rPr>
          <w:rFonts w:hAnsi="宋体" w:eastAsia="宋体" w:cs="宋体"/>
          <w:b/>
          <w:bCs/>
          <w:sz w:val="24"/>
          <w:szCs w:val="24"/>
        </w:rPr>
      </w:pPr>
      <w:r>
        <w:rPr>
          <w:rFonts w:hAnsi="宋体" w:eastAsia="宋体" w:cs="宋体"/>
          <w:b/>
          <w:bCs/>
          <w:sz w:val="24"/>
          <w:szCs w:val="24"/>
        </w:rPr>
        <w:t>2.</w:t>
      </w:r>
      <w:r>
        <w:rPr>
          <w:rFonts w:hint="eastAsia" w:hAnsi="宋体" w:eastAsia="宋体" w:cs="宋体"/>
          <w:b/>
          <w:bCs/>
          <w:sz w:val="24"/>
          <w:szCs w:val="24"/>
        </w:rPr>
        <w:t>外文期刊检索平台服务要求：</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1）检索平台需至少整合80000种以上的外文生物医学、工程等方面的核心期刊和重要期刊文摘信息，收录年限要求从1995年至今，其中大部分文献揭示第三方链接通道，可以直接打开在线阅读，并整合国内多家资源馆订购的外文医学期刊形成一站式检索平台，提供智能检索、文献评价、文献过滤、知识发现、统计分析、全文获取等多项一体化功能。</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（2）提供局域网版、互联网版、移动端等多种服务方式。</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（3）收录的每一种SCIE期刊需列出最新的影响因子值和最近几年的影响因子值的变化。收录范围应包含至少90%的国际临床核心期刊。</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4）在检索功能方面，需有基本检索（中文、英文双语检索、截词检索、词组检索）、主题词检索（支持主题词检索、主题词自动转化、主题词自动扩充的功能）、ICD-10疾病导航检索、检索史检索、策略检索、期刊导航检索等，各检索功能支持中英文双语检索功能和标题摘要翻译功能。</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 xml:space="preserve"> （5）需设置文献类型过滤器和文献统计分析功能，帮助临床和科研医生了解本行业动态。</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（6）收录的期刊信息需有中文简介和全文通道揭示等信息。</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（7）需支持AI生成检索式，根据读者输入的问题描述，智能提取关键词，并根据关键词扩展同义词。然后，根据布尔逻辑，生成中文和英文的检索式。</w:t>
      </w:r>
    </w:p>
    <w:p>
      <w:pPr>
        <w:pStyle w:val="4"/>
        <w:spacing w:line="500" w:lineRule="exact"/>
        <w:ind w:firstLine="480" w:firstLineChars="200"/>
        <w:rPr>
          <w:rFonts w:hAnsi="宋体" w:eastAsia="宋体" w:cs="宋体"/>
          <w:b/>
          <w:bCs/>
          <w:sz w:val="24"/>
          <w:szCs w:val="24"/>
        </w:rPr>
      </w:pPr>
      <w:r>
        <w:rPr>
          <w:rFonts w:hint="eastAsia" w:hAnsi="宋体" w:eastAsia="宋体" w:cs="宋体"/>
          <w:b/>
          <w:bCs/>
          <w:sz w:val="24"/>
          <w:szCs w:val="24"/>
        </w:rPr>
        <w:t>2.循证医学检索平台服务要求</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（1）需收录国际上公认的权威循证医学检索平台资源约80%以上，涵盖循证资源6S模型中每个层级的证据资源。</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（2）至少提供局域网版、互联网、移动端三种服务方式。</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3）检索功能方面需有PICO检索、主题词检索、文本词检索等专业检索，有疾病导航类检索和诊疗寻证检索功能，可以帮助临床医生确诊各种罕见病，获取关于疾病诊断的金标准文献，查找治疗疾病最佳的干预方法，辅助临床医生在治疗疾病时制定治疗方案等。</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（4）有科研发现功能，并且提供证据文献来证明其科学价值和应用价值。</w:t>
      </w:r>
    </w:p>
    <w:p>
      <w:pPr>
        <w:pStyle w:val="4"/>
        <w:spacing w:line="500" w:lineRule="exact"/>
        <w:ind w:firstLine="480" w:firstLineChars="200"/>
        <w:rPr>
          <w:rFonts w:hAnsi="宋体" w:eastAsia="宋体" w:cs="宋体"/>
          <w:b/>
          <w:bCs/>
          <w:sz w:val="24"/>
          <w:szCs w:val="24"/>
        </w:rPr>
      </w:pPr>
      <w:r>
        <w:rPr>
          <w:rFonts w:hint="eastAsia" w:hAnsi="宋体" w:eastAsia="宋体" w:cs="宋体"/>
          <w:b/>
          <w:bCs/>
          <w:sz w:val="24"/>
          <w:szCs w:val="24"/>
        </w:rPr>
        <w:t>3.其他服务要求</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（1）需提供PDF全文翻译功能，辅助读者阅读英文全文。</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（2）售后用户培训方面：需供应商产品经理配合医院相关部门一起对读者进行每年至少两次检索平台使用方面的培训。</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w:t>
      </w:r>
      <w:r>
        <w:rPr>
          <w:rFonts w:hAnsi="宋体" w:eastAsia="宋体" w:cs="宋体"/>
          <w:sz w:val="24"/>
          <w:szCs w:val="24"/>
        </w:rPr>
        <w:t>3</w:t>
      </w:r>
      <w:r>
        <w:rPr>
          <w:rFonts w:hint="eastAsia" w:hAnsi="宋体" w:eastAsia="宋体" w:cs="宋体"/>
          <w:sz w:val="24"/>
          <w:szCs w:val="24"/>
        </w:rPr>
        <w:t>）检索平台安装、更新、升级方面：供应商技术人员协助进行检索平台安装、技术维护、操作培训，技术人员每月上门更新维护数据；互联网数据至少可以保证更新的数据是到当前时间的前一周数据。</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w:t>
      </w:r>
      <w:r>
        <w:rPr>
          <w:rFonts w:hAnsi="宋体" w:eastAsia="宋体" w:cs="宋体"/>
          <w:sz w:val="24"/>
          <w:szCs w:val="24"/>
        </w:rPr>
        <w:t>4</w:t>
      </w:r>
      <w:r>
        <w:rPr>
          <w:rFonts w:hint="eastAsia" w:hAnsi="宋体" w:eastAsia="宋体" w:cs="宋体"/>
          <w:sz w:val="24"/>
          <w:szCs w:val="24"/>
        </w:rPr>
        <w:t>）在广州市有售后服务机构或办事处，可以全天24小时联系到相关工作人员，为订购后的产品维护和服务提供保障。</w:t>
      </w:r>
    </w:p>
    <w:p>
      <w:pPr>
        <w:pStyle w:val="12"/>
        <w:tabs>
          <w:tab w:val="left" w:pos="709"/>
        </w:tabs>
        <w:spacing w:line="500" w:lineRule="exact"/>
        <w:ind w:firstLine="560"/>
        <w:rPr>
          <w:rFonts w:ascii="黑体" w:hAnsi="黑体" w:eastAsia="黑体" w:cs="黑体"/>
          <w:sz w:val="28"/>
          <w:szCs w:val="28"/>
        </w:rPr>
      </w:pPr>
      <w:r>
        <w:rPr>
          <w:rFonts w:hint="eastAsia" w:ascii="黑体" w:hAnsi="黑体" w:eastAsia="黑体" w:cs="黑体"/>
          <w:sz w:val="28"/>
          <w:szCs w:val="28"/>
        </w:rPr>
        <w:t>八、商务要求：</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1. 项目经验：需有医疗机构合作经验（广东省内医疗机构优先，需</w:t>
      </w:r>
      <w:r>
        <w:rPr>
          <w:rFonts w:hAnsi="宋体" w:eastAsia="宋体" w:cs="宋体"/>
          <w:sz w:val="24"/>
          <w:szCs w:val="24"/>
        </w:rPr>
        <w:t>提供</w:t>
      </w:r>
      <w:r>
        <w:rPr>
          <w:rFonts w:hint="eastAsia" w:hAnsi="宋体" w:eastAsia="宋体" w:cs="宋体"/>
          <w:sz w:val="24"/>
          <w:szCs w:val="24"/>
        </w:rPr>
        <w:t>合作</w:t>
      </w:r>
      <w:r>
        <w:rPr>
          <w:rFonts w:hAnsi="宋体" w:eastAsia="宋体" w:cs="宋体"/>
          <w:sz w:val="24"/>
          <w:szCs w:val="24"/>
        </w:rPr>
        <w:t>合同的</w:t>
      </w:r>
      <w:r>
        <w:rPr>
          <w:rFonts w:hint="eastAsia" w:hAnsi="宋体" w:eastAsia="宋体" w:cs="宋体"/>
          <w:sz w:val="24"/>
          <w:szCs w:val="24"/>
        </w:rPr>
        <w:t>复印件</w:t>
      </w:r>
      <w:r>
        <w:rPr>
          <w:rFonts w:hAnsi="宋体" w:eastAsia="宋体" w:cs="宋体"/>
          <w:sz w:val="24"/>
          <w:szCs w:val="24"/>
        </w:rPr>
        <w:t>，其中</w:t>
      </w:r>
      <w:r>
        <w:rPr>
          <w:rFonts w:hint="eastAsia" w:hAnsi="宋体" w:eastAsia="宋体" w:cs="宋体"/>
          <w:sz w:val="24"/>
          <w:szCs w:val="24"/>
        </w:rPr>
        <w:t>至少</w:t>
      </w:r>
      <w:r>
        <w:rPr>
          <w:rFonts w:hAnsi="宋体" w:eastAsia="宋体" w:cs="宋体"/>
          <w:sz w:val="24"/>
          <w:szCs w:val="24"/>
        </w:rPr>
        <w:t>包括甲乙方、服务内容等</w:t>
      </w:r>
      <w:r>
        <w:rPr>
          <w:rFonts w:hint="eastAsia" w:hAnsi="宋体" w:eastAsia="宋体" w:cs="宋体"/>
          <w:sz w:val="24"/>
          <w:szCs w:val="24"/>
        </w:rPr>
        <w:t>信息）。</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2.该数据库总价不超过人民币</w:t>
      </w:r>
      <w:r>
        <w:rPr>
          <w:rFonts w:hint="eastAsia" w:hAnsi="宋体" w:eastAsia="宋体" w:cs="宋体"/>
          <w:color w:val="333333"/>
          <w:sz w:val="24"/>
          <w:szCs w:val="24"/>
          <w:shd w:val="clear" w:color="auto" w:fill="FFFFFF"/>
        </w:rPr>
        <w:t>壹拾贰万玖仟捌佰元整</w:t>
      </w:r>
      <w:r>
        <w:rPr>
          <w:rFonts w:hAnsi="宋体" w:eastAsia="宋体" w:cs="宋体"/>
          <w:sz w:val="24"/>
          <w:szCs w:val="24"/>
        </w:rPr>
        <w:t>，按</w:t>
      </w:r>
      <w:r>
        <w:rPr>
          <w:rFonts w:hint="eastAsia" w:hAnsi="宋体" w:eastAsia="宋体" w:cs="宋体"/>
          <w:sz w:val="24"/>
          <w:szCs w:val="24"/>
        </w:rPr>
        <w:t>最终</w:t>
      </w:r>
      <w:r>
        <w:rPr>
          <w:rFonts w:hAnsi="宋体" w:eastAsia="宋体" w:cs="宋体"/>
          <w:sz w:val="24"/>
          <w:szCs w:val="24"/>
        </w:rPr>
        <w:t>成交价</w:t>
      </w:r>
      <w:r>
        <w:rPr>
          <w:rFonts w:hint="eastAsia" w:hAnsi="宋体" w:eastAsia="宋体" w:cs="宋体"/>
          <w:sz w:val="24"/>
          <w:szCs w:val="24"/>
        </w:rPr>
        <w:t>整体</w:t>
      </w:r>
      <w:r>
        <w:rPr>
          <w:rFonts w:hAnsi="宋体" w:eastAsia="宋体" w:cs="宋体"/>
          <w:sz w:val="24"/>
          <w:szCs w:val="24"/>
        </w:rPr>
        <w:t>结算。</w:t>
      </w:r>
    </w:p>
    <w:p>
      <w:pPr>
        <w:pStyle w:val="4"/>
        <w:spacing w:line="500" w:lineRule="exact"/>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文献数据库全部内容安装完毕，使用1个月后，各项平台服务内容须符合合同各项条款，各项功能能正常使用，数据运行稳定性良好，经医院科教科工作人员验收合格并填写验收报告后，公司按医院要求开具相应的增值税普通发票。医院将按照合同约定在15个工作日内办理支付手续。</w:t>
      </w:r>
    </w:p>
    <w:p>
      <w:pPr>
        <w:pStyle w:val="4"/>
        <w:spacing w:line="500" w:lineRule="exact"/>
        <w:ind w:firstLine="480" w:firstLineChars="200"/>
        <w:rPr>
          <w:rFonts w:hAnsi="宋体" w:eastAsia="宋体" w:cs="宋体"/>
          <w:sz w:val="24"/>
          <w:szCs w:val="24"/>
        </w:rPr>
      </w:pPr>
      <w:r>
        <w:rPr>
          <w:rFonts w:hAnsi="宋体" w:eastAsia="宋体" w:cs="宋体"/>
          <w:sz w:val="24"/>
          <w:szCs w:val="24"/>
        </w:rPr>
        <w:t>4.</w:t>
      </w:r>
      <w:r>
        <w:rPr>
          <w:rFonts w:hint="eastAsia" w:hAnsi="宋体" w:eastAsia="宋体" w:cs="宋体"/>
          <w:sz w:val="24"/>
          <w:szCs w:val="24"/>
        </w:rPr>
        <w:t>文献数据库提供的所有资源无知识产权纠纷。我院在数据库使用过程中，如因知识产权等问题产生任何法律纠纷，由数据库提供商承担一切法律责任，并根据相关法律给予我院相应赔偿。</w:t>
      </w:r>
    </w:p>
    <w:p>
      <w:pPr>
        <w:pStyle w:val="4"/>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九、其他需补充的需求</w:t>
      </w:r>
    </w:p>
    <w:p>
      <w:pPr>
        <w:pStyle w:val="4"/>
        <w:spacing w:line="500" w:lineRule="exact"/>
        <w:ind w:firstLine="480" w:firstLineChars="200"/>
        <w:rPr>
          <w:rFonts w:hAnsi="宋体" w:eastAsia="宋体" w:cs="宋体"/>
          <w:sz w:val="24"/>
          <w:szCs w:val="24"/>
        </w:rPr>
      </w:pPr>
      <w:r>
        <w:rPr>
          <w:rFonts w:hint="eastAsia" w:hAnsi="宋体" w:eastAsia="宋体" w:cs="宋体"/>
          <w:sz w:val="24"/>
          <w:szCs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PMingLiU">
    <w:altName w:val="汉仪中等线KW"/>
    <w:panose1 w:val="02010601000101010101"/>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ZmU1OGUyZmUyNDgyMmQ5NGI5ZTA4NWNjZGRiYjcifQ=="/>
    <w:docVar w:name="KGWebUrl" w:val="https://10.2.240.65:11335/seeyon/officeservlet"/>
  </w:docVars>
  <w:rsids>
    <w:rsidRoot w:val="00107C94"/>
    <w:rsid w:val="00002E8E"/>
    <w:rsid w:val="00075086"/>
    <w:rsid w:val="000762BB"/>
    <w:rsid w:val="000D4206"/>
    <w:rsid w:val="00101ECF"/>
    <w:rsid w:val="00107C94"/>
    <w:rsid w:val="001459F1"/>
    <w:rsid w:val="00146D0A"/>
    <w:rsid w:val="001617AB"/>
    <w:rsid w:val="00191EB1"/>
    <w:rsid w:val="00194971"/>
    <w:rsid w:val="001A3A33"/>
    <w:rsid w:val="001E2694"/>
    <w:rsid w:val="00205F25"/>
    <w:rsid w:val="002324F3"/>
    <w:rsid w:val="00234110"/>
    <w:rsid w:val="00282EA2"/>
    <w:rsid w:val="00297C0D"/>
    <w:rsid w:val="002A148B"/>
    <w:rsid w:val="002A7A99"/>
    <w:rsid w:val="002B0A65"/>
    <w:rsid w:val="002D2484"/>
    <w:rsid w:val="00310AC4"/>
    <w:rsid w:val="003307AC"/>
    <w:rsid w:val="003478A5"/>
    <w:rsid w:val="003705BE"/>
    <w:rsid w:val="00391DD0"/>
    <w:rsid w:val="003C5B90"/>
    <w:rsid w:val="003D2516"/>
    <w:rsid w:val="003F03D2"/>
    <w:rsid w:val="00402CCE"/>
    <w:rsid w:val="00420322"/>
    <w:rsid w:val="00435B63"/>
    <w:rsid w:val="00436310"/>
    <w:rsid w:val="00443595"/>
    <w:rsid w:val="004761B9"/>
    <w:rsid w:val="0047668E"/>
    <w:rsid w:val="004A0EFF"/>
    <w:rsid w:val="004C39D6"/>
    <w:rsid w:val="004C6DDB"/>
    <w:rsid w:val="005155BB"/>
    <w:rsid w:val="00522B5B"/>
    <w:rsid w:val="00534175"/>
    <w:rsid w:val="00540894"/>
    <w:rsid w:val="00564FE2"/>
    <w:rsid w:val="00575D11"/>
    <w:rsid w:val="005931ED"/>
    <w:rsid w:val="005F784B"/>
    <w:rsid w:val="0062221F"/>
    <w:rsid w:val="006C0B05"/>
    <w:rsid w:val="006E3C8A"/>
    <w:rsid w:val="007103C3"/>
    <w:rsid w:val="007113F7"/>
    <w:rsid w:val="007315A2"/>
    <w:rsid w:val="007454CD"/>
    <w:rsid w:val="00763D6C"/>
    <w:rsid w:val="007C2162"/>
    <w:rsid w:val="007D651A"/>
    <w:rsid w:val="007F4085"/>
    <w:rsid w:val="007F5F0D"/>
    <w:rsid w:val="007F7704"/>
    <w:rsid w:val="00880DF0"/>
    <w:rsid w:val="008820FD"/>
    <w:rsid w:val="008A593F"/>
    <w:rsid w:val="008C4BAC"/>
    <w:rsid w:val="0097794E"/>
    <w:rsid w:val="009A3121"/>
    <w:rsid w:val="009B3596"/>
    <w:rsid w:val="00A24C15"/>
    <w:rsid w:val="00A409C7"/>
    <w:rsid w:val="00A64E43"/>
    <w:rsid w:val="00AB0D1F"/>
    <w:rsid w:val="00B205D3"/>
    <w:rsid w:val="00B4026A"/>
    <w:rsid w:val="00BE63F3"/>
    <w:rsid w:val="00CC3E7B"/>
    <w:rsid w:val="00CE3EC5"/>
    <w:rsid w:val="00D116B0"/>
    <w:rsid w:val="00D2583B"/>
    <w:rsid w:val="00D340FB"/>
    <w:rsid w:val="00D549CF"/>
    <w:rsid w:val="00D827C3"/>
    <w:rsid w:val="00D92DD8"/>
    <w:rsid w:val="00DA28C4"/>
    <w:rsid w:val="00DE1DAF"/>
    <w:rsid w:val="00E26172"/>
    <w:rsid w:val="00E46E04"/>
    <w:rsid w:val="00E619C1"/>
    <w:rsid w:val="00E820C7"/>
    <w:rsid w:val="00E866AF"/>
    <w:rsid w:val="00E957F8"/>
    <w:rsid w:val="00F047A7"/>
    <w:rsid w:val="00F56374"/>
    <w:rsid w:val="00F815AD"/>
    <w:rsid w:val="00FB37C1"/>
    <w:rsid w:val="00FD1DCD"/>
    <w:rsid w:val="01E0373D"/>
    <w:rsid w:val="049B531D"/>
    <w:rsid w:val="07161818"/>
    <w:rsid w:val="07E2057E"/>
    <w:rsid w:val="07FE2B6F"/>
    <w:rsid w:val="088E6081"/>
    <w:rsid w:val="0B303C02"/>
    <w:rsid w:val="0B994CBB"/>
    <w:rsid w:val="0BFA8E09"/>
    <w:rsid w:val="0C417016"/>
    <w:rsid w:val="14DD2730"/>
    <w:rsid w:val="17756504"/>
    <w:rsid w:val="189A2440"/>
    <w:rsid w:val="19FD3EE5"/>
    <w:rsid w:val="1B303411"/>
    <w:rsid w:val="1B34684C"/>
    <w:rsid w:val="1C05799B"/>
    <w:rsid w:val="1DB83AAB"/>
    <w:rsid w:val="22FB5C36"/>
    <w:rsid w:val="267445BA"/>
    <w:rsid w:val="27E27FDE"/>
    <w:rsid w:val="2888000E"/>
    <w:rsid w:val="2DF32284"/>
    <w:rsid w:val="2F4A02C4"/>
    <w:rsid w:val="2FCB3BF8"/>
    <w:rsid w:val="341F7966"/>
    <w:rsid w:val="397DAAE2"/>
    <w:rsid w:val="3A7257F0"/>
    <w:rsid w:val="3C0B3EA2"/>
    <w:rsid w:val="3CEF6277"/>
    <w:rsid w:val="3D0413D5"/>
    <w:rsid w:val="3D597900"/>
    <w:rsid w:val="4317479F"/>
    <w:rsid w:val="455E6366"/>
    <w:rsid w:val="470E27B4"/>
    <w:rsid w:val="48F41F5E"/>
    <w:rsid w:val="4D545C40"/>
    <w:rsid w:val="525B272C"/>
    <w:rsid w:val="52942C1C"/>
    <w:rsid w:val="59FA4F2E"/>
    <w:rsid w:val="5D3D2665"/>
    <w:rsid w:val="5DF95508"/>
    <w:rsid w:val="60551F32"/>
    <w:rsid w:val="62AD21D2"/>
    <w:rsid w:val="680D3809"/>
    <w:rsid w:val="68B362C0"/>
    <w:rsid w:val="6B960413"/>
    <w:rsid w:val="6BB7C1C4"/>
    <w:rsid w:val="6D7739A5"/>
    <w:rsid w:val="6EA00D69"/>
    <w:rsid w:val="738BD1BB"/>
    <w:rsid w:val="7E5E47BF"/>
    <w:rsid w:val="7EFCCFDB"/>
    <w:rsid w:val="7F7ECA58"/>
    <w:rsid w:val="8BBB4EE1"/>
    <w:rsid w:val="BA7E399B"/>
    <w:rsid w:val="C2DF48CE"/>
    <w:rsid w:val="DEBF3998"/>
    <w:rsid w:val="FBFDCDF2"/>
    <w:rsid w:val="FFFF82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widowControl/>
      <w:autoSpaceDE w:val="0"/>
      <w:autoSpaceDN w:val="0"/>
      <w:ind w:right="367"/>
      <w:textAlignment w:val="bottom"/>
    </w:pPr>
    <w:rPr>
      <w:rFonts w:ascii="PMingLiU" w:eastAsia="宋体"/>
      <w:sz w:val="24"/>
    </w:rPr>
  </w:style>
  <w:style w:type="paragraph" w:styleId="3">
    <w:name w:val="annotation text"/>
    <w:basedOn w:val="1"/>
    <w:link w:val="15"/>
    <w:semiHidden/>
    <w:unhideWhenUsed/>
    <w:qFormat/>
    <w:uiPriority w:val="99"/>
    <w:pPr>
      <w:jc w:val="left"/>
    </w:p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文字 字符"/>
    <w:basedOn w:val="10"/>
    <w:link w:val="3"/>
    <w:semiHidden/>
    <w:qFormat/>
    <w:uiPriority w:val="99"/>
  </w:style>
  <w:style w:type="character" w:customStyle="1" w:styleId="16">
    <w:name w:val="批注主题 字符"/>
    <w:basedOn w:val="15"/>
    <w:link w:val="8"/>
    <w:semiHidden/>
    <w:qFormat/>
    <w:uiPriority w:val="99"/>
    <w:rPr>
      <w:b/>
      <w:bCs/>
    </w:rPr>
  </w:style>
  <w:style w:type="character" w:customStyle="1" w:styleId="17">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266</Words>
  <Characters>1517</Characters>
  <Lines>12</Lines>
  <Paragraphs>3</Paragraphs>
  <TotalTime>0</TotalTime>
  <ScaleCrop>false</ScaleCrop>
  <LinksUpToDate>false</LinksUpToDate>
  <CharactersWithSpaces>1780</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2024-06-26T11:56:00Z</dcterms:created>
  <dc:creator>肖翔</dc:creator>
  <cp:lastModifiedBy>黄国平</cp:lastModifiedBy>
  <cp:lastPrinted>2024-05-23T23:35:00Z</cp:lastPrinted>
  <dcterms:modified xsi:type="dcterms:W3CDTF">2024-06-26T12:03:07Z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CD37924FBACD4759B6E819B96EAE74A7</vt:lpwstr>
  </property>
</Properties>
</file>