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5A55A" w14:textId="77777777" w:rsidR="003503C8" w:rsidRDefault="00EB17FE">
      <w:pPr>
        <w:jc w:val="center"/>
        <w:rPr>
          <w:rFonts w:cs="宋体"/>
          <w:b/>
          <w:sz w:val="36"/>
          <w:szCs w:val="36"/>
        </w:rPr>
      </w:pPr>
      <w:r>
        <w:rPr>
          <w:rFonts w:cs="宋体" w:hint="eastAsia"/>
          <w:b/>
          <w:sz w:val="36"/>
          <w:szCs w:val="36"/>
        </w:rPr>
        <w:t>番禺区中心医院综合应急大楼建设项目</w:t>
      </w:r>
    </w:p>
    <w:p w14:paraId="11255074" w14:textId="77777777" w:rsidR="003503C8" w:rsidRDefault="00EB17FE">
      <w:pPr>
        <w:jc w:val="center"/>
        <w:rPr>
          <w:b/>
          <w:sz w:val="36"/>
          <w:szCs w:val="36"/>
        </w:rPr>
      </w:pPr>
      <w:r>
        <w:rPr>
          <w:rFonts w:cs="宋体" w:hint="eastAsia"/>
          <w:b/>
          <w:sz w:val="36"/>
          <w:szCs w:val="36"/>
        </w:rPr>
        <w:t>社会稳定性风险评估</w:t>
      </w:r>
      <w:r>
        <w:rPr>
          <w:rFonts w:hint="eastAsia"/>
          <w:b/>
          <w:sz w:val="36"/>
          <w:szCs w:val="36"/>
        </w:rPr>
        <w:t>-</w:t>
      </w:r>
      <w:r>
        <w:rPr>
          <w:b/>
          <w:sz w:val="36"/>
          <w:szCs w:val="36"/>
        </w:rPr>
        <w:t>--</w:t>
      </w:r>
      <w:r>
        <w:rPr>
          <w:rFonts w:hint="eastAsia"/>
          <w:b/>
          <w:sz w:val="36"/>
          <w:szCs w:val="36"/>
        </w:rPr>
        <w:t>调查需求书</w:t>
      </w:r>
    </w:p>
    <w:p w14:paraId="5F8C350D" w14:textId="77777777" w:rsidR="003503C8" w:rsidRDefault="003503C8"/>
    <w:p w14:paraId="20DC156E" w14:textId="77777777" w:rsidR="003503C8" w:rsidRDefault="00EB17FE">
      <w:pPr>
        <w:pStyle w:val="a"/>
        <w:numPr>
          <w:ilvl w:val="0"/>
          <w:numId w:val="3"/>
        </w:numPr>
        <w:rPr>
          <w:rFonts w:cs="仿宋"/>
          <w:color w:val="000000"/>
          <w:kern w:val="0"/>
          <w:lang w:bidi="ar"/>
        </w:rPr>
      </w:pPr>
      <w:r>
        <w:rPr>
          <w:rFonts w:hint="eastAsia"/>
        </w:rPr>
        <w:t>项目简要概述：</w:t>
      </w:r>
      <w:r>
        <w:rPr>
          <w:rFonts w:cs="仿宋"/>
          <w:color w:val="000000"/>
          <w:kern w:val="0"/>
          <w:lang w:bidi="ar"/>
        </w:rPr>
        <w:t xml:space="preserve">    </w:t>
      </w:r>
    </w:p>
    <w:p w14:paraId="362EF168" w14:textId="77777777" w:rsidR="003503C8" w:rsidRDefault="00EB17FE">
      <w:pPr>
        <w:pStyle w:val="a1"/>
        <w:ind w:left="0" w:firstLineChars="200" w:firstLine="560"/>
        <w:jc w:val="both"/>
      </w:pPr>
      <w:r>
        <w:rPr>
          <w:rFonts w:hint="eastAsia"/>
        </w:rPr>
        <w:t>本项目拟在医院现东片区设置平急结合区域，建设一幢综合应急大楼，主要包括</w:t>
      </w:r>
      <w:r>
        <w:t>300</w:t>
      </w:r>
      <w:r>
        <w:t>床应急床位、科研实验、教学及应急配套功能，东区整体实现平急结合转换功能。项目建成后，区中心医院将建设发展为医疗、教学、科研、预防、康复、急救、健教为一体的高水平三级甲等、具备应对突发公共卫生事件能力的平急结合综合医院。</w:t>
      </w:r>
      <w:r>
        <w:rPr>
          <w:rFonts w:hint="eastAsia"/>
        </w:rPr>
        <w:t>项目建设投资</w:t>
      </w:r>
      <w:r>
        <w:t xml:space="preserve">116437.46 </w:t>
      </w:r>
      <w:r>
        <w:t>万元</w:t>
      </w:r>
      <w:r>
        <w:rPr>
          <w:rFonts w:hint="eastAsia"/>
        </w:rPr>
        <w:t>，</w:t>
      </w:r>
      <w:r>
        <w:t>现根据项目实际情况，需开展社会稳定性风险评估工作</w:t>
      </w:r>
      <w:r>
        <w:rPr>
          <w:rFonts w:hint="eastAsia"/>
        </w:rPr>
        <w:t>。</w:t>
      </w:r>
    </w:p>
    <w:p w14:paraId="2F68A702" w14:textId="77777777" w:rsidR="003503C8" w:rsidRDefault="00EB17FE">
      <w:pPr>
        <w:pStyle w:val="a"/>
        <w:numPr>
          <w:ilvl w:val="0"/>
          <w:numId w:val="3"/>
        </w:numPr>
      </w:pPr>
      <w:r>
        <w:rPr>
          <w:rFonts w:hint="eastAsia"/>
        </w:rPr>
        <w:t>技术</w:t>
      </w:r>
      <w:r>
        <w:t>/</w:t>
      </w:r>
      <w:r>
        <w:rPr>
          <w:rFonts w:hint="eastAsia"/>
        </w:rPr>
        <w:t>服务要求：</w:t>
      </w:r>
    </w:p>
    <w:p w14:paraId="73A82B86" w14:textId="43E35F71" w:rsidR="003503C8" w:rsidRDefault="00EB17FE" w:rsidP="002A098F">
      <w:pPr>
        <w:pStyle w:val="a"/>
        <w:numPr>
          <w:ilvl w:val="0"/>
          <w:numId w:val="4"/>
        </w:numPr>
        <w:ind w:firstLineChars="200" w:firstLine="560"/>
      </w:pPr>
      <w:r>
        <w:rPr>
          <w:rFonts w:hint="eastAsia"/>
        </w:rPr>
        <w:t>项目建设地点：</w:t>
      </w:r>
      <w:r>
        <w:rPr>
          <w:rFonts w:hint="eastAsia"/>
        </w:rPr>
        <w:t>广州医科大学附属番禺中心医院</w:t>
      </w:r>
    </w:p>
    <w:p w14:paraId="159AA726" w14:textId="77777777" w:rsidR="003503C8" w:rsidRDefault="00EB17FE" w:rsidP="002A098F">
      <w:pPr>
        <w:pStyle w:val="a"/>
        <w:numPr>
          <w:ilvl w:val="0"/>
          <w:numId w:val="0"/>
        </w:numPr>
        <w:ind w:left="420" w:firstLineChars="50" w:firstLine="140"/>
      </w:pPr>
      <w:r>
        <w:rPr>
          <w:rFonts w:hint="eastAsia"/>
        </w:rPr>
        <w:t>（二）用地面积：约</w:t>
      </w:r>
      <w:r>
        <w:t>1.5</w:t>
      </w:r>
      <w:r>
        <w:t>万平方米。</w:t>
      </w:r>
    </w:p>
    <w:p w14:paraId="690B0CD5" w14:textId="77777777" w:rsidR="003503C8" w:rsidRDefault="00EB17FE" w:rsidP="002A098F">
      <w:pPr>
        <w:pStyle w:val="a"/>
        <w:numPr>
          <w:ilvl w:val="0"/>
          <w:numId w:val="0"/>
        </w:numPr>
        <w:ind w:left="420" w:firstLineChars="50" w:firstLine="140"/>
      </w:pPr>
      <w:r>
        <w:rPr>
          <w:rFonts w:hint="eastAsia"/>
        </w:rPr>
        <w:t>（三）本项目预算：</w:t>
      </w:r>
      <w:r>
        <w:rPr>
          <w:rFonts w:hint="eastAsia"/>
        </w:rPr>
        <w:t>9.785</w:t>
      </w:r>
      <w:r>
        <w:rPr>
          <w:rFonts w:hint="eastAsia"/>
        </w:rPr>
        <w:t>万元。</w:t>
      </w:r>
    </w:p>
    <w:p w14:paraId="67F831C6" w14:textId="77777777" w:rsidR="003503C8" w:rsidRDefault="00EB17FE" w:rsidP="002A098F">
      <w:pPr>
        <w:ind w:left="0" w:firstLineChars="200" w:firstLine="560"/>
      </w:pPr>
      <w:r>
        <w:rPr>
          <w:rFonts w:hint="eastAsia"/>
        </w:rPr>
        <w:t>（四）服务内容：</w:t>
      </w:r>
      <w:r>
        <w:t>自合同签订</w:t>
      </w:r>
      <w:r>
        <w:t>之日</w:t>
      </w:r>
      <w:r>
        <w:t>起，</w:t>
      </w:r>
      <w:r>
        <w:t>相关资料准备齐全后，</w:t>
      </w:r>
      <w:r>
        <w:rPr>
          <w:rFonts w:hint="eastAsia"/>
        </w:rPr>
        <w:t>服务时限为</w:t>
      </w:r>
      <w:r>
        <w:rPr>
          <w:rFonts w:hint="eastAsia"/>
        </w:rPr>
        <w:t>35</w:t>
      </w:r>
      <w:r>
        <w:rPr>
          <w:rFonts w:hint="eastAsia"/>
        </w:rPr>
        <w:t>天，</w:t>
      </w:r>
      <w:r>
        <w:rPr>
          <w:rFonts w:hint="eastAsia"/>
        </w:rPr>
        <w:t>完成番禺区中心医院综合应急大楼建设项目社会稳定性风险评估报告书编制，取得专家评审意见及审查登记表，完成相关主管部门备案（注：相关专家评审费已包含在合同价内）</w:t>
      </w:r>
      <w:r>
        <w:rPr>
          <w:rFonts w:hint="eastAsia"/>
        </w:rPr>
        <w:t>。</w:t>
      </w:r>
      <w:r>
        <w:t xml:space="preserve">   </w:t>
      </w:r>
    </w:p>
    <w:p w14:paraId="131EE1F8" w14:textId="04D14380" w:rsidR="003503C8" w:rsidRDefault="00EB17FE" w:rsidP="002A098F">
      <w:pPr>
        <w:ind w:left="0" w:firstLineChars="200" w:firstLine="560"/>
      </w:pPr>
      <w:r>
        <w:t>(</w:t>
      </w:r>
      <w:r>
        <w:t>五</w:t>
      </w:r>
      <w:r>
        <w:t>)</w:t>
      </w:r>
      <w:r>
        <w:t>人员要求：</w:t>
      </w:r>
      <w:r>
        <w:rPr>
          <w:rFonts w:cs="宋体" w:hint="eastAsia"/>
          <w:lang w:bidi="ar"/>
        </w:rPr>
        <w:t>服务团队成员宜具有</w:t>
      </w:r>
      <w:r>
        <w:rPr>
          <w:rFonts w:cs="宋体"/>
          <w:lang w:bidi="ar"/>
        </w:rPr>
        <w:t>相关高级</w:t>
      </w:r>
      <w:r>
        <w:rPr>
          <w:rFonts w:cs="宋体" w:hint="eastAsia"/>
          <w:lang w:bidi="ar"/>
        </w:rPr>
        <w:t>工程师或以上职称</w:t>
      </w:r>
      <w:r>
        <w:rPr>
          <w:rFonts w:cs="宋体"/>
          <w:lang w:bidi="ar"/>
        </w:rPr>
        <w:t>，数量不限</w:t>
      </w:r>
      <w:r>
        <w:rPr>
          <w:rFonts w:cs="宋体"/>
          <w:lang w:bidi="ar"/>
        </w:rPr>
        <w:t>。</w:t>
      </w:r>
      <w:r>
        <w:t xml:space="preserve"> </w:t>
      </w:r>
    </w:p>
    <w:p w14:paraId="22CF982D" w14:textId="77777777" w:rsidR="003503C8" w:rsidRDefault="00EB17FE">
      <w:pPr>
        <w:pStyle w:val="a1"/>
        <w:numPr>
          <w:ilvl w:val="0"/>
          <w:numId w:val="3"/>
        </w:numPr>
      </w:pPr>
      <w:r>
        <w:rPr>
          <w:rFonts w:hint="eastAsia"/>
        </w:rPr>
        <w:t>方案征集：</w:t>
      </w:r>
    </w:p>
    <w:p w14:paraId="0A275217" w14:textId="61974C69" w:rsidR="003503C8" w:rsidRDefault="00EB17FE" w:rsidP="002A098F">
      <w:pPr>
        <w:ind w:left="0" w:firstLineChars="200" w:firstLine="560"/>
        <w:rPr>
          <w:rFonts w:hint="eastAsia"/>
        </w:rPr>
      </w:pPr>
      <w:r>
        <w:rPr>
          <w:rFonts w:hint="eastAsia"/>
        </w:rPr>
        <w:t>现公开面向市场征集番禺区中心医院综合应急大楼建设项目社会稳定性风险评估报告成果</w:t>
      </w:r>
      <w:r>
        <w:t>。</w:t>
      </w:r>
      <w:r>
        <w:t>请供应商根据服务内容及服务时限进行报价。</w:t>
      </w:r>
      <w:bookmarkStart w:id="0" w:name="_GoBack"/>
      <w:bookmarkEnd w:id="0"/>
    </w:p>
    <w:sectPr w:rsidR="003503C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C8A8" w14:textId="77777777" w:rsidR="00EB17FE" w:rsidRDefault="00EB17FE" w:rsidP="002A098F">
      <w:r>
        <w:separator/>
      </w:r>
    </w:p>
  </w:endnote>
  <w:endnote w:type="continuationSeparator" w:id="0">
    <w:p w14:paraId="6A0997FC" w14:textId="77777777" w:rsidR="00EB17FE" w:rsidRDefault="00EB17FE" w:rsidP="002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89F6" w14:textId="77777777" w:rsidR="00EB17FE" w:rsidRDefault="00EB17FE" w:rsidP="002A098F">
      <w:r>
        <w:separator/>
      </w:r>
    </w:p>
  </w:footnote>
  <w:footnote w:type="continuationSeparator" w:id="0">
    <w:p w14:paraId="702DBE50" w14:textId="77777777" w:rsidR="00EB17FE" w:rsidRDefault="00EB17FE" w:rsidP="002A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B947"/>
    <w:multiLevelType w:val="singleLevel"/>
    <w:tmpl w:val="0501B947"/>
    <w:lvl w:ilvl="0">
      <w:start w:val="1"/>
      <w:numFmt w:val="chineseCounting"/>
      <w:suff w:val="nothing"/>
      <w:lvlText w:val="（%1）"/>
      <w:lvlJc w:val="left"/>
      <w:pPr>
        <w:ind w:left="0" w:firstLine="420"/>
      </w:pPr>
      <w:rPr>
        <w:rFonts w:hint="eastAsia"/>
      </w:rPr>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B4D907"/>
    <w:multiLevelType w:val="multilevel"/>
    <w:tmpl w:val="52B4D907"/>
    <w:lvl w:ilvl="0">
      <w:start w:val="1"/>
      <w:numFmt w:val="chineseCounting"/>
      <w:pStyle w:val="1"/>
      <w:suff w:val="space"/>
      <w:lvlText w:val="第%1章 "/>
      <w:lvlJc w:val="center"/>
      <w:pPr>
        <w:tabs>
          <w:tab w:val="left" w:pos="0"/>
        </w:tabs>
        <w:ind w:left="0" w:firstLine="0"/>
      </w:pPr>
      <w:rPr>
        <w:rFonts w:ascii="Times New Roman" w:eastAsia="黑体" w:hAnsi="Times New Roman" w:cs="黑体" w:hint="eastAsia"/>
        <w:sz w:val="32"/>
        <w:szCs w:val="32"/>
      </w:rPr>
    </w:lvl>
    <w:lvl w:ilvl="1">
      <w:start w:val="1"/>
      <w:numFmt w:val="decimal"/>
      <w:pStyle w:val="2"/>
      <w:isLgl/>
      <w:suff w:val="space"/>
      <w:lvlText w:val="%1.%2 "/>
      <w:lvlJc w:val="left"/>
      <w:pPr>
        <w:tabs>
          <w:tab w:val="left" w:pos="420"/>
        </w:tabs>
        <w:ind w:left="0" w:firstLine="0"/>
      </w:pPr>
      <w:rPr>
        <w:rFonts w:ascii="黑体" w:eastAsia="黑体" w:hAnsi="黑体" w:cs="黑体" w:hint="eastAsia"/>
        <w:sz w:val="28"/>
        <w:szCs w:val="28"/>
      </w:rPr>
    </w:lvl>
    <w:lvl w:ilvl="2">
      <w:start w:val="1"/>
      <w:numFmt w:val="decimal"/>
      <w:pStyle w:val="3"/>
      <w:isLgl/>
      <w:suff w:val="space"/>
      <w:lvlText w:val="%1.%2.%3 "/>
      <w:lvlJc w:val="left"/>
      <w:pPr>
        <w:tabs>
          <w:tab w:val="left" w:pos="0"/>
        </w:tabs>
        <w:ind w:left="2978" w:hanging="2978"/>
      </w:pPr>
      <w:rPr>
        <w:rFonts w:ascii="Times New Roman" w:eastAsia="仿宋_GB2312" w:hAnsi="Times New Roman" w:cs="Times New Roman" w:hint="eastAsia"/>
        <w:sz w:val="28"/>
        <w:szCs w:val="28"/>
      </w:rPr>
    </w:lvl>
    <w:lvl w:ilvl="3">
      <w:start w:val="1"/>
      <w:numFmt w:val="decimal"/>
      <w:pStyle w:val="4"/>
      <w:isLgl/>
      <w:suff w:val="space"/>
      <w:lvlText w:val="%1.%2.%3.%4 "/>
      <w:lvlJc w:val="left"/>
      <w:pPr>
        <w:tabs>
          <w:tab w:val="left" w:pos="420"/>
        </w:tabs>
        <w:ind w:left="0" w:firstLine="0"/>
      </w:pPr>
      <w:rPr>
        <w:rFonts w:ascii="Times New Roman" w:eastAsia="仿宋_GB2312" w:hAnsi="Times New Roman" w:cs="Times New Roman" w:hint="eastAsia"/>
        <w:sz w:val="28"/>
        <w:szCs w:val="28"/>
      </w:rPr>
    </w:lvl>
    <w:lvl w:ilvl="4">
      <w:start w:val="1"/>
      <w:numFmt w:val="decimal"/>
      <w:pStyle w:val="5"/>
      <w:isLgl/>
      <w:suff w:val="nothing"/>
      <w:lvlText w:val="%5. "/>
      <w:lvlJc w:val="left"/>
      <w:pPr>
        <w:tabs>
          <w:tab w:val="left" w:pos="0"/>
        </w:tabs>
        <w:ind w:left="-13" w:firstLine="567"/>
      </w:pPr>
      <w:rPr>
        <w:rFonts w:ascii="Times New Roman" w:eastAsia="仿宋_GB2312" w:hAnsi="Times New Roman" w:cs="Times New Roman" w:hint="eastAsia"/>
        <w:sz w:val="28"/>
        <w:szCs w:val="28"/>
      </w:rPr>
    </w:lvl>
    <w:lvl w:ilvl="5">
      <w:start w:val="1"/>
      <w:numFmt w:val="decimalFullWidth"/>
      <w:pStyle w:val="6"/>
      <w:isLgl/>
      <w:suff w:val="space"/>
      <w:lvlText w:val="（%6）"/>
      <w:lvlJc w:val="left"/>
      <w:pPr>
        <w:tabs>
          <w:tab w:val="left" w:pos="420"/>
        </w:tabs>
        <w:ind w:left="0" w:firstLine="567"/>
      </w:pPr>
      <w:rPr>
        <w:rFonts w:ascii="Times New Roman" w:eastAsia="仿宋_GB2312" w:hAnsi="Times New Roman" w:cs="Times New Roman" w:hint="eastAsia"/>
        <w:sz w:val="28"/>
        <w:szCs w:val="28"/>
      </w:rPr>
    </w:lvl>
    <w:lvl w:ilvl="6">
      <w:start w:val="1"/>
      <w:numFmt w:val="decimalEnclosedCircleChinese"/>
      <w:suff w:val="space"/>
      <w:lvlText w:val="%7"/>
      <w:lvlJc w:val="left"/>
      <w:pPr>
        <w:tabs>
          <w:tab w:val="left" w:pos="420"/>
        </w:tabs>
        <w:ind w:left="0" w:firstLine="567"/>
      </w:pPr>
      <w:rPr>
        <w:rFonts w:ascii="Times New Roman" w:eastAsia="仿宋_GB2312" w:hAnsi="Times New Roman" w:cs="Times New Roman" w:hint="eastAsia"/>
        <w:sz w:val="28"/>
        <w:szCs w:val="28"/>
      </w:rPr>
    </w:lvl>
    <w:lvl w:ilvl="7">
      <w:start w:val="1"/>
      <w:numFmt w:val="decimal"/>
      <w:lvlRestart w:val="2"/>
      <w:pStyle w:val="8"/>
      <w:isLgl/>
      <w:suff w:val="space"/>
      <w:lvlText w:val="图%1-%2-%8 "/>
      <w:lvlJc w:val="center"/>
      <w:pPr>
        <w:tabs>
          <w:tab w:val="left" w:pos="0"/>
        </w:tabs>
        <w:ind w:left="0" w:firstLine="0"/>
      </w:pPr>
      <w:rPr>
        <w:rFonts w:ascii="黑体" w:eastAsia="黑体" w:hAnsi="黑体" w:cs="黑体" w:hint="eastAsia"/>
        <w:b w:val="0"/>
        <w:sz w:val="28"/>
        <w:szCs w:val="28"/>
      </w:rPr>
    </w:lvl>
    <w:lvl w:ilvl="8">
      <w:start w:val="1"/>
      <w:numFmt w:val="decimal"/>
      <w:lvlRestart w:val="2"/>
      <w:pStyle w:val="9"/>
      <w:isLgl/>
      <w:suff w:val="space"/>
      <w:lvlText w:val="表%1-%2-%9 "/>
      <w:lvlJc w:val="left"/>
      <w:pPr>
        <w:tabs>
          <w:tab w:val="left" w:pos="0"/>
        </w:tabs>
        <w:ind w:left="0" w:firstLine="0"/>
      </w:pPr>
      <w:rPr>
        <w:rFonts w:ascii="仿宋" w:eastAsia="仿宋" w:hAnsi="仿宋" w:cs="仿宋" w:hint="eastAsia"/>
        <w:sz w:val="21"/>
        <w:szCs w:val="21"/>
      </w:rPr>
    </w:lvl>
  </w:abstractNum>
  <w:abstractNum w:abstractNumId="3" w15:restartNumberingAfterBreak="0">
    <w:nsid w:val="6A9760CA"/>
    <w:multiLevelType w:val="multilevel"/>
    <w:tmpl w:val="6A9760CA"/>
    <w:lvl w:ilvl="0">
      <w:start w:val="1"/>
      <w:numFmt w:val="decimal"/>
      <w:pStyle w:val="a"/>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s://10.2.240.65:11335/seeyon/officeservlet"/>
  </w:docVars>
  <w:rsids>
    <w:rsidRoot w:val="00107C94"/>
    <w:rsid w:val="CEB9841B"/>
    <w:rsid w:val="DA1F28AA"/>
    <w:rsid w:val="EFFC50BB"/>
    <w:rsid w:val="F75E55EB"/>
    <w:rsid w:val="00023A34"/>
    <w:rsid w:val="00062D76"/>
    <w:rsid w:val="00075086"/>
    <w:rsid w:val="00085A7D"/>
    <w:rsid w:val="00101ECF"/>
    <w:rsid w:val="00107C94"/>
    <w:rsid w:val="001502F5"/>
    <w:rsid w:val="00154B71"/>
    <w:rsid w:val="001617AB"/>
    <w:rsid w:val="001D1DCB"/>
    <w:rsid w:val="001E2694"/>
    <w:rsid w:val="00205F25"/>
    <w:rsid w:val="00241F7A"/>
    <w:rsid w:val="002633DF"/>
    <w:rsid w:val="00282EA2"/>
    <w:rsid w:val="00297C0D"/>
    <w:rsid w:val="002A098F"/>
    <w:rsid w:val="002A148B"/>
    <w:rsid w:val="002A7A99"/>
    <w:rsid w:val="002B0A65"/>
    <w:rsid w:val="00310AC4"/>
    <w:rsid w:val="0031269A"/>
    <w:rsid w:val="00317077"/>
    <w:rsid w:val="003307AC"/>
    <w:rsid w:val="003353BB"/>
    <w:rsid w:val="00341C24"/>
    <w:rsid w:val="003503C8"/>
    <w:rsid w:val="003705BE"/>
    <w:rsid w:val="003C5B90"/>
    <w:rsid w:val="003E6AED"/>
    <w:rsid w:val="003F03D2"/>
    <w:rsid w:val="003F1F37"/>
    <w:rsid w:val="0040044A"/>
    <w:rsid w:val="004A0EFF"/>
    <w:rsid w:val="004A391D"/>
    <w:rsid w:val="004A5CD9"/>
    <w:rsid w:val="004C6DDB"/>
    <w:rsid w:val="00514731"/>
    <w:rsid w:val="00522B5B"/>
    <w:rsid w:val="00540EBC"/>
    <w:rsid w:val="00562B8D"/>
    <w:rsid w:val="00564FE2"/>
    <w:rsid w:val="00575D11"/>
    <w:rsid w:val="0063436F"/>
    <w:rsid w:val="0064083C"/>
    <w:rsid w:val="0064706F"/>
    <w:rsid w:val="006545F3"/>
    <w:rsid w:val="006D7F86"/>
    <w:rsid w:val="006E3C8A"/>
    <w:rsid w:val="00707738"/>
    <w:rsid w:val="007103C3"/>
    <w:rsid w:val="007315A2"/>
    <w:rsid w:val="00763D6C"/>
    <w:rsid w:val="00774B94"/>
    <w:rsid w:val="007E02A9"/>
    <w:rsid w:val="007E2B89"/>
    <w:rsid w:val="007F09C5"/>
    <w:rsid w:val="00837A91"/>
    <w:rsid w:val="008C0601"/>
    <w:rsid w:val="008C4BAC"/>
    <w:rsid w:val="00920906"/>
    <w:rsid w:val="0097794E"/>
    <w:rsid w:val="009A3121"/>
    <w:rsid w:val="009B3596"/>
    <w:rsid w:val="009B5907"/>
    <w:rsid w:val="00A0034B"/>
    <w:rsid w:val="00A44559"/>
    <w:rsid w:val="00A557DB"/>
    <w:rsid w:val="00A55E18"/>
    <w:rsid w:val="00A90E6D"/>
    <w:rsid w:val="00AB0D1F"/>
    <w:rsid w:val="00AB61D1"/>
    <w:rsid w:val="00AF35A4"/>
    <w:rsid w:val="00B205D3"/>
    <w:rsid w:val="00B4026A"/>
    <w:rsid w:val="00C07342"/>
    <w:rsid w:val="00C3051B"/>
    <w:rsid w:val="00C6681D"/>
    <w:rsid w:val="00C77485"/>
    <w:rsid w:val="00C77E50"/>
    <w:rsid w:val="00C91AA3"/>
    <w:rsid w:val="00CE71AE"/>
    <w:rsid w:val="00D116B0"/>
    <w:rsid w:val="00D2583B"/>
    <w:rsid w:val="00D549CF"/>
    <w:rsid w:val="00D65EB0"/>
    <w:rsid w:val="00D827C3"/>
    <w:rsid w:val="00DA28C4"/>
    <w:rsid w:val="00E027D5"/>
    <w:rsid w:val="00E55573"/>
    <w:rsid w:val="00E957F8"/>
    <w:rsid w:val="00E97803"/>
    <w:rsid w:val="00EB17FE"/>
    <w:rsid w:val="00EB6D4B"/>
    <w:rsid w:val="00EC3038"/>
    <w:rsid w:val="00EE3A47"/>
    <w:rsid w:val="00F037B6"/>
    <w:rsid w:val="00F04665"/>
    <w:rsid w:val="00F047A7"/>
    <w:rsid w:val="00F63FA7"/>
    <w:rsid w:val="00FA58B5"/>
    <w:rsid w:val="00FB360E"/>
    <w:rsid w:val="013646FE"/>
    <w:rsid w:val="06AC026C"/>
    <w:rsid w:val="0F0752A1"/>
    <w:rsid w:val="128114D6"/>
    <w:rsid w:val="162576C9"/>
    <w:rsid w:val="19212219"/>
    <w:rsid w:val="1C976FB2"/>
    <w:rsid w:val="2158004C"/>
    <w:rsid w:val="227D5699"/>
    <w:rsid w:val="2A043DF9"/>
    <w:rsid w:val="2D97686A"/>
    <w:rsid w:val="30030473"/>
    <w:rsid w:val="32802A6C"/>
    <w:rsid w:val="33C5ECB8"/>
    <w:rsid w:val="34A633D5"/>
    <w:rsid w:val="3987098E"/>
    <w:rsid w:val="3A5C5803"/>
    <w:rsid w:val="3BAD594C"/>
    <w:rsid w:val="3C294576"/>
    <w:rsid w:val="3E9F12F5"/>
    <w:rsid w:val="3FFB64F4"/>
    <w:rsid w:val="400B40D4"/>
    <w:rsid w:val="45593DAD"/>
    <w:rsid w:val="4B53617F"/>
    <w:rsid w:val="506426D3"/>
    <w:rsid w:val="558A2919"/>
    <w:rsid w:val="57B3DC23"/>
    <w:rsid w:val="630A66E1"/>
    <w:rsid w:val="66B35B75"/>
    <w:rsid w:val="6B0C2230"/>
    <w:rsid w:val="6FDFAFAD"/>
    <w:rsid w:val="6FFF25B6"/>
    <w:rsid w:val="71211781"/>
    <w:rsid w:val="75EFCD5F"/>
    <w:rsid w:val="789B7088"/>
    <w:rsid w:val="7BCE64DE"/>
    <w:rsid w:val="7CA1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16C06B"/>
  <w15:docId w15:val="{5644E2A9-2684-470E-A181-7308605B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ind w:left="420"/>
      <w:jc w:val="both"/>
    </w:pPr>
    <w:rPr>
      <w:rFonts w:ascii="宋体" w:hAnsi="宋体" w:cstheme="minorBidi"/>
      <w:kern w:val="2"/>
      <w:sz w:val="28"/>
      <w:szCs w:val="28"/>
    </w:rPr>
  </w:style>
  <w:style w:type="paragraph" w:styleId="1">
    <w:name w:val="heading 1"/>
    <w:basedOn w:val="a0"/>
    <w:next w:val="a0"/>
    <w:link w:val="10"/>
    <w:qFormat/>
    <w:pPr>
      <w:keepNext/>
      <w:keepLines/>
      <w:numPr>
        <w:numId w:val="1"/>
      </w:numPr>
      <w:tabs>
        <w:tab w:val="clear" w:pos="0"/>
        <w:tab w:val="left" w:pos="420"/>
      </w:tabs>
      <w:jc w:val="center"/>
      <w:outlineLvl w:val="0"/>
    </w:pPr>
    <w:rPr>
      <w:rFonts w:ascii="黑体" w:eastAsia="黑体" w:hAnsi="黑体" w:cs="Times New Roman"/>
      <w:bCs/>
      <w:kern w:val="44"/>
      <w:sz w:val="32"/>
      <w:szCs w:val="32"/>
    </w:rPr>
  </w:style>
  <w:style w:type="paragraph" w:styleId="2">
    <w:name w:val="heading 2"/>
    <w:basedOn w:val="a0"/>
    <w:next w:val="a0"/>
    <w:link w:val="20"/>
    <w:unhideWhenUsed/>
    <w:qFormat/>
    <w:pPr>
      <w:keepNext/>
      <w:keepLines/>
      <w:numPr>
        <w:ilvl w:val="1"/>
        <w:numId w:val="1"/>
      </w:numPr>
      <w:tabs>
        <w:tab w:val="left" w:pos="0"/>
      </w:tabs>
      <w:outlineLvl w:val="1"/>
    </w:pPr>
    <w:rPr>
      <w:rFonts w:ascii="Times New Roman" w:eastAsia="黑体" w:hAnsi="Times New Roman" w:cs="Times New Roman"/>
      <w:bCs/>
    </w:rPr>
  </w:style>
  <w:style w:type="paragraph" w:styleId="3">
    <w:name w:val="heading 3"/>
    <w:basedOn w:val="a0"/>
    <w:next w:val="a0"/>
    <w:link w:val="30"/>
    <w:unhideWhenUsed/>
    <w:qFormat/>
    <w:pPr>
      <w:keepNext/>
      <w:keepLines/>
      <w:numPr>
        <w:ilvl w:val="2"/>
        <w:numId w:val="1"/>
      </w:numPr>
      <w:tabs>
        <w:tab w:val="left" w:pos="3398"/>
        <w:tab w:val="left" w:pos="3965"/>
      </w:tabs>
      <w:ind w:firstLine="0"/>
      <w:jc w:val="left"/>
      <w:outlineLvl w:val="2"/>
    </w:pPr>
    <w:rPr>
      <w:rFonts w:ascii="Times New Roman" w:eastAsia="仿宋_GB2312" w:hAnsi="Times New Roman" w:cs="Times New Roman"/>
    </w:rPr>
  </w:style>
  <w:style w:type="paragraph" w:styleId="4">
    <w:name w:val="heading 4"/>
    <w:basedOn w:val="a0"/>
    <w:next w:val="a0"/>
    <w:link w:val="40"/>
    <w:unhideWhenUsed/>
    <w:qFormat/>
    <w:pPr>
      <w:keepNext/>
      <w:keepLines/>
      <w:numPr>
        <w:ilvl w:val="3"/>
        <w:numId w:val="1"/>
      </w:numPr>
      <w:tabs>
        <w:tab w:val="left" w:pos="0"/>
      </w:tabs>
      <w:outlineLvl w:val="3"/>
    </w:pPr>
    <w:rPr>
      <w:rFonts w:ascii="Times New Roman" w:eastAsia="仿宋_GB2312" w:hAnsi="Times New Roman" w:cs="Times New Roman"/>
    </w:rPr>
  </w:style>
  <w:style w:type="paragraph" w:styleId="5">
    <w:name w:val="heading 5"/>
    <w:basedOn w:val="a0"/>
    <w:next w:val="a0"/>
    <w:link w:val="50"/>
    <w:unhideWhenUsed/>
    <w:qFormat/>
    <w:pPr>
      <w:keepNext/>
      <w:keepLines/>
      <w:numPr>
        <w:ilvl w:val="4"/>
        <w:numId w:val="1"/>
      </w:numPr>
      <w:tabs>
        <w:tab w:val="left" w:pos="420"/>
      </w:tabs>
      <w:jc w:val="left"/>
      <w:outlineLvl w:val="4"/>
    </w:pPr>
    <w:rPr>
      <w:rFonts w:ascii="Times New Roman" w:eastAsia="仿宋_GB2312" w:hAnsi="Times New Roman" w:cs="仿宋_GB2312"/>
    </w:rPr>
  </w:style>
  <w:style w:type="paragraph" w:styleId="6">
    <w:name w:val="heading 6"/>
    <w:basedOn w:val="a0"/>
    <w:next w:val="a0"/>
    <w:link w:val="60"/>
    <w:unhideWhenUsed/>
    <w:qFormat/>
    <w:pPr>
      <w:keepNext/>
      <w:keepLines/>
      <w:numPr>
        <w:ilvl w:val="5"/>
        <w:numId w:val="1"/>
      </w:numPr>
      <w:outlineLvl w:val="5"/>
    </w:pPr>
    <w:rPr>
      <w:rFonts w:ascii="Times New Roman" w:eastAsia="仿宋_GB2312" w:hAnsi="Times New Roman" w:cs="仿宋_GB2312"/>
    </w:rPr>
  </w:style>
  <w:style w:type="paragraph" w:styleId="8">
    <w:name w:val="heading 8"/>
    <w:basedOn w:val="a0"/>
    <w:next w:val="a0"/>
    <w:link w:val="80"/>
    <w:unhideWhenUsed/>
    <w:qFormat/>
    <w:pPr>
      <w:keepLines/>
      <w:numPr>
        <w:ilvl w:val="7"/>
        <w:numId w:val="1"/>
      </w:numPr>
      <w:tabs>
        <w:tab w:val="center" w:pos="0"/>
        <w:tab w:val="left" w:pos="420"/>
      </w:tabs>
      <w:jc w:val="center"/>
      <w:outlineLvl w:val="7"/>
    </w:pPr>
    <w:rPr>
      <w:rFonts w:ascii="Arial" w:eastAsia="黑体" w:hAnsi="Arial" w:cs="Times New Roman"/>
      <w:color w:val="000000"/>
    </w:rPr>
  </w:style>
  <w:style w:type="paragraph" w:styleId="9">
    <w:name w:val="heading 9"/>
    <w:basedOn w:val="a0"/>
    <w:next w:val="a0"/>
    <w:link w:val="90"/>
    <w:unhideWhenUsed/>
    <w:qFormat/>
    <w:pPr>
      <w:keepNext/>
      <w:keepLines/>
      <w:numPr>
        <w:ilvl w:val="8"/>
        <w:numId w:val="1"/>
      </w:numPr>
      <w:snapToGrid w:val="0"/>
      <w:outlineLvl w:val="8"/>
    </w:pPr>
    <w:rPr>
      <w:rFonts w:ascii="Times New Roman" w:eastAsia="仿宋_GB2312" w:hAnsi="Times New Roman"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next w:val="a5"/>
    <w:qFormat/>
    <w:pPr>
      <w:jc w:val="left"/>
    </w:pPr>
  </w:style>
  <w:style w:type="paragraph" w:styleId="a5">
    <w:name w:val="Balloon Text"/>
    <w:basedOn w:val="a0"/>
    <w:semiHidden/>
    <w:qFormat/>
    <w:rPr>
      <w:sz w:val="18"/>
      <w:szCs w:val="18"/>
    </w:rPr>
  </w:style>
  <w:style w:type="paragraph" w:styleId="a6">
    <w:name w:val="Body Text"/>
    <w:basedOn w:val="a0"/>
    <w:uiPriority w:val="99"/>
    <w:unhideWhenUsed/>
    <w:qFormat/>
    <w:pPr>
      <w:spacing w:before="100" w:beforeAutospacing="1"/>
    </w:pPr>
    <w:rPr>
      <w:kern w:val="0"/>
      <w:sz w:val="20"/>
    </w:r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6"/>
    <w:uiPriority w:val="99"/>
    <w:unhideWhenUsed/>
    <w:qFormat/>
    <w:pPr>
      <w:spacing w:before="0" w:beforeAutospacing="0" w:after="120"/>
      <w:ind w:firstLineChars="100" w:firstLine="420"/>
    </w:pPr>
    <w:rPr>
      <w:rFonts w:ascii="Times New Roman" w:hAnsi="Times New Roman" w:cs="Times New Roman"/>
      <w:szCs w:val="20"/>
    </w:rPr>
  </w:style>
  <w:style w:type="table" w:styleId="a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qFormat/>
    <w:rPr>
      <w:sz w:val="21"/>
      <w:szCs w:val="21"/>
    </w:rPr>
  </w:style>
  <w:style w:type="paragraph" w:styleId="a">
    <w:name w:val="List Paragraph"/>
    <w:basedOn w:val="a0"/>
    <w:uiPriority w:val="34"/>
    <w:qFormat/>
    <w:pPr>
      <w:numPr>
        <w:numId w:val="2"/>
      </w:numPr>
      <w:tabs>
        <w:tab w:val="left" w:pos="709"/>
      </w:tabs>
    </w:p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10">
    <w:name w:val="标题 1 字符"/>
    <w:basedOn w:val="a2"/>
    <w:link w:val="1"/>
    <w:qFormat/>
    <w:rPr>
      <w:rFonts w:ascii="黑体" w:eastAsia="黑体" w:hAnsi="黑体"/>
      <w:bCs/>
      <w:kern w:val="44"/>
      <w:sz w:val="32"/>
      <w:szCs w:val="32"/>
    </w:rPr>
  </w:style>
  <w:style w:type="character" w:customStyle="1" w:styleId="20">
    <w:name w:val="标题 2 字符"/>
    <w:basedOn w:val="a2"/>
    <w:link w:val="2"/>
    <w:qFormat/>
    <w:rPr>
      <w:rFonts w:eastAsia="黑体"/>
      <w:bCs/>
      <w:kern w:val="2"/>
      <w:sz w:val="28"/>
      <w:szCs w:val="28"/>
    </w:rPr>
  </w:style>
  <w:style w:type="character" w:customStyle="1" w:styleId="30">
    <w:name w:val="标题 3 字符"/>
    <w:basedOn w:val="a2"/>
    <w:link w:val="3"/>
    <w:rPr>
      <w:rFonts w:eastAsia="仿宋_GB2312"/>
      <w:kern w:val="2"/>
      <w:sz w:val="28"/>
      <w:szCs w:val="28"/>
    </w:rPr>
  </w:style>
  <w:style w:type="character" w:customStyle="1" w:styleId="40">
    <w:name w:val="标题 4 字符"/>
    <w:basedOn w:val="a2"/>
    <w:link w:val="4"/>
    <w:qFormat/>
    <w:rPr>
      <w:rFonts w:eastAsia="仿宋_GB2312"/>
      <w:kern w:val="2"/>
      <w:sz w:val="28"/>
      <w:szCs w:val="28"/>
    </w:rPr>
  </w:style>
  <w:style w:type="character" w:customStyle="1" w:styleId="50">
    <w:name w:val="标题 5 字符"/>
    <w:basedOn w:val="a2"/>
    <w:link w:val="5"/>
    <w:rPr>
      <w:rFonts w:eastAsia="仿宋_GB2312" w:cs="仿宋_GB2312"/>
      <w:kern w:val="2"/>
      <w:sz w:val="28"/>
      <w:szCs w:val="28"/>
    </w:rPr>
  </w:style>
  <w:style w:type="character" w:customStyle="1" w:styleId="60">
    <w:name w:val="标题 6 字符"/>
    <w:basedOn w:val="a2"/>
    <w:link w:val="6"/>
    <w:rPr>
      <w:rFonts w:eastAsia="仿宋_GB2312" w:cs="仿宋_GB2312"/>
      <w:kern w:val="2"/>
      <w:sz w:val="28"/>
      <w:szCs w:val="28"/>
    </w:rPr>
  </w:style>
  <w:style w:type="character" w:customStyle="1" w:styleId="80">
    <w:name w:val="标题 8 字符"/>
    <w:basedOn w:val="a2"/>
    <w:link w:val="8"/>
    <w:rPr>
      <w:rFonts w:ascii="Arial" w:eastAsia="黑体" w:hAnsi="Arial"/>
      <w:color w:val="000000"/>
      <w:kern w:val="2"/>
      <w:sz w:val="28"/>
      <w:szCs w:val="28"/>
    </w:rPr>
  </w:style>
  <w:style w:type="character" w:customStyle="1" w:styleId="90">
    <w:name w:val="标题 9 字符"/>
    <w:basedOn w:val="a2"/>
    <w:link w:val="9"/>
    <w:rPr>
      <w:rFonts w:eastAsia="仿宋_GB2312"/>
      <w:color w:val="000000"/>
      <w:kern w:val="2"/>
      <w:sz w:val="21"/>
      <w:szCs w:val="28"/>
    </w:rPr>
  </w:style>
  <w:style w:type="character" w:customStyle="1" w:styleId="15">
    <w:name w:val="15"/>
    <w:basedOn w:val="a2"/>
    <w:rPr>
      <w:rFonts w:ascii="Calibri" w:eastAsia="宋体" w:hAnsi="Calibri" w:cs="Calibri" w:hint="defaul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Company>Microsoft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2024-08-26T22:39:00Z</dcterms:created>
  <dcterms:modified xsi:type="dcterms:W3CDTF">2024-08-26T08:21:00Z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30182B2AF7F94550AFB2B0C8A3BCC030_12</vt:lpwstr>
  </property>
</Properties>
</file>