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A1E46" w14:textId="77777777" w:rsidR="00066D4D" w:rsidRDefault="005E2C60">
      <w:pPr>
        <w:pStyle w:val="a5"/>
        <w:widowControl w:val="0"/>
        <w:adjustRightInd w:val="0"/>
        <w:snapToGrid w:val="0"/>
        <w:spacing w:before="0" w:beforeAutospacing="0" w:after="0" w:afterAutospacing="0" w:line="560" w:lineRule="exact"/>
        <w:jc w:val="center"/>
        <w:rPr>
          <w:rStyle w:val="a6"/>
          <w:rFonts w:ascii="方正小标宋简体" w:eastAsia="方正小标宋简体" w:hAnsi="方正小标宋简体" w:cs="方正小标宋简体"/>
          <w:b w:val="0"/>
          <w:bCs w:val="0"/>
          <w:sz w:val="29"/>
          <w:szCs w:val="29"/>
        </w:rPr>
      </w:pPr>
      <w:r>
        <w:rPr>
          <w:rStyle w:val="a6"/>
          <w:rFonts w:ascii="方正小标宋简体" w:eastAsia="方正小标宋简体" w:hAnsi="方正小标宋简体" w:cs="方正小标宋简体" w:hint="eastAsia"/>
          <w:b w:val="0"/>
          <w:bCs w:val="0"/>
          <w:sz w:val="29"/>
          <w:szCs w:val="29"/>
        </w:rPr>
        <w:t>广州医科大学附属番禺中心医院医保智能管理系统项目需求</w:t>
      </w:r>
    </w:p>
    <w:p w14:paraId="63C8528C" w14:textId="77777777" w:rsidR="00066D4D" w:rsidRDefault="005E2C60">
      <w:pPr>
        <w:pStyle w:val="a5"/>
        <w:widowControl w:val="0"/>
        <w:adjustRightInd w:val="0"/>
        <w:snapToGrid w:val="0"/>
        <w:spacing w:before="0" w:beforeAutospacing="0" w:after="0" w:afterAutospacing="0" w:line="560" w:lineRule="exact"/>
        <w:rPr>
          <w:rStyle w:val="a6"/>
          <w:rFonts w:ascii="仿宋" w:eastAsia="仿宋" w:hAnsi="仿宋"/>
          <w:sz w:val="29"/>
          <w:szCs w:val="29"/>
        </w:rPr>
      </w:pPr>
      <w:r>
        <w:rPr>
          <w:rStyle w:val="a6"/>
          <w:rFonts w:ascii="仿宋" w:eastAsia="仿宋" w:hAnsi="仿宋" w:hint="eastAsia"/>
          <w:sz w:val="29"/>
          <w:szCs w:val="29"/>
        </w:rPr>
        <w:t xml:space="preserve">    </w:t>
      </w:r>
    </w:p>
    <w:p w14:paraId="1713AD16" w14:textId="77777777" w:rsidR="00066D4D" w:rsidRDefault="005E2C60">
      <w:pPr>
        <w:pStyle w:val="a5"/>
        <w:widowControl w:val="0"/>
        <w:adjustRightInd w:val="0"/>
        <w:snapToGrid w:val="0"/>
        <w:spacing w:before="0" w:beforeAutospacing="0" w:after="0" w:afterAutospacing="0" w:line="560" w:lineRule="exact"/>
        <w:ind w:firstLineChars="200" w:firstLine="580"/>
        <w:rPr>
          <w:rFonts w:ascii="黑体" w:eastAsia="黑体" w:hAnsi="黑体" w:cs="黑体"/>
          <w:sz w:val="27"/>
          <w:szCs w:val="27"/>
        </w:rPr>
      </w:pPr>
      <w:r>
        <w:rPr>
          <w:rStyle w:val="a6"/>
          <w:rFonts w:ascii="黑体" w:eastAsia="黑体" w:hAnsi="黑体" w:cs="黑体" w:hint="eastAsia"/>
          <w:b w:val="0"/>
          <w:bCs w:val="0"/>
          <w:sz w:val="29"/>
          <w:szCs w:val="29"/>
        </w:rPr>
        <w:t>一、项目简介</w:t>
      </w:r>
    </w:p>
    <w:p w14:paraId="68E3F1DE" w14:textId="4A7BEBDE"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为贯彻落实国家医疗保障局办公室《关于开展国家医保信息平台智能监管系统“事前提醒”功能应用试点工作的通知》文件的要求，提高监管效率、优化医疗服务以及提升公众满意度，</w:t>
      </w:r>
      <w:r>
        <w:rPr>
          <w:rFonts w:ascii="宋体" w:eastAsia="宋体" w:hAnsi="宋体" w:cs="宋体" w:hint="default"/>
          <w:sz w:val="24"/>
          <w:szCs w:val="24"/>
        </w:rPr>
        <w:t>医疗集团</w:t>
      </w:r>
      <w:r>
        <w:rPr>
          <w:rFonts w:ascii="宋体" w:eastAsia="宋体" w:hAnsi="宋体" w:cs="宋体"/>
          <w:sz w:val="24"/>
          <w:szCs w:val="24"/>
        </w:rPr>
        <w:t>要采购医保智能管理系统。</w:t>
      </w:r>
    </w:p>
    <w:p w14:paraId="0BC2B96D" w14:textId="77777777" w:rsidR="00066D4D" w:rsidRDefault="005E2C60">
      <w:pPr>
        <w:pStyle w:val="a5"/>
        <w:widowControl w:val="0"/>
        <w:adjustRightInd w:val="0"/>
        <w:snapToGrid w:val="0"/>
        <w:spacing w:before="0" w:beforeAutospacing="0" w:after="0" w:afterAutospacing="0" w:line="560" w:lineRule="exact"/>
        <w:ind w:firstLineChars="200" w:firstLine="580"/>
        <w:rPr>
          <w:rStyle w:val="a6"/>
          <w:rFonts w:ascii="黑体" w:eastAsia="黑体" w:hAnsi="黑体" w:cs="黑体"/>
          <w:b w:val="0"/>
          <w:bCs w:val="0"/>
          <w:sz w:val="29"/>
          <w:szCs w:val="29"/>
        </w:rPr>
      </w:pPr>
      <w:r>
        <w:rPr>
          <w:rStyle w:val="a6"/>
          <w:rFonts w:ascii="黑体" w:eastAsia="黑体" w:hAnsi="黑体" w:cs="黑体" w:hint="eastAsia"/>
          <w:b w:val="0"/>
          <w:bCs w:val="0"/>
          <w:sz w:val="29"/>
          <w:szCs w:val="29"/>
        </w:rPr>
        <w:t>二、建设目标</w:t>
      </w:r>
    </w:p>
    <w:p w14:paraId="48505407"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本项目目标是通过智能化手段提高监管效能，优化监管流程，提升监管精细化水平，最终构建一个全面、高效、智能的医保智能管理体系。</w:t>
      </w:r>
    </w:p>
    <w:p w14:paraId="4CB46AAE" w14:textId="77777777" w:rsidR="00066D4D" w:rsidRDefault="005E2C60">
      <w:pPr>
        <w:pStyle w:val="a5"/>
        <w:widowControl w:val="0"/>
        <w:adjustRightInd w:val="0"/>
        <w:snapToGrid w:val="0"/>
        <w:spacing w:before="0" w:beforeAutospacing="0" w:after="0" w:afterAutospacing="0" w:line="560" w:lineRule="exact"/>
        <w:ind w:firstLineChars="200" w:firstLine="580"/>
        <w:rPr>
          <w:rStyle w:val="a6"/>
          <w:rFonts w:ascii="黑体" w:eastAsia="黑体" w:hAnsi="黑体" w:cs="黑体"/>
          <w:b w:val="0"/>
          <w:bCs w:val="0"/>
          <w:sz w:val="29"/>
          <w:szCs w:val="29"/>
        </w:rPr>
      </w:pPr>
      <w:r>
        <w:rPr>
          <w:rStyle w:val="a6"/>
          <w:rFonts w:ascii="黑体" w:eastAsia="黑体" w:hAnsi="黑体" w:cs="黑体" w:hint="eastAsia"/>
          <w:b w:val="0"/>
          <w:bCs w:val="0"/>
          <w:sz w:val="29"/>
          <w:szCs w:val="29"/>
        </w:rPr>
        <w:t>三、系统功能需求</w:t>
      </w:r>
      <w:bookmarkStart w:id="0" w:name="_GoBack"/>
      <w:bookmarkEnd w:id="0"/>
    </w:p>
    <w:p w14:paraId="1CC72054"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本次项目应包含但不限于以下功能模块：</w:t>
      </w:r>
    </w:p>
    <w:p w14:paraId="1E2FF42F"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1、数据首页总览全院智能审核提醒情况等，另对全院DIP管理、病种运营、科室运营等不同维度生成智能简报查看。</w:t>
      </w:r>
    </w:p>
    <w:p w14:paraId="30B7755C" w14:textId="77777777" w:rsidR="00066D4D" w:rsidRDefault="005E2C60">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rPr>
        <w:t>2、医保目录管理可分别对医保药品目录、医保耗材目录、医保服务项目目录、ICD-10诊断目录、ICD-9手术目录等进行维护管理</w:t>
      </w:r>
      <w:r>
        <w:rPr>
          <w:rFonts w:ascii="宋体" w:eastAsia="宋体" w:hAnsi="宋体" w:cs="宋体"/>
          <w:sz w:val="24"/>
          <w:szCs w:val="24"/>
          <w:lang w:eastAsia="zh-CN"/>
        </w:rPr>
        <w:t>。</w:t>
      </w:r>
    </w:p>
    <w:p w14:paraId="091E0C70"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3、规则配置管理，能通过规则配置管理实现规则查询、新增、修改编辑、批量导入、复制规则、继承规则、启用与禁用规则等，以病种为基础，配置符合本地政策的分值库及分组器，动态调整控费基准、为事中实时控费提供基础。</w:t>
      </w:r>
    </w:p>
    <w:p w14:paraId="60CFD923"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 xml:space="preserve">4、实现事中控费管理、对医生的选择病种进行辅助校验以及费用智能提醒，让医生的医疗行为更为合理。 </w:t>
      </w:r>
    </w:p>
    <w:p w14:paraId="20C9F340" w14:textId="77777777" w:rsidR="00066D4D" w:rsidRDefault="005E2C60">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rPr>
        <w:t>5、医保申诉管理、过程跟踪分析决策、DIP（药品、耗材）管理、医保结算预审、结算清单校验</w:t>
      </w:r>
      <w:r>
        <w:rPr>
          <w:rFonts w:ascii="宋体" w:eastAsia="宋体" w:hAnsi="宋体" w:cs="宋体"/>
          <w:sz w:val="24"/>
          <w:szCs w:val="24"/>
          <w:lang w:eastAsia="zh-CN"/>
        </w:rPr>
        <w:t>、</w:t>
      </w:r>
      <w:r>
        <w:rPr>
          <w:rFonts w:ascii="宋体" w:eastAsia="宋体" w:hAnsi="宋体" w:cs="宋体"/>
          <w:sz w:val="24"/>
          <w:szCs w:val="24"/>
        </w:rPr>
        <w:t>结算清单质控，DIP精细化运营分析（病种分析、人次占比、病例分析、费用结构、盈亏等等）</w:t>
      </w:r>
      <w:r>
        <w:rPr>
          <w:rFonts w:ascii="宋体" w:eastAsia="宋体" w:hAnsi="宋体" w:cs="宋体"/>
          <w:sz w:val="24"/>
          <w:szCs w:val="24"/>
          <w:lang w:eastAsia="zh-CN"/>
        </w:rPr>
        <w:t>。</w:t>
      </w:r>
    </w:p>
    <w:p w14:paraId="7E85A86D"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6、知识库管理、接口服务等。</w:t>
      </w:r>
    </w:p>
    <w:p w14:paraId="689B570E"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7、同时对接国家医保信息平台智能监管系统，实现患者在实际结算或预结算事件发生时进行违规分析提示；针对门诊</w:t>
      </w:r>
      <w:r>
        <w:rPr>
          <w:rFonts w:ascii="宋体" w:eastAsia="宋体" w:hAnsi="宋体" w:cs="宋体"/>
          <w:sz w:val="24"/>
          <w:szCs w:val="24"/>
          <w:lang w:eastAsia="zh-CN"/>
        </w:rPr>
        <w:t>及住院结算</w:t>
      </w:r>
      <w:r>
        <w:rPr>
          <w:rFonts w:ascii="宋体" w:eastAsia="宋体" w:hAnsi="宋体" w:cs="宋体"/>
          <w:sz w:val="24"/>
          <w:szCs w:val="24"/>
        </w:rPr>
        <w:t>、住院期间的患者(未出院)，对患者本次门诊、住院所产生的医嘱明细进行分析，并给出分析结果，提醒医疗服务提供者。</w:t>
      </w:r>
    </w:p>
    <w:p w14:paraId="2A679EDC" w14:textId="0F1489A1"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上述功能均需部署在番禺中心医院医疗集团</w:t>
      </w:r>
      <w:r w:rsidR="00840D6F">
        <w:rPr>
          <w:rFonts w:ascii="宋体" w:eastAsia="宋体" w:hAnsi="宋体" w:cs="宋体"/>
          <w:sz w:val="24"/>
          <w:szCs w:val="24"/>
          <w:lang w:eastAsia="zh-CN"/>
        </w:rPr>
        <w:t>及</w:t>
      </w:r>
      <w:r>
        <w:rPr>
          <w:rFonts w:ascii="宋体" w:eastAsia="宋体" w:hAnsi="宋体" w:cs="宋体"/>
          <w:sz w:val="24"/>
          <w:szCs w:val="24"/>
        </w:rPr>
        <w:t>分院中，并对接医院医生工作站实现提醒，所有报价均为产品功能分项报价。</w:t>
      </w:r>
    </w:p>
    <w:p w14:paraId="6446318A" w14:textId="77777777" w:rsidR="00066D4D" w:rsidRDefault="005E2C60">
      <w:pPr>
        <w:pStyle w:val="a5"/>
        <w:widowControl w:val="0"/>
        <w:adjustRightInd w:val="0"/>
        <w:snapToGrid w:val="0"/>
        <w:spacing w:before="0" w:beforeAutospacing="0" w:after="0" w:afterAutospacing="0" w:line="560" w:lineRule="exact"/>
        <w:ind w:firstLineChars="200" w:firstLine="580"/>
        <w:rPr>
          <w:rStyle w:val="a6"/>
          <w:rFonts w:ascii="黑体" w:eastAsia="黑体" w:hAnsi="黑体" w:cs="黑体"/>
          <w:b w:val="0"/>
          <w:bCs w:val="0"/>
          <w:sz w:val="29"/>
          <w:szCs w:val="29"/>
          <w:lang w:val="en-GB"/>
        </w:rPr>
      </w:pPr>
      <w:r>
        <w:rPr>
          <w:rStyle w:val="a6"/>
          <w:rFonts w:ascii="黑体" w:eastAsia="黑体" w:hAnsi="黑体" w:cs="黑体" w:hint="eastAsia"/>
          <w:b w:val="0"/>
          <w:bCs w:val="0"/>
          <w:sz w:val="29"/>
          <w:szCs w:val="29"/>
        </w:rPr>
        <w:t>四、</w:t>
      </w:r>
      <w:r>
        <w:rPr>
          <w:rStyle w:val="a6"/>
          <w:rFonts w:ascii="黑体" w:eastAsia="黑体" w:hAnsi="黑体" w:cs="黑体" w:hint="eastAsia"/>
          <w:b w:val="0"/>
          <w:bCs w:val="0"/>
          <w:sz w:val="29"/>
          <w:szCs w:val="29"/>
          <w:lang w:val="en-GB"/>
        </w:rPr>
        <w:t>服务期限</w:t>
      </w:r>
    </w:p>
    <w:p w14:paraId="73E7703E"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（1）要求项目总体需在合同签订之后且服务器到位之日起</w:t>
      </w:r>
      <w:r>
        <w:rPr>
          <w:rFonts w:ascii="宋体" w:eastAsia="宋体" w:hAnsi="宋体" w:cs="宋体" w:hint="default"/>
          <w:sz w:val="24"/>
          <w:szCs w:val="24"/>
        </w:rPr>
        <w:t>12</w:t>
      </w:r>
      <w:r>
        <w:rPr>
          <w:rFonts w:ascii="宋体" w:eastAsia="宋体" w:hAnsi="宋体" w:cs="宋体"/>
          <w:sz w:val="24"/>
          <w:szCs w:val="24"/>
        </w:rPr>
        <w:t>个月内完成项目交付工作。</w:t>
      </w:r>
    </w:p>
    <w:p w14:paraId="10C9F70F"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2）系统对接：项目正式实施前，采购人与中标人共同明确本项目需对接的业务系统清单，并签署系统对接确认单，双方签署的系统对接确认单中约定的涉及病案归档的业务系统对接上线需在项目服务期限内全部完成。</w:t>
      </w:r>
    </w:p>
    <w:p w14:paraId="2F17A9BB"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（3）系统应用功能上线：系统全部的应用功能应在系统对接完成后的2个月内全部上线并进行至少1次的免费培训。</w:t>
      </w:r>
    </w:p>
    <w:p w14:paraId="39D73603" w14:textId="77777777" w:rsidR="00066D4D" w:rsidRDefault="005E2C60">
      <w:pPr>
        <w:pStyle w:val="a5"/>
        <w:widowControl w:val="0"/>
        <w:adjustRightInd w:val="0"/>
        <w:snapToGrid w:val="0"/>
        <w:spacing w:before="0" w:beforeAutospacing="0" w:after="0" w:afterAutospacing="0" w:line="560" w:lineRule="exact"/>
        <w:ind w:firstLineChars="200" w:firstLine="580"/>
        <w:rPr>
          <w:rStyle w:val="a6"/>
          <w:rFonts w:ascii="黑体" w:eastAsia="黑体" w:hAnsi="黑体" w:cs="黑体"/>
          <w:b w:val="0"/>
          <w:bCs w:val="0"/>
          <w:sz w:val="29"/>
          <w:szCs w:val="29"/>
          <w:lang w:val="en-GB"/>
        </w:rPr>
      </w:pPr>
      <w:r>
        <w:rPr>
          <w:rStyle w:val="a6"/>
          <w:rFonts w:ascii="黑体" w:eastAsia="黑体" w:hAnsi="黑体" w:cs="黑体" w:hint="eastAsia"/>
          <w:b w:val="0"/>
          <w:bCs w:val="0"/>
          <w:sz w:val="29"/>
          <w:szCs w:val="29"/>
        </w:rPr>
        <w:t>五、</w:t>
      </w:r>
      <w:r>
        <w:rPr>
          <w:rStyle w:val="a6"/>
          <w:rFonts w:ascii="黑体" w:eastAsia="黑体" w:hAnsi="黑体" w:cs="黑体" w:hint="eastAsia"/>
          <w:b w:val="0"/>
          <w:bCs w:val="0"/>
          <w:sz w:val="29"/>
          <w:szCs w:val="29"/>
          <w:lang w:val="en-GB"/>
        </w:rPr>
        <w:t>服务地点</w:t>
      </w:r>
    </w:p>
    <w:p w14:paraId="103FEB15"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采购人指定地点，中标人负责将产品运送至采购人指定地点并完成系统软件安装调试，并通过验收合格才可交付采购人使用，中标人须承担由此产生的全部费用。</w:t>
      </w:r>
    </w:p>
    <w:p w14:paraId="7F2A3DDF" w14:textId="77777777" w:rsidR="00066D4D" w:rsidRDefault="005E2C60">
      <w:pPr>
        <w:pStyle w:val="a5"/>
        <w:widowControl w:val="0"/>
        <w:adjustRightInd w:val="0"/>
        <w:snapToGrid w:val="0"/>
        <w:spacing w:before="0" w:beforeAutospacing="0" w:after="0" w:afterAutospacing="0" w:line="560" w:lineRule="exact"/>
        <w:ind w:firstLineChars="200" w:firstLine="580"/>
        <w:rPr>
          <w:rStyle w:val="a6"/>
          <w:rFonts w:ascii="黑体" w:eastAsia="黑体" w:hAnsi="黑体" w:cs="黑体"/>
          <w:b w:val="0"/>
          <w:bCs w:val="0"/>
          <w:sz w:val="29"/>
          <w:szCs w:val="29"/>
        </w:rPr>
      </w:pPr>
      <w:r>
        <w:rPr>
          <w:rStyle w:val="a6"/>
          <w:rFonts w:ascii="黑体" w:eastAsia="黑体" w:hAnsi="黑体" w:cs="黑体" w:hint="eastAsia"/>
          <w:b w:val="0"/>
          <w:bCs w:val="0"/>
          <w:sz w:val="29"/>
          <w:szCs w:val="29"/>
        </w:rPr>
        <w:t>六、质量、安装及验收标准要求</w:t>
      </w:r>
    </w:p>
    <w:p w14:paraId="12948B87"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1、中标人承诺提供原装的、全新的、功能、性能及指标符合或优于国家及招标文件提出的有关技术、质量、安全标准及要求。</w:t>
      </w:r>
    </w:p>
    <w:p w14:paraId="67B962BA"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2、中标人所投产品应具有较高的可靠性和稳定性，满足7×24小时连续不间断运行需要。</w:t>
      </w:r>
    </w:p>
    <w:p w14:paraId="4E0D6B9C"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3、验收按国家有关的规定、规范进行。国家有强制性规定的项目验收，按国家规定执行，本项目必须严格遵循国家及相关部门的要求，达到招标文件所要求的所有功能。</w:t>
      </w:r>
    </w:p>
    <w:p w14:paraId="73E62B0B"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4、采购人应对交付产品的数量、质量、性能等进行详细而全面的检验，如检验证明符合要求，由采购人组成的验收小组签署验收报告，作为付款凭据之一。</w:t>
      </w:r>
    </w:p>
    <w:p w14:paraId="600E29FF"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lang w:eastAsia="zh-CN"/>
        </w:rPr>
        <w:t>5</w:t>
      </w:r>
      <w:r>
        <w:rPr>
          <w:rFonts w:ascii="宋体" w:eastAsia="宋体" w:hAnsi="宋体" w:cs="宋体"/>
          <w:sz w:val="24"/>
          <w:szCs w:val="24"/>
        </w:rPr>
        <w:t>、项目整体验收合格依据系统数据对接</w:t>
      </w:r>
      <w:r>
        <w:rPr>
          <w:rFonts w:ascii="宋体" w:eastAsia="宋体" w:hAnsi="宋体" w:cs="宋体"/>
          <w:sz w:val="24"/>
          <w:szCs w:val="24"/>
          <w:lang w:eastAsia="zh-CN"/>
        </w:rPr>
        <w:t>、</w:t>
      </w:r>
      <w:r>
        <w:rPr>
          <w:rFonts w:ascii="宋体" w:eastAsia="宋体" w:hAnsi="宋体" w:cs="宋体"/>
          <w:sz w:val="24"/>
          <w:szCs w:val="24"/>
        </w:rPr>
        <w:t>应用功能符合项目合同要求，即视为项目整体验收合格，采购人应当签署项目验收报告，作为项目款支付的依据。</w:t>
      </w:r>
      <w:r>
        <w:rPr>
          <w:rFonts w:ascii="宋体" w:eastAsia="宋体" w:hAnsi="宋体" w:cs="宋体"/>
          <w:sz w:val="24"/>
          <w:szCs w:val="24"/>
          <w:lang w:eastAsia="zh-CN"/>
        </w:rPr>
        <w:t>其中硬件验收依据</w:t>
      </w:r>
      <w:r>
        <w:rPr>
          <w:rFonts w:ascii="宋体" w:eastAsia="宋体" w:hAnsi="宋体" w:cs="宋体"/>
          <w:sz w:val="24"/>
          <w:szCs w:val="24"/>
        </w:rPr>
        <w:t>合项目合同相关要求。</w:t>
      </w:r>
    </w:p>
    <w:p w14:paraId="1A6E1626" w14:textId="77777777" w:rsidR="00066D4D" w:rsidRDefault="005E2C60">
      <w:pPr>
        <w:pStyle w:val="a5"/>
        <w:widowControl w:val="0"/>
        <w:adjustRightInd w:val="0"/>
        <w:snapToGrid w:val="0"/>
        <w:spacing w:before="0" w:beforeAutospacing="0" w:after="0" w:afterAutospacing="0" w:line="560" w:lineRule="exact"/>
        <w:ind w:firstLineChars="200" w:firstLine="580"/>
        <w:rPr>
          <w:rStyle w:val="a6"/>
          <w:rFonts w:ascii="黑体" w:eastAsia="黑体" w:hAnsi="黑体" w:cs="黑体"/>
          <w:b w:val="0"/>
          <w:bCs w:val="0"/>
          <w:sz w:val="29"/>
          <w:szCs w:val="29"/>
        </w:rPr>
      </w:pPr>
      <w:r>
        <w:rPr>
          <w:rStyle w:val="a6"/>
          <w:rFonts w:ascii="黑体" w:eastAsia="黑体" w:hAnsi="黑体" w:cs="黑体" w:hint="eastAsia"/>
          <w:b w:val="0"/>
          <w:bCs w:val="0"/>
          <w:sz w:val="29"/>
          <w:szCs w:val="29"/>
        </w:rPr>
        <w:t>七、售后服务</w:t>
      </w:r>
    </w:p>
    <w:p w14:paraId="0C54629C" w14:textId="7D4C675C"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lastRenderedPageBreak/>
        <w:t>1、维保期：本项目要求提供自项目验收合格后免费维保</w:t>
      </w:r>
      <w:r w:rsidR="00840D6F">
        <w:rPr>
          <w:rFonts w:ascii="宋体" w:eastAsia="宋体" w:hAnsi="宋体" w:cs="宋体"/>
          <w:sz w:val="24"/>
          <w:szCs w:val="24"/>
          <w:lang w:eastAsia="zh-CN"/>
        </w:rPr>
        <w:t>不少于</w:t>
      </w:r>
      <w:r>
        <w:rPr>
          <w:rFonts w:ascii="宋体" w:eastAsia="宋体" w:hAnsi="宋体" w:cs="宋体"/>
          <w:sz w:val="24"/>
          <w:szCs w:val="24"/>
          <w:lang w:eastAsia="zh-CN"/>
        </w:rPr>
        <w:t>一</w:t>
      </w:r>
      <w:r>
        <w:rPr>
          <w:rFonts w:ascii="宋体" w:eastAsia="宋体" w:hAnsi="宋体" w:cs="宋体"/>
          <w:sz w:val="24"/>
          <w:szCs w:val="24"/>
        </w:rPr>
        <w:t>年，免费维保期自采购人、中标人双方代表在验收单上签字之日起计算，如因系统本身问题导致停用时间累计超过60天则维保期重新计算。</w:t>
      </w:r>
    </w:p>
    <w:p w14:paraId="1C57B3FF"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2、中标人为采购人提供软件免费售后服务，为采购人作技术支持，保证采购人顺利运行系统。</w:t>
      </w:r>
    </w:p>
    <w:p w14:paraId="6BA0EF63"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3、维保期内须提供周期上门免费服务：周期为3个月一次，形式为预约上门，服务内容为周期保养检修、检测系统运行状况、处理使用过程中出现的问题等。</w:t>
      </w:r>
    </w:p>
    <w:p w14:paraId="180C9A2F"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4、维保期内，对采购人更换或新上线的HIS、EMR、LIS、PACS等系统都须完成对接，无须另行支付费用。</w:t>
      </w:r>
    </w:p>
    <w:p w14:paraId="3683C23C"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5、须提供常设每周7天*24小时服务专线和长期的技术支持，售后服务机构须设专业人员提供远程服务。若远程维护无法解决的，中标人应及时安排人员前往现场处理故障，自报障时起算，系统重大故障问题：30分钟内响应，2小时内安排人员前往，6小时内提供解决方案及相应的补救措施并解决问题，24个小时内解除一般性故障。系统一般故障问题：响应时间为1小时，8小时内提供解决方案并对错误进行修改，不影响主要业务运行的双方可协商解决问题的时间。</w:t>
      </w:r>
    </w:p>
    <w:p w14:paraId="77BF445F"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6、免费服务期满后,采购人采用年保有偿服务的方式为其提供服务，年费用收取标准为不高于该软件合同总价的10%，具体费用另行协商。</w:t>
      </w:r>
    </w:p>
    <w:p w14:paraId="7FAEE2C6"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7、须选派具有两年以上相关工作经验的技术或运维人员负责开发维护工作，验收后软件工程师每季度至少巡检一次，对系统进行检查。</w:t>
      </w:r>
    </w:p>
    <w:p w14:paraId="733EC647"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8、中标人应提供系统扩充、升级方面的技术支持服务。</w:t>
      </w:r>
    </w:p>
    <w:p w14:paraId="4A4997D7" w14:textId="77777777" w:rsidR="00066D4D" w:rsidRDefault="005E2C60">
      <w:pPr>
        <w:pStyle w:val="a5"/>
        <w:widowControl w:val="0"/>
        <w:adjustRightInd w:val="0"/>
        <w:snapToGrid w:val="0"/>
        <w:spacing w:before="0" w:beforeAutospacing="0" w:after="0" w:afterAutospacing="0" w:line="560" w:lineRule="exact"/>
        <w:ind w:firstLineChars="200" w:firstLine="580"/>
        <w:rPr>
          <w:rStyle w:val="a6"/>
          <w:rFonts w:ascii="黑体" w:eastAsia="黑体" w:hAnsi="黑体" w:cs="黑体"/>
          <w:b w:val="0"/>
          <w:bCs w:val="0"/>
          <w:sz w:val="29"/>
          <w:szCs w:val="29"/>
        </w:rPr>
      </w:pPr>
      <w:r>
        <w:rPr>
          <w:rStyle w:val="a6"/>
          <w:rFonts w:ascii="黑体" w:eastAsia="黑体" w:hAnsi="黑体" w:cs="黑体" w:hint="eastAsia"/>
          <w:b w:val="0"/>
          <w:bCs w:val="0"/>
          <w:sz w:val="29"/>
          <w:szCs w:val="29"/>
        </w:rPr>
        <w:t>八、培训要求</w:t>
      </w:r>
    </w:p>
    <w:p w14:paraId="0452EB4D"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1、中标人必须向采购人提供免费培训，中标人在投标文件中提出全面、详细的培训计划，包括但不限于培训内容、培训时间、地点、授课老师等。</w:t>
      </w:r>
    </w:p>
    <w:p w14:paraId="7C19946D"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2、中标人派出的培训教员应具备丰富的相同课程教学经验，所有的培训教员必须中文授课，中标人必须为所有被培训人员提供培训用文字资料和讲义等相关用品。</w:t>
      </w:r>
    </w:p>
    <w:p w14:paraId="7C602749" w14:textId="77777777" w:rsidR="00066D4D" w:rsidRDefault="005E2C60">
      <w:pPr>
        <w:pStyle w:val="null3"/>
        <w:spacing w:line="360" w:lineRule="auto"/>
        <w:ind w:firstLine="480"/>
        <w:jc w:val="both"/>
        <w:rPr>
          <w:rFonts w:hint="default"/>
          <w:sz w:val="24"/>
          <w:szCs w:val="24"/>
        </w:rPr>
      </w:pPr>
      <w:r>
        <w:rPr>
          <w:rFonts w:ascii="宋体" w:eastAsia="宋体" w:hAnsi="宋体" w:cs="宋体"/>
          <w:sz w:val="24"/>
          <w:szCs w:val="24"/>
        </w:rPr>
        <w:t>3、中标人应按采购人约定合理地安排培训时间。</w:t>
      </w:r>
    </w:p>
    <w:p w14:paraId="0FD007F2"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4、中标人提供产品的现场安装、调试、软件应用培训，为用户讲解安装、测试、诊断解决问题的方法和简单的使用方法，学习系统操作、技术和系统维护等方面的知识。通过对系统用户和管理员进行操作和技术培训，保障系统上线后的正常运行。使用户熟练系统操作，提高工作效率，培养出优秀的维护及管理技术队伍。</w:t>
      </w:r>
    </w:p>
    <w:p w14:paraId="3ACD7C19" w14:textId="77777777" w:rsidR="00066D4D" w:rsidRDefault="005E2C60">
      <w:pPr>
        <w:pStyle w:val="null3"/>
        <w:spacing w:line="360" w:lineRule="auto"/>
        <w:ind w:firstLine="480"/>
        <w:jc w:val="both"/>
        <w:rPr>
          <w:rStyle w:val="a6"/>
          <w:rFonts w:ascii="黑体" w:eastAsia="黑体" w:hAnsi="黑体" w:cs="黑体" w:hint="default"/>
          <w:b w:val="0"/>
          <w:bCs w:val="0"/>
          <w:sz w:val="29"/>
          <w:szCs w:val="29"/>
          <w:lang w:eastAsia="zh-CN"/>
        </w:rPr>
      </w:pPr>
      <w:r>
        <w:rPr>
          <w:rStyle w:val="a6"/>
          <w:rFonts w:ascii="黑体" w:eastAsia="黑体" w:hAnsi="黑体" w:cs="黑体"/>
          <w:b w:val="0"/>
          <w:bCs w:val="0"/>
          <w:sz w:val="29"/>
          <w:szCs w:val="29"/>
          <w:lang w:eastAsia="zh-CN"/>
        </w:rPr>
        <w:t>九、付款方式</w:t>
      </w:r>
    </w:p>
    <w:p w14:paraId="781E92DC"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（1）项目签订合同后5个工作日内，采购人向中标人支付合同总金额的30%作为预付款。</w:t>
      </w:r>
    </w:p>
    <w:p w14:paraId="47F50293"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（2）项目系统数据对接完成上线试运行后，采购人向中标人支付合同总金额的30%。</w:t>
      </w:r>
    </w:p>
    <w:p w14:paraId="1D709699"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（3）整体验收合格后5个工作日内，采购人向中标人支付合同总金额的35%。</w:t>
      </w:r>
    </w:p>
    <w:p w14:paraId="034E3338" w14:textId="77777777" w:rsidR="00066D4D" w:rsidRDefault="005E2C6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（4）项目质保期满后，采购人向中标人支付合同总金额的5%。</w:t>
      </w:r>
    </w:p>
    <w:p w14:paraId="6A0F9155" w14:textId="77777777" w:rsidR="00066D4D" w:rsidRDefault="00066D4D">
      <w:pPr>
        <w:pStyle w:val="a7"/>
        <w:widowControl w:val="0"/>
        <w:adjustRightInd w:val="0"/>
        <w:snapToGrid w:val="0"/>
        <w:spacing w:before="0" w:beforeAutospacing="0" w:after="0" w:afterAutospacing="0" w:line="560" w:lineRule="exact"/>
        <w:rPr>
          <w:rStyle w:val="a6"/>
          <w:rFonts w:ascii="仿宋" w:eastAsia="仿宋" w:hAnsi="仿宋"/>
          <w:b w:val="0"/>
          <w:sz w:val="29"/>
          <w:szCs w:val="29"/>
        </w:rPr>
      </w:pPr>
    </w:p>
    <w:p w14:paraId="7247473D" w14:textId="77777777" w:rsidR="00066D4D" w:rsidRDefault="00066D4D">
      <w:pPr>
        <w:adjustRightInd w:val="0"/>
        <w:snapToGrid w:val="0"/>
        <w:spacing w:line="560" w:lineRule="exact"/>
      </w:pPr>
    </w:p>
    <w:sectPr w:rsidR="00066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 w:name="KGWebUrl" w:val="https://10.2.240.65:11335/seeyon/officeservlet"/>
  </w:docVars>
  <w:rsids>
    <w:rsidRoot w:val="001A164E"/>
    <w:rsid w:val="EFDB8779"/>
    <w:rsid w:val="FFF31AFD"/>
    <w:rsid w:val="FFFF85E4"/>
    <w:rsid w:val="00066D4D"/>
    <w:rsid w:val="000F7F2D"/>
    <w:rsid w:val="001A164E"/>
    <w:rsid w:val="00230B02"/>
    <w:rsid w:val="002551E6"/>
    <w:rsid w:val="00274425"/>
    <w:rsid w:val="002860B1"/>
    <w:rsid w:val="00411CB7"/>
    <w:rsid w:val="00554E45"/>
    <w:rsid w:val="00587B1D"/>
    <w:rsid w:val="005E2C60"/>
    <w:rsid w:val="0060557A"/>
    <w:rsid w:val="006E58E2"/>
    <w:rsid w:val="007E04FA"/>
    <w:rsid w:val="00840D6F"/>
    <w:rsid w:val="0086354F"/>
    <w:rsid w:val="008747DB"/>
    <w:rsid w:val="00A04491"/>
    <w:rsid w:val="00A4274E"/>
    <w:rsid w:val="00A65D65"/>
    <w:rsid w:val="00E07FF1"/>
    <w:rsid w:val="00E60593"/>
    <w:rsid w:val="00EB4F58"/>
    <w:rsid w:val="03EC727C"/>
    <w:rsid w:val="129F2062"/>
    <w:rsid w:val="4A7F8B15"/>
    <w:rsid w:val="5DF750EC"/>
    <w:rsid w:val="67C7158E"/>
    <w:rsid w:val="7A9F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9553B"/>
  <w15:docId w15:val="{23A94121-F409-447E-9BA2-24F3A240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2">
    <w:name w:val="heading 2"/>
    <w:basedOn w:val="a"/>
    <w:next w:val="a"/>
    <w:semiHidden/>
    <w:unhideWhenUsed/>
    <w:qFormat/>
    <w:pPr>
      <w:keepNext/>
      <w:keepLines/>
      <w:spacing w:before="100" w:after="100" w:line="360" w:lineRule="auto"/>
      <w:jc w:val="left"/>
      <w:outlineLvl w:val="1"/>
    </w:pPr>
    <w:rPr>
      <w:rFonts w:ascii="Arial" w:eastAsia="黑体" w:hAnsi="Arial"/>
      <w:b/>
      <w:sz w:val="28"/>
    </w:rPr>
  </w:style>
  <w:style w:type="paragraph" w:styleId="3">
    <w:name w:val="heading 3"/>
    <w:basedOn w:val="a"/>
    <w:next w:val="a"/>
    <w:semiHidden/>
    <w:unhideWhenUsed/>
    <w:qFormat/>
    <w:pPr>
      <w:keepNext/>
      <w:keepLines/>
      <w:spacing w:before="260" w:after="260" w:line="413" w:lineRule="auto"/>
      <w:jc w:val="left"/>
      <w:outlineLvl w:val="2"/>
    </w:pPr>
    <w:rPr>
      <w:rFonts w:eastAsia="黑体"/>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rFonts w:cs="Calibri"/>
      <w:bCs/>
      <w:spacing w:val="10"/>
      <w:kern w:val="0"/>
      <w:sz w:val="24"/>
      <w:szCs w:val="20"/>
    </w:rPr>
  </w:style>
  <w:style w:type="paragraph" w:styleId="a4">
    <w:name w:val="annotation text"/>
    <w:basedOn w:val="a"/>
    <w:uiPriority w:val="99"/>
    <w:semiHidden/>
    <w:unhideWhenUsed/>
    <w:pPr>
      <w:jc w:val="left"/>
    </w:p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1"/>
    <w:uiPriority w:val="22"/>
    <w:qFormat/>
    <w:rPr>
      <w:b/>
      <w:bCs/>
    </w:rPr>
  </w:style>
  <w:style w:type="paragraph" w:styleId="a7">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paragraph" w:customStyle="1" w:styleId="null3">
    <w:name w:val="null3"/>
    <w:hidden/>
    <w:qFormat/>
    <w:rPr>
      <w:rFonts w:hint="eastAsia"/>
      <w:lang w:eastAsia="zh-Hans"/>
    </w:rPr>
  </w:style>
  <w:style w:type="character" w:styleId="a8">
    <w:name w:val="annotation reference"/>
    <w:basedOn w:val="a1"/>
    <w:uiPriority w:val="99"/>
    <w:semiHidden/>
    <w:unhideWhenUsed/>
    <w:rPr>
      <w:sz w:val="21"/>
      <w:szCs w:val="21"/>
    </w:rPr>
  </w:style>
  <w:style w:type="paragraph" w:styleId="a9">
    <w:name w:val="Balloon Text"/>
    <w:basedOn w:val="a"/>
    <w:link w:val="aa"/>
    <w:uiPriority w:val="99"/>
    <w:semiHidden/>
    <w:unhideWhenUsed/>
    <w:rsid w:val="00840D6F"/>
    <w:rPr>
      <w:sz w:val="18"/>
      <w:szCs w:val="18"/>
    </w:rPr>
  </w:style>
  <w:style w:type="character" w:customStyle="1" w:styleId="aa">
    <w:name w:val="批注框文本 字符"/>
    <w:basedOn w:val="a1"/>
    <w:link w:val="a9"/>
    <w:uiPriority w:val="99"/>
    <w:semiHidden/>
    <w:rsid w:val="00840D6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白思韵</dc:creator>
  <cp:lastModifiedBy>肖翔</cp:lastModifiedBy>
  <cp:revision>3</cp:revision>
  <dcterms:created xsi:type="dcterms:W3CDTF">2024-08-28T08:53:00Z</dcterms:created>
  <dcterms:modified xsi:type="dcterms:W3CDTF">2024-08-28T09:53:00Z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78310C2C818A4716BE3BBAF9879FA7C2_12</vt:lpwstr>
  </property>
</Properties>
</file>