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A3F" w:rsidRDefault="0061210D">
      <w:pPr>
        <w:jc w:val="center"/>
        <w:rPr>
          <w:rFonts w:cs="宋体"/>
          <w:b/>
          <w:sz w:val="36"/>
          <w:szCs w:val="36"/>
        </w:rPr>
      </w:pPr>
      <w:bookmarkStart w:id="0" w:name="_GoBack"/>
      <w:bookmarkEnd w:id="0"/>
      <w:r>
        <w:rPr>
          <w:rFonts w:cs="宋体" w:hint="eastAsia"/>
          <w:b/>
          <w:sz w:val="36"/>
          <w:szCs w:val="36"/>
        </w:rPr>
        <w:t>番禺区中心医院综合应急大楼建设项目</w:t>
      </w:r>
    </w:p>
    <w:p w:rsidR="00092A3F" w:rsidRDefault="0061210D">
      <w:pPr>
        <w:jc w:val="center"/>
        <w:rPr>
          <w:b/>
          <w:sz w:val="36"/>
          <w:szCs w:val="36"/>
        </w:rPr>
      </w:pPr>
      <w:r>
        <w:rPr>
          <w:rFonts w:cs="宋体" w:hint="eastAsia"/>
          <w:b/>
          <w:sz w:val="36"/>
          <w:szCs w:val="36"/>
        </w:rPr>
        <w:t>全过程造价咨询服务</w:t>
      </w:r>
      <w:r>
        <w:rPr>
          <w:rFonts w:hint="eastAsia"/>
          <w:b/>
          <w:sz w:val="36"/>
          <w:szCs w:val="36"/>
        </w:rPr>
        <w:t>-</w:t>
      </w:r>
      <w:r>
        <w:rPr>
          <w:b/>
          <w:sz w:val="36"/>
          <w:szCs w:val="36"/>
        </w:rPr>
        <w:t>--</w:t>
      </w:r>
      <w:r>
        <w:rPr>
          <w:rFonts w:hint="eastAsia"/>
          <w:b/>
          <w:sz w:val="36"/>
          <w:szCs w:val="36"/>
        </w:rPr>
        <w:t>调查需求书</w:t>
      </w:r>
    </w:p>
    <w:p w:rsidR="00092A3F" w:rsidRDefault="00092A3F"/>
    <w:p w:rsidR="00092A3F" w:rsidRDefault="0061210D">
      <w:pPr>
        <w:pStyle w:val="a"/>
        <w:numPr>
          <w:ilvl w:val="0"/>
          <w:numId w:val="3"/>
        </w:numPr>
        <w:rPr>
          <w:rFonts w:cs="仿宋"/>
          <w:color w:val="000000"/>
          <w:kern w:val="0"/>
          <w:lang w:bidi="ar"/>
        </w:rPr>
      </w:pPr>
      <w:r>
        <w:rPr>
          <w:rFonts w:hint="eastAsia"/>
        </w:rPr>
        <w:t>番禺区中心医院综合应急大楼建设项目简要概述：</w:t>
      </w:r>
    </w:p>
    <w:p w:rsidR="00092A3F" w:rsidRDefault="0061210D">
      <w:pPr>
        <w:pStyle w:val="a1"/>
        <w:ind w:left="0" w:firstLineChars="200" w:firstLine="560"/>
      </w:pPr>
      <w:r>
        <w:rPr>
          <w:rFonts w:hint="eastAsia"/>
        </w:rPr>
        <w:t>项目名称：番禺区中心医院综合应急大楼建设项目</w:t>
      </w:r>
    </w:p>
    <w:p w:rsidR="00092A3F" w:rsidRDefault="0061210D">
      <w:pPr>
        <w:pStyle w:val="a1"/>
        <w:ind w:left="0" w:firstLineChars="200" w:firstLine="560"/>
      </w:pPr>
      <w:r>
        <w:rPr>
          <w:rFonts w:hint="eastAsia"/>
        </w:rPr>
        <w:t>工程地点：</w:t>
      </w:r>
      <w:r>
        <w:t xml:space="preserve">广州医科大学附属番禺中心医院 </w:t>
      </w:r>
    </w:p>
    <w:p w:rsidR="00092A3F" w:rsidRDefault="0061210D">
      <w:pPr>
        <w:pStyle w:val="a1"/>
        <w:ind w:left="0" w:firstLineChars="200" w:firstLine="560"/>
      </w:pPr>
      <w:r>
        <w:rPr>
          <w:rFonts w:hint="eastAsia"/>
        </w:rPr>
        <w:t>工程规模：本项目位于广州市番禺区桥南街陈涌村、蚬涌村，</w:t>
      </w:r>
      <w:r>
        <w:t>地处番禺区中心医院东区</w:t>
      </w:r>
      <w:r>
        <w:rPr>
          <w:rFonts w:hint="eastAsia"/>
        </w:rPr>
        <w:t>，</w:t>
      </w:r>
      <w:r>
        <w:t>用地周边多为农用地</w:t>
      </w:r>
      <w:r>
        <w:rPr>
          <w:rFonts w:hint="eastAsia"/>
        </w:rPr>
        <w:t>，</w:t>
      </w:r>
      <w:r>
        <w:t>临近德艺路、德信路和福愉东路。包括地上一幢单体(23#综合应急大楼)和地下三层地下室。基底面积约7403.36平方米，建筑面积约110762.34平方米等。（具体以施工图实际情况为准）</w:t>
      </w:r>
    </w:p>
    <w:p w:rsidR="00092A3F" w:rsidRDefault="0061210D">
      <w:pPr>
        <w:pStyle w:val="a1"/>
        <w:ind w:left="0" w:firstLineChars="200" w:firstLine="560"/>
      </w:pPr>
      <w:r>
        <w:rPr>
          <w:rFonts w:hint="eastAsia"/>
        </w:rPr>
        <w:t>投资金额：项目建设投资</w:t>
      </w:r>
      <w:r>
        <w:t>116437.46 万元</w:t>
      </w:r>
      <w:r>
        <w:rPr>
          <w:rFonts w:hint="eastAsia"/>
        </w:rPr>
        <w:t>，</w:t>
      </w:r>
      <w:r>
        <w:t>其中：建安工程费87855.58万元</w:t>
      </w:r>
      <w:r>
        <w:rPr>
          <w:rFonts w:hint="eastAsia"/>
        </w:rPr>
        <w:t>，</w:t>
      </w:r>
      <w:r>
        <w:t>工程建设其他费9597.05万元</w:t>
      </w:r>
      <w:r>
        <w:rPr>
          <w:rFonts w:hint="eastAsia"/>
        </w:rPr>
        <w:t>，</w:t>
      </w:r>
      <w:r>
        <w:t>预备费4872.63万元</w:t>
      </w:r>
      <w:r>
        <w:rPr>
          <w:rFonts w:hint="eastAsia"/>
        </w:rPr>
        <w:t>，</w:t>
      </w:r>
      <w:r>
        <w:t>信息化专项费3357.2 万元</w:t>
      </w:r>
      <w:r>
        <w:rPr>
          <w:rFonts w:hint="eastAsia"/>
        </w:rPr>
        <w:t>，</w:t>
      </w:r>
      <w:r>
        <w:t xml:space="preserve">医疗设备费10755万元。                                 </w:t>
      </w:r>
    </w:p>
    <w:p w:rsidR="00092A3F" w:rsidRDefault="0061210D" w:rsidP="00AD6980">
      <w:pPr>
        <w:ind w:left="0" w:firstLineChars="200" w:firstLine="560"/>
      </w:pPr>
      <w:r>
        <w:t>现根据项目实际情况</w:t>
      </w:r>
      <w:r>
        <w:rPr>
          <w:rFonts w:hint="eastAsia"/>
        </w:rPr>
        <w:t>，</w:t>
      </w:r>
      <w:r>
        <w:t>需对</w:t>
      </w:r>
      <w:r>
        <w:rPr>
          <w:rFonts w:hint="eastAsia"/>
        </w:rPr>
        <w:t>番禺区中心医院综合应急大楼建设项目（包含的专业工程）</w:t>
      </w:r>
      <w:r>
        <w:t>开展</w:t>
      </w:r>
      <w:r>
        <w:rPr>
          <w:rFonts w:hint="eastAsia"/>
        </w:rPr>
        <w:t>全过程造价咨询服务</w:t>
      </w:r>
      <w:r>
        <w:t>,</w:t>
      </w:r>
      <w:r>
        <w:rPr>
          <w:rFonts w:hint="eastAsia"/>
        </w:rPr>
        <w:t>包括但不限于本项目施工阶段、结算阶段及其他阶段等造价咨询服务</w:t>
      </w:r>
      <w:r>
        <w:t>，采购预算420万元（不含预算编制费用）</w:t>
      </w:r>
      <w:r>
        <w:rPr>
          <w:rFonts w:hint="eastAsia"/>
        </w:rPr>
        <w:t>。</w:t>
      </w:r>
    </w:p>
    <w:p w:rsidR="00092A3F" w:rsidRDefault="0061210D" w:rsidP="00AD6980">
      <w:pPr>
        <w:pStyle w:val="a1"/>
        <w:numPr>
          <w:ilvl w:val="0"/>
          <w:numId w:val="3"/>
        </w:numPr>
      </w:pPr>
      <w:r>
        <w:t>供应商资格要求</w:t>
      </w:r>
    </w:p>
    <w:p w:rsidR="00092A3F" w:rsidRDefault="0061210D" w:rsidP="00AD6980">
      <w:pPr>
        <w:pStyle w:val="a1"/>
        <w:numPr>
          <w:ilvl w:val="255"/>
          <w:numId w:val="0"/>
        </w:numPr>
      </w:pPr>
      <w:r>
        <w:t>1、合法有效的营业执照；</w:t>
      </w:r>
    </w:p>
    <w:p w:rsidR="00092A3F" w:rsidRDefault="0061210D" w:rsidP="00AD6980">
      <w:pPr>
        <w:pStyle w:val="a1"/>
        <w:numPr>
          <w:ilvl w:val="255"/>
          <w:numId w:val="0"/>
        </w:numPr>
      </w:pPr>
      <w:r>
        <w:t>2、增值税纳税人证明材料。</w:t>
      </w:r>
    </w:p>
    <w:p w:rsidR="00092A3F" w:rsidRDefault="00092A3F">
      <w:pPr>
        <w:pStyle w:val="a5"/>
      </w:pPr>
    </w:p>
    <w:p w:rsidR="00092A3F" w:rsidRDefault="0061210D">
      <w:pPr>
        <w:pStyle w:val="a"/>
        <w:numPr>
          <w:ilvl w:val="0"/>
          <w:numId w:val="3"/>
        </w:numPr>
      </w:pPr>
      <w:r>
        <w:rPr>
          <w:rFonts w:hint="eastAsia"/>
        </w:rPr>
        <w:t>服务要求：</w:t>
      </w:r>
    </w:p>
    <w:p w:rsidR="00092A3F" w:rsidRDefault="0061210D">
      <w:r>
        <w:rPr>
          <w:rFonts w:hint="eastAsia"/>
        </w:rPr>
        <w:t>（一）、</w:t>
      </w:r>
      <w:r>
        <w:t>服务内容</w:t>
      </w:r>
      <w:r>
        <w:rPr>
          <w:rFonts w:hint="eastAsia"/>
        </w:rPr>
        <w:t>：</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11"/>
        <w:gridCol w:w="1117"/>
        <w:gridCol w:w="6887"/>
      </w:tblGrid>
      <w:tr w:rsidR="00092A3F">
        <w:trPr>
          <w:trHeight w:val="585"/>
          <w:jc w:val="center"/>
        </w:trPr>
        <w:tc>
          <w:tcPr>
            <w:tcW w:w="71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solid" w:color="FFFFFF" w:fill="auto"/>
              <w:autoSpaceDN w:val="0"/>
              <w:snapToGrid w:val="0"/>
              <w:spacing w:line="360" w:lineRule="auto"/>
              <w:ind w:left="0"/>
              <w:rPr>
                <w:rFonts w:cs="宋体"/>
                <w:sz w:val="21"/>
                <w:szCs w:val="21"/>
              </w:rPr>
            </w:pPr>
            <w:r>
              <w:rPr>
                <w:rFonts w:cs="宋体" w:hint="eastAsia"/>
                <w:kern w:val="0"/>
                <w:sz w:val="21"/>
                <w:szCs w:val="21"/>
              </w:rPr>
              <w:t>序号</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solid" w:color="FFFFFF" w:fill="auto"/>
              <w:autoSpaceDN w:val="0"/>
              <w:snapToGrid w:val="0"/>
              <w:spacing w:line="360" w:lineRule="auto"/>
              <w:ind w:left="0"/>
              <w:jc w:val="center"/>
              <w:rPr>
                <w:rFonts w:cs="宋体"/>
                <w:sz w:val="21"/>
                <w:szCs w:val="21"/>
              </w:rPr>
            </w:pPr>
            <w:r>
              <w:rPr>
                <w:rFonts w:cs="宋体" w:hint="eastAsia"/>
                <w:kern w:val="0"/>
                <w:sz w:val="21"/>
                <w:szCs w:val="21"/>
              </w:rPr>
              <w:t>阶段</w:t>
            </w:r>
          </w:p>
        </w:tc>
        <w:tc>
          <w:tcPr>
            <w:tcW w:w="68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solid" w:color="FFFFFF" w:fill="auto"/>
              <w:autoSpaceDN w:val="0"/>
              <w:snapToGrid w:val="0"/>
              <w:spacing w:line="360" w:lineRule="auto"/>
              <w:ind w:left="0"/>
              <w:jc w:val="center"/>
              <w:rPr>
                <w:rFonts w:cs="宋体"/>
                <w:kern w:val="0"/>
                <w:sz w:val="21"/>
                <w:szCs w:val="21"/>
              </w:rPr>
            </w:pPr>
            <w:r>
              <w:rPr>
                <w:rFonts w:cs="宋体" w:hint="eastAsia"/>
                <w:kern w:val="0"/>
                <w:sz w:val="21"/>
                <w:szCs w:val="21"/>
              </w:rPr>
              <w:t>工作内容</w:t>
            </w:r>
          </w:p>
        </w:tc>
      </w:tr>
      <w:tr w:rsidR="00092A3F">
        <w:trPr>
          <w:trHeight w:val="585"/>
          <w:jc w:val="center"/>
        </w:trPr>
        <w:tc>
          <w:tcPr>
            <w:tcW w:w="71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solid" w:color="FFFFFF" w:fill="auto"/>
              <w:autoSpaceDN w:val="0"/>
              <w:snapToGrid w:val="0"/>
              <w:spacing w:line="360" w:lineRule="auto"/>
              <w:ind w:left="0"/>
              <w:jc w:val="center"/>
              <w:rPr>
                <w:rFonts w:cs="宋体"/>
                <w:sz w:val="21"/>
                <w:szCs w:val="21"/>
              </w:rPr>
            </w:pPr>
            <w:r>
              <w:rPr>
                <w:rFonts w:cs="宋体" w:hint="eastAsia"/>
                <w:kern w:val="0"/>
                <w:sz w:val="21"/>
                <w:szCs w:val="21"/>
              </w:rPr>
              <w:lastRenderedPageBreak/>
              <w:t>1</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solid" w:color="FFFFFF" w:fill="auto"/>
              <w:autoSpaceDN w:val="0"/>
              <w:snapToGrid w:val="0"/>
              <w:spacing w:line="360" w:lineRule="auto"/>
              <w:ind w:left="0"/>
              <w:jc w:val="center"/>
              <w:rPr>
                <w:rFonts w:cs="宋体"/>
                <w:sz w:val="21"/>
                <w:szCs w:val="21"/>
              </w:rPr>
            </w:pPr>
            <w:r>
              <w:rPr>
                <w:rFonts w:cs="宋体" w:hint="eastAsia"/>
                <w:kern w:val="0"/>
                <w:sz w:val="21"/>
                <w:szCs w:val="21"/>
              </w:rPr>
              <w:t>施工阶段</w:t>
            </w:r>
          </w:p>
        </w:tc>
        <w:tc>
          <w:tcPr>
            <w:tcW w:w="68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clear" w:color="auto" w:fill="FFFFFF"/>
              <w:snapToGrid w:val="0"/>
              <w:spacing w:line="360" w:lineRule="auto"/>
              <w:ind w:left="0"/>
              <w:rPr>
                <w:rFonts w:cs="宋体"/>
                <w:kern w:val="0"/>
                <w:sz w:val="21"/>
                <w:szCs w:val="21"/>
              </w:rPr>
            </w:pPr>
            <w:r>
              <w:rPr>
                <w:rFonts w:cs="宋体" w:hint="eastAsia"/>
                <w:kern w:val="0"/>
                <w:sz w:val="21"/>
                <w:szCs w:val="21"/>
              </w:rPr>
              <w:t>1.负责按委托人要求审核各类造价管理文件，包括工程变更程序、工程款支付程序等。</w:t>
            </w:r>
          </w:p>
          <w:p w:rsidR="00092A3F" w:rsidRDefault="0061210D">
            <w:pPr>
              <w:widowControl/>
              <w:shd w:val="clear" w:color="auto" w:fill="FFFFFF"/>
              <w:snapToGrid w:val="0"/>
              <w:spacing w:line="360" w:lineRule="auto"/>
              <w:ind w:left="0"/>
              <w:rPr>
                <w:rFonts w:cs="宋体"/>
                <w:kern w:val="0"/>
                <w:sz w:val="21"/>
                <w:szCs w:val="21"/>
              </w:rPr>
            </w:pPr>
            <w:r>
              <w:rPr>
                <w:rFonts w:cs="宋体" w:hint="eastAsia"/>
                <w:kern w:val="0"/>
                <w:sz w:val="21"/>
                <w:szCs w:val="21"/>
              </w:rPr>
              <w:t>2.制定项目总体投资进度计划，根据每月实际投资进度和计划投资作比较，按月提交投资控制报告。</w:t>
            </w:r>
          </w:p>
          <w:p w:rsidR="00092A3F" w:rsidRDefault="0061210D">
            <w:pPr>
              <w:widowControl/>
              <w:shd w:val="clear" w:color="auto" w:fill="FFFFFF"/>
              <w:snapToGrid w:val="0"/>
              <w:spacing w:line="360" w:lineRule="auto"/>
              <w:ind w:left="0"/>
              <w:rPr>
                <w:rFonts w:cs="宋体"/>
                <w:kern w:val="0"/>
                <w:sz w:val="21"/>
                <w:szCs w:val="21"/>
              </w:rPr>
            </w:pPr>
            <w:r>
              <w:rPr>
                <w:rFonts w:cs="宋体" w:hint="eastAsia"/>
                <w:kern w:val="0"/>
                <w:sz w:val="21"/>
                <w:szCs w:val="21"/>
              </w:rPr>
              <w:t>3.负责施工过程造价控制，审核工程量与进度款。</w:t>
            </w:r>
          </w:p>
          <w:p w:rsidR="00092A3F" w:rsidRDefault="0061210D">
            <w:pPr>
              <w:widowControl/>
              <w:shd w:val="clear" w:color="auto" w:fill="FFFFFF"/>
              <w:snapToGrid w:val="0"/>
              <w:spacing w:line="360" w:lineRule="auto"/>
              <w:ind w:left="0"/>
              <w:rPr>
                <w:rFonts w:cs="宋体"/>
                <w:kern w:val="0"/>
                <w:sz w:val="21"/>
                <w:szCs w:val="21"/>
              </w:rPr>
            </w:pPr>
            <w:r>
              <w:rPr>
                <w:rFonts w:cs="宋体" w:hint="eastAsia"/>
                <w:kern w:val="0"/>
                <w:sz w:val="21"/>
                <w:szCs w:val="21"/>
              </w:rPr>
              <w:t>4.根据经验主动地、有预见性地提醒委托人节约费用，防范工期索赔，负责协助委托人合同索赔处理，参加合同变更谈判，负责处理合同变更，向委托人提供相关意见，维护委托人的合法权益。</w:t>
            </w:r>
          </w:p>
          <w:p w:rsidR="00092A3F" w:rsidRDefault="0061210D">
            <w:pPr>
              <w:widowControl/>
              <w:shd w:val="clear" w:color="auto" w:fill="FFFFFF"/>
              <w:snapToGrid w:val="0"/>
              <w:spacing w:line="360" w:lineRule="auto"/>
              <w:ind w:left="0"/>
              <w:rPr>
                <w:rFonts w:cs="宋体"/>
                <w:kern w:val="0"/>
                <w:sz w:val="21"/>
                <w:szCs w:val="21"/>
              </w:rPr>
            </w:pPr>
            <w:r>
              <w:rPr>
                <w:rFonts w:cs="宋体" w:hint="eastAsia"/>
                <w:kern w:val="0"/>
                <w:sz w:val="21"/>
                <w:szCs w:val="21"/>
              </w:rPr>
              <w:t>5.负责建立合同台账、支付台账、工程变更管理台账（按变更原因分类）、签证台账、动态投资台账，确保工程总投资控制在合理范围内。</w:t>
            </w:r>
          </w:p>
          <w:p w:rsidR="00092A3F" w:rsidRDefault="0061210D">
            <w:pPr>
              <w:widowControl/>
              <w:shd w:val="clear" w:color="auto" w:fill="FFFFFF"/>
              <w:snapToGrid w:val="0"/>
              <w:spacing w:line="360" w:lineRule="auto"/>
              <w:ind w:left="0"/>
              <w:rPr>
                <w:rFonts w:cs="宋体"/>
                <w:kern w:val="0"/>
                <w:sz w:val="21"/>
                <w:szCs w:val="21"/>
              </w:rPr>
            </w:pPr>
            <w:r>
              <w:rPr>
                <w:rFonts w:cs="宋体" w:hint="eastAsia"/>
                <w:kern w:val="0"/>
                <w:sz w:val="21"/>
                <w:szCs w:val="21"/>
              </w:rPr>
              <w:t>6.</w:t>
            </w:r>
            <w:r>
              <w:rPr>
                <w:rFonts w:cs="宋体" w:hint="eastAsia"/>
                <w:sz w:val="21"/>
                <w:szCs w:val="24"/>
              </w:rPr>
              <w:t>项目负责人会同具体经办的各相关专业造价工程师等人员</w:t>
            </w:r>
            <w:r>
              <w:rPr>
                <w:rFonts w:cs="宋体" w:hint="eastAsia"/>
                <w:kern w:val="0"/>
                <w:sz w:val="21"/>
                <w:szCs w:val="21"/>
              </w:rPr>
              <w:t>定期或不定期</w:t>
            </w:r>
            <w:r>
              <w:rPr>
                <w:rFonts w:cs="宋体" w:hint="eastAsia"/>
                <w:sz w:val="21"/>
                <w:szCs w:val="24"/>
              </w:rPr>
              <w:t>参加由监理单位</w:t>
            </w:r>
            <w:r>
              <w:rPr>
                <w:rFonts w:cs="宋体" w:hint="eastAsia"/>
                <w:kern w:val="0"/>
                <w:sz w:val="21"/>
                <w:szCs w:val="21"/>
              </w:rPr>
              <w:t>每周组织的工程监理例会，并根据情况提出造价专业意见。</w:t>
            </w:r>
          </w:p>
        </w:tc>
      </w:tr>
      <w:tr w:rsidR="00092A3F">
        <w:trPr>
          <w:trHeight w:val="90"/>
          <w:jc w:val="center"/>
        </w:trPr>
        <w:tc>
          <w:tcPr>
            <w:tcW w:w="71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solid" w:color="FFFFFF" w:fill="auto"/>
              <w:autoSpaceDN w:val="0"/>
              <w:snapToGrid w:val="0"/>
              <w:spacing w:line="360" w:lineRule="auto"/>
              <w:ind w:left="0"/>
              <w:jc w:val="center"/>
              <w:rPr>
                <w:rFonts w:cs="宋体"/>
                <w:sz w:val="21"/>
                <w:szCs w:val="21"/>
              </w:rPr>
            </w:pPr>
            <w:r>
              <w:rPr>
                <w:rFonts w:cs="宋体" w:hint="eastAsia"/>
                <w:kern w:val="0"/>
                <w:sz w:val="21"/>
                <w:szCs w:val="21"/>
              </w:rPr>
              <w:t>2</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solid" w:color="FFFFFF" w:fill="auto"/>
              <w:autoSpaceDN w:val="0"/>
              <w:snapToGrid w:val="0"/>
              <w:spacing w:line="360" w:lineRule="auto"/>
              <w:ind w:left="0"/>
              <w:jc w:val="center"/>
              <w:rPr>
                <w:rFonts w:cs="宋体"/>
                <w:sz w:val="21"/>
                <w:szCs w:val="21"/>
              </w:rPr>
            </w:pPr>
            <w:r>
              <w:rPr>
                <w:rFonts w:cs="宋体" w:hint="eastAsia"/>
                <w:kern w:val="0"/>
                <w:sz w:val="21"/>
                <w:szCs w:val="21"/>
              </w:rPr>
              <w:t>结算阶段</w:t>
            </w:r>
          </w:p>
        </w:tc>
        <w:tc>
          <w:tcPr>
            <w:tcW w:w="68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092A3F" w:rsidRDefault="0061210D">
            <w:pPr>
              <w:widowControl/>
              <w:shd w:val="clear" w:color="auto" w:fill="FFFFFF"/>
              <w:snapToGrid w:val="0"/>
              <w:spacing w:line="360" w:lineRule="auto"/>
              <w:ind w:left="0"/>
              <w:jc w:val="left"/>
              <w:rPr>
                <w:rFonts w:cs="宋体"/>
                <w:kern w:val="0"/>
                <w:sz w:val="21"/>
                <w:szCs w:val="21"/>
              </w:rPr>
            </w:pPr>
            <w:r>
              <w:rPr>
                <w:rFonts w:cs="宋体" w:hint="eastAsia"/>
                <w:kern w:val="0"/>
                <w:sz w:val="21"/>
                <w:szCs w:val="21"/>
              </w:rPr>
              <w:t>1.根据委托人提供的结算资料，按要求编制结算管理文件，开展工程结算审核工作，编制审核后的工程结算文件，并与施工总承包单位对数，出具结算审核报告。</w:t>
            </w:r>
          </w:p>
          <w:p w:rsidR="00092A3F" w:rsidRDefault="0061210D">
            <w:pPr>
              <w:widowControl/>
              <w:shd w:val="clear" w:color="auto" w:fill="FFFFFF"/>
              <w:snapToGrid w:val="0"/>
              <w:spacing w:line="360" w:lineRule="auto"/>
              <w:ind w:left="0"/>
              <w:jc w:val="left"/>
              <w:rPr>
                <w:rFonts w:cs="宋体"/>
                <w:kern w:val="0"/>
                <w:sz w:val="21"/>
                <w:szCs w:val="21"/>
              </w:rPr>
            </w:pPr>
            <w:r>
              <w:rPr>
                <w:rFonts w:cs="宋体" w:hint="eastAsia"/>
                <w:kern w:val="0"/>
                <w:sz w:val="21"/>
                <w:szCs w:val="21"/>
              </w:rPr>
              <w:t>2.负责收集和整理结算依据资料，收集有关工程费用方面的签证资料，核对单据并及时归档。</w:t>
            </w:r>
          </w:p>
          <w:p w:rsidR="00092A3F" w:rsidRDefault="0061210D">
            <w:pPr>
              <w:widowControl/>
              <w:shd w:val="clear" w:color="auto" w:fill="FFFFFF"/>
              <w:snapToGrid w:val="0"/>
              <w:spacing w:line="360" w:lineRule="auto"/>
              <w:ind w:left="0"/>
              <w:jc w:val="left"/>
              <w:rPr>
                <w:rFonts w:cs="宋体"/>
                <w:kern w:val="0"/>
                <w:sz w:val="21"/>
                <w:szCs w:val="21"/>
              </w:rPr>
            </w:pPr>
            <w:r>
              <w:rPr>
                <w:rFonts w:cs="宋体" w:hint="eastAsia"/>
                <w:kern w:val="0"/>
                <w:sz w:val="21"/>
                <w:szCs w:val="21"/>
              </w:rPr>
              <w:t>3.负责收集建设工程其他费用相关资料，汇总并进行审核，出具审核报告。</w:t>
            </w:r>
          </w:p>
          <w:p w:rsidR="00092A3F" w:rsidRDefault="0061210D">
            <w:pPr>
              <w:widowControl/>
              <w:shd w:val="clear" w:color="auto" w:fill="FFFFFF"/>
              <w:snapToGrid w:val="0"/>
              <w:spacing w:line="360" w:lineRule="auto"/>
              <w:ind w:left="0"/>
              <w:jc w:val="left"/>
              <w:rPr>
                <w:rFonts w:cs="宋体"/>
                <w:kern w:val="0"/>
                <w:sz w:val="21"/>
                <w:szCs w:val="21"/>
              </w:rPr>
            </w:pPr>
            <w:r>
              <w:rPr>
                <w:rFonts w:cs="宋体" w:hint="eastAsia"/>
                <w:kern w:val="0"/>
                <w:sz w:val="21"/>
                <w:szCs w:val="21"/>
              </w:rPr>
              <w:t>4.负责建立结算台账，编制结算计划。</w:t>
            </w:r>
          </w:p>
        </w:tc>
      </w:tr>
      <w:tr w:rsidR="00092A3F">
        <w:trPr>
          <w:trHeight w:val="524"/>
          <w:jc w:val="center"/>
        </w:trPr>
        <w:tc>
          <w:tcPr>
            <w:tcW w:w="71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solid" w:color="FFFFFF" w:fill="auto"/>
              <w:autoSpaceDN w:val="0"/>
              <w:snapToGrid w:val="0"/>
              <w:spacing w:line="360" w:lineRule="auto"/>
              <w:ind w:left="0"/>
              <w:jc w:val="center"/>
              <w:rPr>
                <w:rFonts w:cs="宋体"/>
                <w:sz w:val="21"/>
                <w:szCs w:val="21"/>
              </w:rPr>
            </w:pPr>
            <w:r>
              <w:rPr>
                <w:rFonts w:cs="宋体" w:hint="eastAsia"/>
                <w:kern w:val="0"/>
                <w:sz w:val="21"/>
                <w:szCs w:val="21"/>
              </w:rPr>
              <w:t>3</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solid" w:color="FFFFFF" w:fill="auto"/>
              <w:autoSpaceDN w:val="0"/>
              <w:snapToGrid w:val="0"/>
              <w:spacing w:line="360" w:lineRule="auto"/>
              <w:ind w:left="0"/>
              <w:jc w:val="center"/>
              <w:rPr>
                <w:rFonts w:cs="宋体"/>
                <w:sz w:val="21"/>
                <w:szCs w:val="21"/>
              </w:rPr>
            </w:pPr>
            <w:r>
              <w:rPr>
                <w:rFonts w:cs="宋体" w:hint="eastAsia"/>
                <w:kern w:val="0"/>
                <w:sz w:val="21"/>
                <w:szCs w:val="21"/>
              </w:rPr>
              <w:t>其他阶段</w:t>
            </w:r>
          </w:p>
        </w:tc>
        <w:tc>
          <w:tcPr>
            <w:tcW w:w="68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92A3F" w:rsidRDefault="0061210D">
            <w:pPr>
              <w:widowControl/>
              <w:shd w:val="solid" w:color="FFFFFF" w:fill="auto"/>
              <w:autoSpaceDN w:val="0"/>
              <w:snapToGrid w:val="0"/>
              <w:spacing w:line="360" w:lineRule="auto"/>
              <w:ind w:left="0"/>
              <w:rPr>
                <w:rFonts w:cs="宋体"/>
                <w:kern w:val="0"/>
                <w:sz w:val="21"/>
                <w:szCs w:val="21"/>
              </w:rPr>
            </w:pPr>
            <w:r>
              <w:rPr>
                <w:rFonts w:cs="宋体" w:hint="eastAsia"/>
                <w:kern w:val="0"/>
                <w:sz w:val="21"/>
                <w:szCs w:val="21"/>
              </w:rPr>
              <w:t>1.委托人安排的其他造价管理工作。</w:t>
            </w:r>
          </w:p>
        </w:tc>
      </w:tr>
    </w:tbl>
    <w:p w:rsidR="00092A3F" w:rsidRDefault="0061210D">
      <w:r>
        <w:rPr>
          <w:rFonts w:hint="eastAsia"/>
        </w:rPr>
        <w:t>（二）、服务期限：</w:t>
      </w:r>
    </w:p>
    <w:p w:rsidR="00092A3F" w:rsidRDefault="0061210D">
      <w:pPr>
        <w:ind w:leftChars="150" w:firstLineChars="200" w:firstLine="560"/>
      </w:pPr>
      <w:r>
        <w:rPr>
          <w:rFonts w:hint="eastAsia"/>
        </w:rPr>
        <w:t>服务期从合同签订之日起至咨询人完成全部合同约定服务内容且本工程竣工结算经委托人及相关方确认之日止。</w:t>
      </w:r>
    </w:p>
    <w:p w:rsidR="00092A3F" w:rsidRDefault="0061210D">
      <w:r>
        <w:rPr>
          <w:rFonts w:hint="eastAsia"/>
        </w:rPr>
        <w:t>（三）、</w:t>
      </w:r>
      <w:r>
        <w:t>质量标准</w:t>
      </w:r>
      <w:r>
        <w:rPr>
          <w:rFonts w:hint="eastAsia"/>
        </w:rPr>
        <w:t>：</w:t>
      </w:r>
    </w:p>
    <w:p w:rsidR="00092A3F" w:rsidRDefault="0061210D">
      <w:pPr>
        <w:ind w:leftChars="150" w:firstLineChars="200" w:firstLine="560"/>
      </w:pPr>
      <w:r>
        <w:rPr>
          <w:rFonts w:hint="eastAsia"/>
        </w:rPr>
        <w:t>工程造价咨询成果文件应符合：现行国家、省、市颁布的法律、法规、行业规范及造价标准、定额、规范的规定，结合本项目的相关造价管理文件及委托人的相关要求。各标准、文件要求不一致的，以要求较高者为准。</w:t>
      </w:r>
    </w:p>
    <w:p w:rsidR="00092A3F" w:rsidRDefault="0061210D">
      <w:r>
        <w:rPr>
          <w:rFonts w:hint="eastAsia"/>
        </w:rPr>
        <w:t>（四）、造价咨询服务目标：</w:t>
      </w:r>
    </w:p>
    <w:p w:rsidR="00092A3F" w:rsidRDefault="0061210D">
      <w:pPr>
        <w:ind w:leftChars="150" w:firstLineChars="200" w:firstLine="560"/>
      </w:pPr>
      <w:r>
        <w:rPr>
          <w:rFonts w:hint="eastAsia"/>
        </w:rPr>
        <w:t>变更审核、结算审核等精度须在委托人控制目标范围以内，概算控制预</w:t>
      </w:r>
      <w:r>
        <w:rPr>
          <w:rFonts w:hint="eastAsia"/>
        </w:rPr>
        <w:lastRenderedPageBreak/>
        <w:t>算，预算控制结算；过程控制准确，杜绝出现进度款超付现象；项目按期、高质完成，同时能取得良好的社会效益、环境效益和经济效益。</w:t>
      </w:r>
      <w:r>
        <w:t xml:space="preserve"> </w:t>
      </w:r>
    </w:p>
    <w:p w:rsidR="00092A3F" w:rsidRDefault="0061210D">
      <w:pPr>
        <w:pStyle w:val="a"/>
        <w:numPr>
          <w:ilvl w:val="0"/>
          <w:numId w:val="0"/>
        </w:numPr>
        <w:ind w:left="420"/>
      </w:pPr>
      <w:r>
        <w:t>（五）人员要求：服务人员宜具有</w:t>
      </w:r>
      <w:r>
        <w:rPr>
          <w:rFonts w:hint="eastAsia"/>
        </w:rPr>
        <w:t>一级注册造价工程师</w:t>
      </w:r>
      <w:r>
        <w:t>证书（</w:t>
      </w:r>
      <w:r>
        <w:rPr>
          <w:rFonts w:hint="eastAsia"/>
        </w:rPr>
        <w:t>执业范围包括工程造价管理</w:t>
      </w:r>
      <w:r>
        <w:t>或</w:t>
      </w:r>
      <w:r>
        <w:rPr>
          <w:rFonts w:hint="eastAsia"/>
        </w:rPr>
        <w:t>工程造价咨询等</w:t>
      </w:r>
      <w:r>
        <w:t>），人员数量不限。</w:t>
      </w:r>
    </w:p>
    <w:p w:rsidR="00092A3F" w:rsidRDefault="0061210D">
      <w:pPr>
        <w:pStyle w:val="a1"/>
        <w:numPr>
          <w:ilvl w:val="0"/>
          <w:numId w:val="3"/>
        </w:numPr>
      </w:pPr>
      <w:r>
        <w:rPr>
          <w:rFonts w:hint="eastAsia"/>
        </w:rPr>
        <w:t>方案征集：</w:t>
      </w:r>
    </w:p>
    <w:p w:rsidR="00092A3F" w:rsidRDefault="0061210D">
      <w:pPr>
        <w:ind w:firstLineChars="200" w:firstLine="560"/>
      </w:pPr>
      <w:r>
        <w:rPr>
          <w:rFonts w:hint="eastAsia"/>
        </w:rPr>
        <w:t>现公开面向市场征集番禺区中心医院综合应急大楼建设项目全过程造价咨询服务</w:t>
      </w:r>
      <w:r>
        <w:t>。</w:t>
      </w:r>
    </w:p>
    <w:p w:rsidR="00092A3F" w:rsidRDefault="0061210D">
      <w:pPr>
        <w:ind w:firstLineChars="200" w:firstLine="560"/>
      </w:pPr>
      <w:r>
        <w:rPr>
          <w:rFonts w:hint="eastAsia"/>
        </w:rPr>
        <w:t>补充说明：</w:t>
      </w:r>
    </w:p>
    <w:p w:rsidR="00092A3F" w:rsidRDefault="0061210D">
      <w:pPr>
        <w:ind w:firstLine="560"/>
        <w:rPr>
          <w:rFonts w:cs="宋体"/>
        </w:rPr>
      </w:pPr>
      <w:r>
        <w:rPr>
          <w:rFonts w:hint="eastAsia"/>
        </w:rPr>
        <w:t>1、参考文件：</w:t>
      </w:r>
      <w:r>
        <w:rPr>
          <w:rFonts w:cs="宋体" w:hint="eastAsia"/>
        </w:rPr>
        <w:t>《广东省建设工程造价咨询服务收费项目和收费标准表》。</w:t>
      </w:r>
    </w:p>
    <w:p w:rsidR="00092A3F" w:rsidRDefault="0061210D">
      <w:pPr>
        <w:pStyle w:val="a1"/>
      </w:pPr>
      <w:r>
        <w:rPr>
          <w:rFonts w:hint="eastAsia"/>
        </w:rPr>
        <w:t xml:space="preserve">    </w:t>
      </w:r>
    </w:p>
    <w:p w:rsidR="00092A3F" w:rsidRDefault="00092A3F">
      <w:pPr>
        <w:pStyle w:val="a5"/>
      </w:pPr>
    </w:p>
    <w:p w:rsidR="00092A3F" w:rsidRDefault="00092A3F">
      <w:pPr>
        <w:pStyle w:val="a5"/>
        <w:ind w:left="0"/>
      </w:pPr>
    </w:p>
    <w:sectPr w:rsidR="00092A3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B4D907"/>
    <w:multiLevelType w:val="multilevel"/>
    <w:tmpl w:val="52B4D907"/>
    <w:lvl w:ilvl="0">
      <w:start w:val="1"/>
      <w:numFmt w:val="chineseCounting"/>
      <w:pStyle w:val="1"/>
      <w:suff w:val="space"/>
      <w:lvlText w:val="第%1章 "/>
      <w:lvlJc w:val="center"/>
      <w:pPr>
        <w:tabs>
          <w:tab w:val="left" w:pos="0"/>
        </w:tabs>
        <w:ind w:left="0" w:firstLine="0"/>
      </w:pPr>
      <w:rPr>
        <w:rFonts w:ascii="Times New Roman" w:eastAsia="黑体" w:hAnsi="Times New Roman" w:cs="黑体" w:hint="eastAsia"/>
        <w:sz w:val="32"/>
        <w:szCs w:val="32"/>
      </w:rPr>
    </w:lvl>
    <w:lvl w:ilvl="1">
      <w:start w:val="1"/>
      <w:numFmt w:val="decimal"/>
      <w:pStyle w:val="2"/>
      <w:isLgl/>
      <w:suff w:val="space"/>
      <w:lvlText w:val="%1.%2 "/>
      <w:lvlJc w:val="left"/>
      <w:pPr>
        <w:tabs>
          <w:tab w:val="left" w:pos="420"/>
        </w:tabs>
        <w:ind w:left="0" w:firstLine="0"/>
      </w:pPr>
      <w:rPr>
        <w:rFonts w:ascii="黑体" w:eastAsia="黑体" w:hAnsi="黑体" w:cs="黑体" w:hint="eastAsia"/>
        <w:sz w:val="28"/>
        <w:szCs w:val="28"/>
      </w:rPr>
    </w:lvl>
    <w:lvl w:ilvl="2">
      <w:start w:val="1"/>
      <w:numFmt w:val="decimal"/>
      <w:pStyle w:val="3"/>
      <w:isLgl/>
      <w:suff w:val="space"/>
      <w:lvlText w:val="%1.%2.%3 "/>
      <w:lvlJc w:val="left"/>
      <w:pPr>
        <w:tabs>
          <w:tab w:val="left" w:pos="0"/>
        </w:tabs>
        <w:ind w:left="2978" w:hanging="2978"/>
      </w:pPr>
      <w:rPr>
        <w:rFonts w:ascii="Times New Roman" w:eastAsia="仿宋_GB2312" w:hAnsi="Times New Roman" w:cs="Times New Roman" w:hint="eastAsia"/>
        <w:sz w:val="28"/>
        <w:szCs w:val="28"/>
      </w:rPr>
    </w:lvl>
    <w:lvl w:ilvl="3">
      <w:start w:val="1"/>
      <w:numFmt w:val="decimal"/>
      <w:pStyle w:val="4"/>
      <w:isLgl/>
      <w:suff w:val="space"/>
      <w:lvlText w:val="%1.%2.%3.%4 "/>
      <w:lvlJc w:val="left"/>
      <w:pPr>
        <w:tabs>
          <w:tab w:val="left" w:pos="420"/>
        </w:tabs>
        <w:ind w:left="0" w:firstLine="0"/>
      </w:pPr>
      <w:rPr>
        <w:rFonts w:ascii="Times New Roman" w:eastAsia="仿宋_GB2312" w:hAnsi="Times New Roman" w:cs="Times New Roman" w:hint="eastAsia"/>
        <w:sz w:val="28"/>
        <w:szCs w:val="28"/>
      </w:rPr>
    </w:lvl>
    <w:lvl w:ilvl="4">
      <w:start w:val="1"/>
      <w:numFmt w:val="decimal"/>
      <w:pStyle w:val="5"/>
      <w:isLgl/>
      <w:suff w:val="nothing"/>
      <w:lvlText w:val="%5. "/>
      <w:lvlJc w:val="left"/>
      <w:pPr>
        <w:tabs>
          <w:tab w:val="left" w:pos="0"/>
        </w:tabs>
        <w:ind w:left="-13" w:firstLine="567"/>
      </w:pPr>
      <w:rPr>
        <w:rFonts w:ascii="Times New Roman" w:eastAsia="仿宋_GB2312" w:hAnsi="Times New Roman" w:cs="Times New Roman" w:hint="eastAsia"/>
        <w:sz w:val="28"/>
        <w:szCs w:val="28"/>
      </w:rPr>
    </w:lvl>
    <w:lvl w:ilvl="5">
      <w:start w:val="1"/>
      <w:numFmt w:val="decimalFullWidth"/>
      <w:pStyle w:val="6"/>
      <w:isLgl/>
      <w:suff w:val="space"/>
      <w:lvlText w:val="（%6）"/>
      <w:lvlJc w:val="left"/>
      <w:pPr>
        <w:tabs>
          <w:tab w:val="left" w:pos="420"/>
        </w:tabs>
        <w:ind w:left="0" w:firstLine="567"/>
      </w:pPr>
      <w:rPr>
        <w:rFonts w:ascii="Times New Roman" w:eastAsia="仿宋_GB2312" w:hAnsi="Times New Roman" w:cs="Times New Roman" w:hint="eastAsia"/>
        <w:sz w:val="28"/>
        <w:szCs w:val="28"/>
      </w:rPr>
    </w:lvl>
    <w:lvl w:ilvl="6">
      <w:start w:val="1"/>
      <w:numFmt w:val="decimalEnclosedCircleChinese"/>
      <w:suff w:val="space"/>
      <w:lvlText w:val="%7"/>
      <w:lvlJc w:val="left"/>
      <w:pPr>
        <w:tabs>
          <w:tab w:val="left" w:pos="420"/>
        </w:tabs>
        <w:ind w:left="0" w:firstLine="567"/>
      </w:pPr>
      <w:rPr>
        <w:rFonts w:ascii="Times New Roman" w:eastAsia="仿宋_GB2312" w:hAnsi="Times New Roman" w:cs="Times New Roman" w:hint="eastAsia"/>
        <w:sz w:val="28"/>
        <w:szCs w:val="28"/>
      </w:rPr>
    </w:lvl>
    <w:lvl w:ilvl="7">
      <w:start w:val="1"/>
      <w:numFmt w:val="decimal"/>
      <w:lvlRestart w:val="2"/>
      <w:pStyle w:val="8"/>
      <w:isLgl/>
      <w:suff w:val="space"/>
      <w:lvlText w:val="图%1-%2-%8 "/>
      <w:lvlJc w:val="center"/>
      <w:pPr>
        <w:tabs>
          <w:tab w:val="left" w:pos="0"/>
        </w:tabs>
        <w:ind w:left="0" w:firstLine="0"/>
      </w:pPr>
      <w:rPr>
        <w:rFonts w:ascii="黑体" w:eastAsia="黑体" w:hAnsi="黑体" w:cs="黑体" w:hint="eastAsia"/>
        <w:b w:val="0"/>
        <w:sz w:val="28"/>
        <w:szCs w:val="28"/>
      </w:rPr>
    </w:lvl>
    <w:lvl w:ilvl="8">
      <w:start w:val="1"/>
      <w:numFmt w:val="decimal"/>
      <w:lvlRestart w:val="2"/>
      <w:pStyle w:val="9"/>
      <w:isLgl/>
      <w:suff w:val="space"/>
      <w:lvlText w:val="表%1-%2-%9 "/>
      <w:lvlJc w:val="left"/>
      <w:pPr>
        <w:tabs>
          <w:tab w:val="left" w:pos="0"/>
        </w:tabs>
        <w:ind w:left="0" w:firstLine="0"/>
      </w:pPr>
      <w:rPr>
        <w:rFonts w:ascii="仿宋" w:eastAsia="仿宋" w:hAnsi="仿宋" w:cs="仿宋" w:hint="eastAsia"/>
        <w:sz w:val="21"/>
        <w:szCs w:val="21"/>
      </w:rPr>
    </w:lvl>
  </w:abstractNum>
  <w:abstractNum w:abstractNumId="2" w15:restartNumberingAfterBreak="0">
    <w:nsid w:val="6A9760CA"/>
    <w:multiLevelType w:val="multilevel"/>
    <w:tmpl w:val="6A9760CA"/>
    <w:lvl w:ilvl="0">
      <w:start w:val="1"/>
      <w:numFmt w:val="decimal"/>
      <w:pStyle w:val="a"/>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 w:name="KGWebUrl" w:val="https://10.2.240.65:11335/seeyon/officeservlet"/>
  </w:docVars>
  <w:rsids>
    <w:rsidRoot w:val="00107C94"/>
    <w:rsid w:val="9AF729F3"/>
    <w:rsid w:val="B7FB8704"/>
    <w:rsid w:val="CEB9841B"/>
    <w:rsid w:val="F7352000"/>
    <w:rsid w:val="FDB5C773"/>
    <w:rsid w:val="00023A34"/>
    <w:rsid w:val="00062D76"/>
    <w:rsid w:val="00075086"/>
    <w:rsid w:val="00085A7D"/>
    <w:rsid w:val="00092A3F"/>
    <w:rsid w:val="000B09F4"/>
    <w:rsid w:val="00101ECF"/>
    <w:rsid w:val="00107C94"/>
    <w:rsid w:val="001502F5"/>
    <w:rsid w:val="00154B71"/>
    <w:rsid w:val="001617AB"/>
    <w:rsid w:val="001D1DCB"/>
    <w:rsid w:val="001E2694"/>
    <w:rsid w:val="00205F25"/>
    <w:rsid w:val="00241F7A"/>
    <w:rsid w:val="002633DF"/>
    <w:rsid w:val="00282EA2"/>
    <w:rsid w:val="00297C0D"/>
    <w:rsid w:val="002A148B"/>
    <w:rsid w:val="002A7A99"/>
    <w:rsid w:val="002B0A65"/>
    <w:rsid w:val="00310AC4"/>
    <w:rsid w:val="0031269A"/>
    <w:rsid w:val="00317077"/>
    <w:rsid w:val="003307AC"/>
    <w:rsid w:val="00341C24"/>
    <w:rsid w:val="003705BE"/>
    <w:rsid w:val="003C5B90"/>
    <w:rsid w:val="003E6AED"/>
    <w:rsid w:val="003F03D2"/>
    <w:rsid w:val="003F1F37"/>
    <w:rsid w:val="004A0EFF"/>
    <w:rsid w:val="004A391D"/>
    <w:rsid w:val="004A5CD9"/>
    <w:rsid w:val="004C6DDB"/>
    <w:rsid w:val="00514731"/>
    <w:rsid w:val="00522B5B"/>
    <w:rsid w:val="00540EBC"/>
    <w:rsid w:val="00562B8D"/>
    <w:rsid w:val="00564FE2"/>
    <w:rsid w:val="00575D11"/>
    <w:rsid w:val="0061210D"/>
    <w:rsid w:val="0063436F"/>
    <w:rsid w:val="0064706F"/>
    <w:rsid w:val="006545F3"/>
    <w:rsid w:val="006D7F86"/>
    <w:rsid w:val="006E3C8A"/>
    <w:rsid w:val="00707738"/>
    <w:rsid w:val="007103C3"/>
    <w:rsid w:val="007315A2"/>
    <w:rsid w:val="00763D6C"/>
    <w:rsid w:val="00774B94"/>
    <w:rsid w:val="007E02A9"/>
    <w:rsid w:val="007E2B89"/>
    <w:rsid w:val="007F09C5"/>
    <w:rsid w:val="00837A91"/>
    <w:rsid w:val="008C0601"/>
    <w:rsid w:val="008C4BAC"/>
    <w:rsid w:val="00920906"/>
    <w:rsid w:val="0097794E"/>
    <w:rsid w:val="009A3121"/>
    <w:rsid w:val="009B3596"/>
    <w:rsid w:val="009B5907"/>
    <w:rsid w:val="00A0034B"/>
    <w:rsid w:val="00A44559"/>
    <w:rsid w:val="00A557DB"/>
    <w:rsid w:val="00A55E18"/>
    <w:rsid w:val="00A90E6D"/>
    <w:rsid w:val="00AB0D1F"/>
    <w:rsid w:val="00AB61D1"/>
    <w:rsid w:val="00AD6980"/>
    <w:rsid w:val="00AF35A4"/>
    <w:rsid w:val="00B205D3"/>
    <w:rsid w:val="00B4026A"/>
    <w:rsid w:val="00B86007"/>
    <w:rsid w:val="00C07342"/>
    <w:rsid w:val="00C3051B"/>
    <w:rsid w:val="00C3150A"/>
    <w:rsid w:val="00C6681D"/>
    <w:rsid w:val="00C77485"/>
    <w:rsid w:val="00C77E50"/>
    <w:rsid w:val="00CC19D8"/>
    <w:rsid w:val="00CE71AE"/>
    <w:rsid w:val="00D116B0"/>
    <w:rsid w:val="00D2583B"/>
    <w:rsid w:val="00D549CF"/>
    <w:rsid w:val="00D65EB0"/>
    <w:rsid w:val="00D827C3"/>
    <w:rsid w:val="00DA28C4"/>
    <w:rsid w:val="00E027D5"/>
    <w:rsid w:val="00E1563C"/>
    <w:rsid w:val="00E55573"/>
    <w:rsid w:val="00E957F8"/>
    <w:rsid w:val="00E97803"/>
    <w:rsid w:val="00EC3038"/>
    <w:rsid w:val="00EE3A47"/>
    <w:rsid w:val="00F037B6"/>
    <w:rsid w:val="00F04665"/>
    <w:rsid w:val="00F047A7"/>
    <w:rsid w:val="00FA58B5"/>
    <w:rsid w:val="00FB360E"/>
    <w:rsid w:val="013646FE"/>
    <w:rsid w:val="06AC026C"/>
    <w:rsid w:val="0F0752A1"/>
    <w:rsid w:val="128114D6"/>
    <w:rsid w:val="162576C9"/>
    <w:rsid w:val="19212219"/>
    <w:rsid w:val="1C976FB2"/>
    <w:rsid w:val="1F3E881D"/>
    <w:rsid w:val="2158004C"/>
    <w:rsid w:val="227D5699"/>
    <w:rsid w:val="2A043DF9"/>
    <w:rsid w:val="2D97686A"/>
    <w:rsid w:val="30030473"/>
    <w:rsid w:val="32802A6C"/>
    <w:rsid w:val="34A633D5"/>
    <w:rsid w:val="3987098E"/>
    <w:rsid w:val="3A5C5803"/>
    <w:rsid w:val="3BAD594C"/>
    <w:rsid w:val="3C294576"/>
    <w:rsid w:val="3E9F12F5"/>
    <w:rsid w:val="400B40D4"/>
    <w:rsid w:val="45593DAD"/>
    <w:rsid w:val="4B53617F"/>
    <w:rsid w:val="506426D3"/>
    <w:rsid w:val="558A2919"/>
    <w:rsid w:val="630A66E1"/>
    <w:rsid w:val="66B35B75"/>
    <w:rsid w:val="6B0C2230"/>
    <w:rsid w:val="6FDFAFAD"/>
    <w:rsid w:val="71211781"/>
    <w:rsid w:val="789B7088"/>
    <w:rsid w:val="7BCE64DE"/>
    <w:rsid w:val="7CA1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3608EB-9BBD-47B1-9F45-D0923693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ind w:left="420"/>
      <w:jc w:val="both"/>
    </w:pPr>
    <w:rPr>
      <w:rFonts w:ascii="宋体" w:hAnsi="宋体" w:cstheme="minorBidi"/>
      <w:kern w:val="2"/>
      <w:sz w:val="28"/>
      <w:szCs w:val="28"/>
    </w:rPr>
  </w:style>
  <w:style w:type="paragraph" w:styleId="1">
    <w:name w:val="heading 1"/>
    <w:basedOn w:val="a0"/>
    <w:next w:val="a0"/>
    <w:link w:val="10"/>
    <w:qFormat/>
    <w:pPr>
      <w:keepNext/>
      <w:keepLines/>
      <w:numPr>
        <w:numId w:val="1"/>
      </w:numPr>
      <w:tabs>
        <w:tab w:val="clear" w:pos="0"/>
        <w:tab w:val="left" w:pos="420"/>
      </w:tabs>
      <w:jc w:val="center"/>
      <w:outlineLvl w:val="0"/>
    </w:pPr>
    <w:rPr>
      <w:rFonts w:ascii="黑体" w:eastAsia="黑体" w:hAnsi="黑体" w:cs="Times New Roman"/>
      <w:bCs/>
      <w:kern w:val="44"/>
      <w:sz w:val="32"/>
      <w:szCs w:val="32"/>
    </w:rPr>
  </w:style>
  <w:style w:type="paragraph" w:styleId="2">
    <w:name w:val="heading 2"/>
    <w:basedOn w:val="a0"/>
    <w:next w:val="a0"/>
    <w:link w:val="20"/>
    <w:unhideWhenUsed/>
    <w:qFormat/>
    <w:pPr>
      <w:keepNext/>
      <w:keepLines/>
      <w:numPr>
        <w:ilvl w:val="1"/>
        <w:numId w:val="1"/>
      </w:numPr>
      <w:tabs>
        <w:tab w:val="left" w:pos="0"/>
      </w:tabs>
      <w:outlineLvl w:val="1"/>
    </w:pPr>
    <w:rPr>
      <w:rFonts w:ascii="Times New Roman" w:eastAsia="黑体" w:hAnsi="Times New Roman" w:cs="Times New Roman"/>
      <w:bCs/>
    </w:rPr>
  </w:style>
  <w:style w:type="paragraph" w:styleId="3">
    <w:name w:val="heading 3"/>
    <w:basedOn w:val="a0"/>
    <w:next w:val="a0"/>
    <w:link w:val="30"/>
    <w:unhideWhenUsed/>
    <w:qFormat/>
    <w:pPr>
      <w:keepNext/>
      <w:keepLines/>
      <w:numPr>
        <w:ilvl w:val="2"/>
        <w:numId w:val="1"/>
      </w:numPr>
      <w:tabs>
        <w:tab w:val="left" w:pos="3398"/>
        <w:tab w:val="left" w:pos="3965"/>
      </w:tabs>
      <w:ind w:firstLine="0"/>
      <w:jc w:val="left"/>
      <w:outlineLvl w:val="2"/>
    </w:pPr>
    <w:rPr>
      <w:rFonts w:ascii="Times New Roman" w:eastAsia="仿宋_GB2312" w:hAnsi="Times New Roman" w:cs="Times New Roman"/>
    </w:rPr>
  </w:style>
  <w:style w:type="paragraph" w:styleId="4">
    <w:name w:val="heading 4"/>
    <w:basedOn w:val="a0"/>
    <w:next w:val="a0"/>
    <w:link w:val="40"/>
    <w:unhideWhenUsed/>
    <w:qFormat/>
    <w:pPr>
      <w:keepNext/>
      <w:keepLines/>
      <w:numPr>
        <w:ilvl w:val="3"/>
        <w:numId w:val="1"/>
      </w:numPr>
      <w:tabs>
        <w:tab w:val="left" w:pos="0"/>
      </w:tabs>
      <w:outlineLvl w:val="3"/>
    </w:pPr>
    <w:rPr>
      <w:rFonts w:ascii="Times New Roman" w:eastAsia="仿宋_GB2312" w:hAnsi="Times New Roman" w:cs="Times New Roman"/>
    </w:rPr>
  </w:style>
  <w:style w:type="paragraph" w:styleId="5">
    <w:name w:val="heading 5"/>
    <w:basedOn w:val="a0"/>
    <w:next w:val="a0"/>
    <w:link w:val="50"/>
    <w:unhideWhenUsed/>
    <w:qFormat/>
    <w:pPr>
      <w:keepNext/>
      <w:keepLines/>
      <w:numPr>
        <w:ilvl w:val="4"/>
        <w:numId w:val="1"/>
      </w:numPr>
      <w:tabs>
        <w:tab w:val="left" w:pos="420"/>
      </w:tabs>
      <w:jc w:val="left"/>
      <w:outlineLvl w:val="4"/>
    </w:pPr>
    <w:rPr>
      <w:rFonts w:ascii="Times New Roman" w:eastAsia="仿宋_GB2312" w:hAnsi="Times New Roman" w:cs="仿宋_GB2312"/>
    </w:rPr>
  </w:style>
  <w:style w:type="paragraph" w:styleId="6">
    <w:name w:val="heading 6"/>
    <w:basedOn w:val="a0"/>
    <w:next w:val="a0"/>
    <w:link w:val="60"/>
    <w:unhideWhenUsed/>
    <w:qFormat/>
    <w:pPr>
      <w:keepNext/>
      <w:keepLines/>
      <w:numPr>
        <w:ilvl w:val="5"/>
        <w:numId w:val="1"/>
      </w:numPr>
      <w:outlineLvl w:val="5"/>
    </w:pPr>
    <w:rPr>
      <w:rFonts w:ascii="Times New Roman" w:eastAsia="仿宋_GB2312" w:hAnsi="Times New Roman" w:cs="仿宋_GB2312"/>
    </w:rPr>
  </w:style>
  <w:style w:type="paragraph" w:styleId="8">
    <w:name w:val="heading 8"/>
    <w:basedOn w:val="a0"/>
    <w:next w:val="a0"/>
    <w:link w:val="80"/>
    <w:unhideWhenUsed/>
    <w:qFormat/>
    <w:pPr>
      <w:keepLines/>
      <w:numPr>
        <w:ilvl w:val="7"/>
        <w:numId w:val="1"/>
      </w:numPr>
      <w:tabs>
        <w:tab w:val="center" w:pos="0"/>
        <w:tab w:val="left" w:pos="420"/>
      </w:tabs>
      <w:jc w:val="center"/>
      <w:outlineLvl w:val="7"/>
    </w:pPr>
    <w:rPr>
      <w:rFonts w:ascii="Arial" w:eastAsia="黑体" w:hAnsi="Arial" w:cs="Times New Roman"/>
      <w:color w:val="000000"/>
    </w:rPr>
  </w:style>
  <w:style w:type="paragraph" w:styleId="9">
    <w:name w:val="heading 9"/>
    <w:basedOn w:val="a0"/>
    <w:next w:val="a0"/>
    <w:link w:val="90"/>
    <w:unhideWhenUsed/>
    <w:qFormat/>
    <w:pPr>
      <w:keepNext/>
      <w:keepLines/>
      <w:numPr>
        <w:ilvl w:val="8"/>
        <w:numId w:val="1"/>
      </w:numPr>
      <w:snapToGrid w:val="0"/>
      <w:outlineLvl w:val="8"/>
    </w:pPr>
    <w:rPr>
      <w:rFonts w:ascii="Times New Roman" w:eastAsia="仿宋_GB2312" w:hAnsi="Times New Roman"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next w:val="a5"/>
    <w:qFormat/>
    <w:pPr>
      <w:jc w:val="left"/>
    </w:pPr>
  </w:style>
  <w:style w:type="paragraph" w:styleId="a5">
    <w:name w:val="Balloon Text"/>
    <w:basedOn w:val="a0"/>
    <w:semiHidden/>
    <w:qFormat/>
    <w:rPr>
      <w:sz w:val="18"/>
      <w:szCs w:val="18"/>
    </w:rPr>
  </w:style>
  <w:style w:type="paragraph" w:styleId="a6">
    <w:name w:val="Body Text"/>
    <w:basedOn w:val="a0"/>
    <w:uiPriority w:val="99"/>
    <w:unhideWhenUsed/>
    <w:qFormat/>
    <w:pPr>
      <w:spacing w:before="100" w:beforeAutospacing="1"/>
    </w:pPr>
    <w:rPr>
      <w:kern w:val="0"/>
      <w:sz w:val="20"/>
    </w:rPr>
  </w:style>
  <w:style w:type="paragraph" w:styleId="a7">
    <w:name w:val="footer"/>
    <w:basedOn w:val="a0"/>
    <w:link w:val="a8"/>
    <w:uiPriority w:val="99"/>
    <w:unhideWhenUsed/>
    <w:qFormat/>
    <w:pPr>
      <w:tabs>
        <w:tab w:val="center" w:pos="4153"/>
        <w:tab w:val="right" w:pos="8306"/>
      </w:tabs>
      <w:snapToGrid w:val="0"/>
      <w:jc w:val="left"/>
    </w:pPr>
    <w:rPr>
      <w:sz w:val="18"/>
      <w:szCs w:val="18"/>
    </w:rPr>
  </w:style>
  <w:style w:type="paragraph" w:styleId="a9">
    <w:name w:val="header"/>
    <w:basedOn w:val="a0"/>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uiPriority w:val="99"/>
    <w:semiHidden/>
    <w:unhideWhenUsed/>
    <w:rPr>
      <w:sz w:val="24"/>
    </w:rPr>
  </w:style>
  <w:style w:type="paragraph" w:styleId="ac">
    <w:name w:val="Body Text First Indent"/>
    <w:basedOn w:val="a6"/>
    <w:uiPriority w:val="99"/>
    <w:unhideWhenUsed/>
    <w:qFormat/>
    <w:pPr>
      <w:spacing w:before="0" w:beforeAutospacing="0" w:after="120"/>
      <w:ind w:firstLineChars="100" w:firstLine="420"/>
    </w:pPr>
    <w:rPr>
      <w:rFonts w:ascii="Times New Roman" w:hAnsi="Times New Roman" w:cs="Times New Roman"/>
      <w:szCs w:val="20"/>
    </w:rPr>
  </w:style>
  <w:style w:type="table" w:styleId="ad">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pPr>
      <w:numPr>
        <w:numId w:val="2"/>
      </w:numPr>
      <w:tabs>
        <w:tab w:val="left" w:pos="709"/>
      </w:tabs>
    </w:pPr>
  </w:style>
  <w:style w:type="character" w:customStyle="1" w:styleId="aa">
    <w:name w:val="页眉 字符"/>
    <w:basedOn w:val="a2"/>
    <w:link w:val="a9"/>
    <w:uiPriority w:val="99"/>
    <w:qFormat/>
    <w:rPr>
      <w:sz w:val="18"/>
      <w:szCs w:val="18"/>
    </w:rPr>
  </w:style>
  <w:style w:type="character" w:customStyle="1" w:styleId="a8">
    <w:name w:val="页脚 字符"/>
    <w:basedOn w:val="a2"/>
    <w:link w:val="a7"/>
    <w:uiPriority w:val="99"/>
    <w:qFormat/>
    <w:rPr>
      <w:sz w:val="18"/>
      <w:szCs w:val="18"/>
    </w:rPr>
  </w:style>
  <w:style w:type="character" w:customStyle="1" w:styleId="10">
    <w:name w:val="标题 1 字符"/>
    <w:basedOn w:val="a2"/>
    <w:link w:val="1"/>
    <w:qFormat/>
    <w:rPr>
      <w:rFonts w:ascii="黑体" w:eastAsia="黑体" w:hAnsi="黑体"/>
      <w:bCs/>
      <w:kern w:val="44"/>
      <w:sz w:val="32"/>
      <w:szCs w:val="32"/>
    </w:rPr>
  </w:style>
  <w:style w:type="character" w:customStyle="1" w:styleId="20">
    <w:name w:val="标题 2 字符"/>
    <w:basedOn w:val="a2"/>
    <w:link w:val="2"/>
    <w:rPr>
      <w:rFonts w:eastAsia="黑体"/>
      <w:bCs/>
      <w:kern w:val="2"/>
      <w:sz w:val="28"/>
      <w:szCs w:val="28"/>
    </w:rPr>
  </w:style>
  <w:style w:type="character" w:customStyle="1" w:styleId="30">
    <w:name w:val="标题 3 字符"/>
    <w:basedOn w:val="a2"/>
    <w:link w:val="3"/>
    <w:rPr>
      <w:rFonts w:eastAsia="仿宋_GB2312"/>
      <w:kern w:val="2"/>
      <w:sz w:val="28"/>
      <w:szCs w:val="28"/>
    </w:rPr>
  </w:style>
  <w:style w:type="character" w:customStyle="1" w:styleId="40">
    <w:name w:val="标题 4 字符"/>
    <w:basedOn w:val="a2"/>
    <w:link w:val="4"/>
    <w:qFormat/>
    <w:rPr>
      <w:rFonts w:eastAsia="仿宋_GB2312"/>
      <w:kern w:val="2"/>
      <w:sz w:val="28"/>
      <w:szCs w:val="28"/>
    </w:rPr>
  </w:style>
  <w:style w:type="character" w:customStyle="1" w:styleId="50">
    <w:name w:val="标题 5 字符"/>
    <w:basedOn w:val="a2"/>
    <w:link w:val="5"/>
    <w:rPr>
      <w:rFonts w:eastAsia="仿宋_GB2312" w:cs="仿宋_GB2312"/>
      <w:kern w:val="2"/>
      <w:sz w:val="28"/>
      <w:szCs w:val="28"/>
    </w:rPr>
  </w:style>
  <w:style w:type="character" w:customStyle="1" w:styleId="60">
    <w:name w:val="标题 6 字符"/>
    <w:basedOn w:val="a2"/>
    <w:link w:val="6"/>
    <w:rPr>
      <w:rFonts w:eastAsia="仿宋_GB2312" w:cs="仿宋_GB2312"/>
      <w:kern w:val="2"/>
      <w:sz w:val="28"/>
      <w:szCs w:val="28"/>
    </w:rPr>
  </w:style>
  <w:style w:type="character" w:customStyle="1" w:styleId="80">
    <w:name w:val="标题 8 字符"/>
    <w:basedOn w:val="a2"/>
    <w:link w:val="8"/>
    <w:rPr>
      <w:rFonts w:ascii="Arial" w:eastAsia="黑体" w:hAnsi="Arial"/>
      <w:color w:val="000000"/>
      <w:kern w:val="2"/>
      <w:sz w:val="28"/>
      <w:szCs w:val="28"/>
    </w:rPr>
  </w:style>
  <w:style w:type="character" w:customStyle="1" w:styleId="90">
    <w:name w:val="标题 9 字符"/>
    <w:basedOn w:val="a2"/>
    <w:link w:val="9"/>
    <w:rPr>
      <w:rFonts w:eastAsia="仿宋_GB2312"/>
      <w:color w:val="000000"/>
      <w:kern w:val="2"/>
      <w:sz w:val="21"/>
      <w:szCs w:val="28"/>
    </w:rPr>
  </w:style>
  <w:style w:type="character" w:customStyle="1" w:styleId="15">
    <w:name w:val="15"/>
    <w:basedOn w:val="a2"/>
    <w:rPr>
      <w:rFonts w:ascii="Times New Roman" w:hAnsi="Times New Roman" w:cs="Times New Roman" w:hint="default"/>
    </w:rPr>
  </w:style>
  <w:style w:type="character" w:customStyle="1" w:styleId="100">
    <w:name w:val="10"/>
    <w:basedOn w:val="a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1284</Characters>
  <Application>Microsoft Office Word</Application>
  <DocSecurity>0</DocSecurity>
  <Lines>10</Lines>
  <Paragraphs>3</Paragraphs>
  <ScaleCrop>false</ScaleCrop>
  <Company>Microsoft</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3</cp:revision>
  <dcterms:created xsi:type="dcterms:W3CDTF">2024-08-29T09:01:00Z</dcterms:created>
  <dcterms:modified xsi:type="dcterms:W3CDTF">2024-08-29T10:13:00Z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30182B2AF7F94550AFB2B0C8A3BCC030_12</vt:lpwstr>
  </property>
</Properties>
</file>