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86" w:rsidRDefault="00DC6E8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DC6E86" w:rsidRDefault="00D23A3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呼吸与危重症医学科设备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DC6E86" w:rsidRDefault="00DC6E86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DC6E86" w:rsidRDefault="00D23A3A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呼吸与危重症医学科设备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DC6E86" w:rsidRDefault="00D23A3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DC6E86">
        <w:tc>
          <w:tcPr>
            <w:tcW w:w="1292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C6E86">
        <w:tc>
          <w:tcPr>
            <w:tcW w:w="1292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便携睡眠监测仪</w:t>
            </w:r>
          </w:p>
        </w:tc>
        <w:tc>
          <w:tcPr>
            <w:tcW w:w="1504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Merge w:val="restart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病人睡眠生理参数监测及辅助睡眠</w:t>
            </w:r>
          </w:p>
        </w:tc>
      </w:tr>
      <w:tr w:rsidR="00DC6E86">
        <w:tc>
          <w:tcPr>
            <w:tcW w:w="1292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睡眠呼吸机</w:t>
            </w:r>
          </w:p>
        </w:tc>
        <w:tc>
          <w:tcPr>
            <w:tcW w:w="1504" w:type="dxa"/>
          </w:tcPr>
          <w:p w:rsidR="00DC6E86" w:rsidRDefault="00D23A3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Merge/>
          </w:tcPr>
          <w:p w:rsidR="00DC6E86" w:rsidRDefault="00DC6E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</w:p>
        </w:tc>
      </w:tr>
    </w:tbl>
    <w:p w:rsidR="00DC6E86" w:rsidRDefault="00DC6E86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C6E86" w:rsidRDefault="00D23A3A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2015"/>
        <w:gridCol w:w="4335"/>
        <w:gridCol w:w="2446"/>
      </w:tblGrid>
      <w:tr w:rsidR="00DC6E86">
        <w:trPr>
          <w:trHeight w:val="80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C6E86" w:rsidRDefault="00D23A3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C6E86" w:rsidRDefault="00D23A3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C6E86" w:rsidRDefault="00D23A3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DC6E86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C6E86" w:rsidRDefault="00D23A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便携睡眠监测仪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1</w:t>
            </w:r>
            <w:r w:rsidRPr="00D74999">
              <w:rPr>
                <w:rFonts w:ascii="宋体" w:hAnsi="宋体" w:cs="宋体" w:hint="eastAsia"/>
                <w:sz w:val="24"/>
              </w:rPr>
              <w:t>、用于进行睡眠呼吸暂停低通气综合征、夜间低氧血症的诊断或筛查。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2</w:t>
            </w:r>
            <w:r w:rsidRPr="00D74999">
              <w:rPr>
                <w:rFonts w:ascii="宋体" w:hAnsi="宋体" w:cs="宋体" w:hint="eastAsia"/>
                <w:sz w:val="24"/>
              </w:rPr>
              <w:t>、具有</w:t>
            </w:r>
            <w:r w:rsidRPr="00D74999">
              <w:rPr>
                <w:rFonts w:ascii="宋体" w:hAnsi="宋体" w:cs="宋体" w:hint="eastAsia"/>
                <w:sz w:val="24"/>
              </w:rPr>
              <w:t>&gt;9</w:t>
            </w:r>
            <w:r w:rsidRPr="00D74999">
              <w:rPr>
                <w:rFonts w:ascii="宋体" w:hAnsi="宋体" w:cs="宋体" w:hint="eastAsia"/>
                <w:sz w:val="24"/>
              </w:rPr>
              <w:t>导联通道，包括但不限于检测气流、鼾声、血氧饱和度、脉搏、脉搏波形、体位、体动、胸</w:t>
            </w:r>
            <w:r w:rsidRPr="00D74999">
              <w:rPr>
                <w:rFonts w:ascii="宋体" w:hAnsi="宋体" w:cs="宋体" w:hint="eastAsia"/>
                <w:sz w:val="24"/>
              </w:rPr>
              <w:t>/</w:t>
            </w:r>
            <w:r w:rsidRPr="00D74999">
              <w:rPr>
                <w:rFonts w:ascii="宋体" w:hAnsi="宋体" w:cs="宋体" w:hint="eastAsia"/>
                <w:sz w:val="24"/>
              </w:rPr>
              <w:t>腹运动、</w:t>
            </w:r>
            <w:r w:rsidRPr="00D74999">
              <w:rPr>
                <w:rFonts w:ascii="宋体" w:hAnsi="宋体" w:cs="宋体" w:hint="eastAsia"/>
                <w:sz w:val="24"/>
              </w:rPr>
              <w:t>CPAP</w:t>
            </w:r>
            <w:r w:rsidRPr="00D74999">
              <w:rPr>
                <w:rFonts w:ascii="宋体" w:hAnsi="宋体" w:cs="宋体"/>
                <w:sz w:val="24"/>
              </w:rPr>
              <w:t xml:space="preserve"> </w:t>
            </w:r>
            <w:r w:rsidRPr="00D74999">
              <w:rPr>
                <w:rFonts w:ascii="宋体" w:hAnsi="宋体" w:cs="宋体" w:hint="eastAsia"/>
                <w:sz w:val="24"/>
              </w:rPr>
              <w:t>压力滴定等功能。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3</w:t>
            </w:r>
            <w:r w:rsidRPr="00D74999">
              <w:rPr>
                <w:rFonts w:ascii="宋体" w:hAnsi="宋体" w:cs="宋体" w:hint="eastAsia"/>
                <w:sz w:val="24"/>
              </w:rPr>
              <w:t>、内置可充电电池。充满电后监测模式下续航时间≥</w:t>
            </w:r>
            <w:r w:rsidRPr="00D74999">
              <w:rPr>
                <w:rFonts w:ascii="宋体" w:hAnsi="宋体" w:cs="宋体" w:hint="eastAsia"/>
                <w:sz w:val="24"/>
              </w:rPr>
              <w:t>24</w:t>
            </w:r>
            <w:r w:rsidRPr="00D74999">
              <w:rPr>
                <w:rFonts w:ascii="宋体" w:hAnsi="宋体" w:cs="宋体" w:hint="eastAsia"/>
                <w:sz w:val="24"/>
              </w:rPr>
              <w:t>小时，屏幕上有电量显示，并且有低电量提示功能。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4</w:t>
            </w:r>
            <w:r w:rsidRPr="00D74999">
              <w:rPr>
                <w:rFonts w:ascii="宋体" w:hAnsi="宋体" w:cs="宋体" w:hint="eastAsia"/>
                <w:sz w:val="24"/>
              </w:rPr>
              <w:t>、具备内置储存卡存储数据，存储卡内存</w:t>
            </w:r>
            <w:r w:rsidRPr="00D74999">
              <w:rPr>
                <w:rFonts w:ascii="宋体" w:hAnsi="宋体" w:cs="宋体" w:hint="eastAsia"/>
                <w:sz w:val="24"/>
              </w:rPr>
              <w:t>≥</w:t>
            </w:r>
            <w:r w:rsidRPr="00D74999">
              <w:rPr>
                <w:rFonts w:ascii="宋体" w:hAnsi="宋体" w:cs="宋体" w:hint="eastAsia"/>
                <w:sz w:val="24"/>
              </w:rPr>
              <w:t>16G</w:t>
            </w:r>
            <w:r w:rsidRPr="00D74999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  <w:tr w:rsidR="00DC6E86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C6E86" w:rsidRDefault="00D23A3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lastRenderedPageBreak/>
              <w:t>睡眠呼吸机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1</w:t>
            </w:r>
            <w:r w:rsidRPr="00D74999">
              <w:rPr>
                <w:rFonts w:ascii="宋体" w:hAnsi="宋体" w:cs="宋体" w:hint="eastAsia"/>
                <w:sz w:val="24"/>
              </w:rPr>
              <w:t>、用于患者夜间睡眠时佩藏呼吸机，持续打开堵塞的气道，防止出现呼吸暂停及低通气，纠正缺氧及恢复睡眠结构等。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2</w:t>
            </w:r>
            <w:r w:rsidRPr="00D74999">
              <w:rPr>
                <w:rFonts w:ascii="宋体" w:hAnsi="宋体" w:cs="宋体" w:hint="eastAsia"/>
                <w:sz w:val="24"/>
              </w:rPr>
              <w:t>、压力范围：</w:t>
            </w:r>
            <w:r w:rsidRPr="00D74999">
              <w:rPr>
                <w:rFonts w:ascii="宋体" w:hAnsi="宋体" w:cs="宋体" w:hint="eastAsia"/>
                <w:sz w:val="24"/>
              </w:rPr>
              <w:t>≥</w:t>
            </w:r>
            <w:r w:rsidRPr="00D74999">
              <w:rPr>
                <w:rFonts w:ascii="宋体" w:hAnsi="宋体" w:cs="宋体" w:hint="eastAsia"/>
                <w:sz w:val="24"/>
              </w:rPr>
              <w:t>4~30cmH20</w:t>
            </w:r>
            <w:r w:rsidRPr="00D74999">
              <w:rPr>
                <w:rFonts w:ascii="宋体" w:hAnsi="宋体" w:cs="宋体" w:hint="eastAsia"/>
                <w:sz w:val="24"/>
              </w:rPr>
              <w:t>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3</w:t>
            </w:r>
            <w:r w:rsidRPr="00D74999">
              <w:rPr>
                <w:rFonts w:ascii="宋体" w:hAnsi="宋体" w:cs="宋体" w:hint="eastAsia"/>
                <w:sz w:val="24"/>
              </w:rPr>
              <w:t>、通气模式：包括但不限于全自动呼吸模式</w:t>
            </w:r>
            <w:r w:rsidRPr="00D74999">
              <w:rPr>
                <w:rFonts w:ascii="宋体" w:hAnsi="宋体" w:cs="宋体" w:hint="eastAsia"/>
                <w:sz w:val="24"/>
              </w:rPr>
              <w:t>Auto-CPAP</w:t>
            </w:r>
            <w:r w:rsidRPr="00D74999">
              <w:rPr>
                <w:rFonts w:ascii="宋体" w:hAnsi="宋体" w:cs="宋体" w:hint="eastAsia"/>
                <w:sz w:val="24"/>
              </w:rPr>
              <w:t>、持续气道正压通气</w:t>
            </w:r>
            <w:r w:rsidRPr="00D74999">
              <w:rPr>
                <w:rFonts w:ascii="宋体" w:hAnsi="宋体" w:cs="宋体" w:hint="eastAsia"/>
                <w:sz w:val="24"/>
              </w:rPr>
              <w:t>CPAP</w:t>
            </w:r>
            <w:r w:rsidRPr="00D74999">
              <w:rPr>
                <w:rFonts w:ascii="宋体" w:hAnsi="宋体" w:cs="宋体" w:hint="eastAsia"/>
                <w:sz w:val="24"/>
              </w:rPr>
              <w:t>。</w:t>
            </w:r>
          </w:p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4</w:t>
            </w:r>
            <w:r w:rsidRPr="00D74999">
              <w:rPr>
                <w:rFonts w:ascii="宋体" w:hAnsi="宋体" w:cs="宋体" w:hint="eastAsia"/>
                <w:sz w:val="24"/>
              </w:rPr>
              <w:t>、呼吸机有预加热功能。呼吸管路内置加热丝可防止冷凝水。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C6E86" w:rsidRPr="00D74999" w:rsidRDefault="00D23A3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D74999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</w:tbl>
    <w:p w:rsidR="00DC6E86" w:rsidRDefault="00DC6E86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C6E86" w:rsidRDefault="00D23A3A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DC6E86" w:rsidRDefault="00D23A3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DC6E86" w:rsidRDefault="00D23A3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DC6E86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E86" w:rsidRDefault="00D23A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DC6E86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E86" w:rsidRDefault="00DC6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C6E86" w:rsidRDefault="00D23A3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DC6E86" w:rsidRDefault="00D23A3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C6E86" w:rsidRDefault="00D23A3A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DC6E86">
        <w:tc>
          <w:tcPr>
            <w:tcW w:w="627" w:type="dxa"/>
          </w:tcPr>
          <w:p w:rsidR="00DC6E86" w:rsidRDefault="00D23A3A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DC6E86" w:rsidRDefault="00D23A3A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DC6E86" w:rsidRDefault="00D23A3A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DC6E86" w:rsidRDefault="00D23A3A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DC6E86" w:rsidRDefault="00D23A3A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DC6E86" w:rsidRDefault="00D23A3A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DC6E86" w:rsidRDefault="00D23A3A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DC6E86" w:rsidRDefault="00D23A3A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DC6E86" w:rsidRDefault="00D23A3A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DC6E86" w:rsidRDefault="00D23A3A">
            <w:r>
              <w:rPr>
                <w:rFonts w:hint="eastAsia"/>
              </w:rPr>
              <w:t>备注</w:t>
            </w:r>
          </w:p>
        </w:tc>
      </w:tr>
      <w:tr w:rsidR="00DC6E86">
        <w:tc>
          <w:tcPr>
            <w:tcW w:w="627" w:type="dxa"/>
          </w:tcPr>
          <w:p w:rsidR="00DC6E86" w:rsidRDefault="00DC6E86"/>
        </w:tc>
        <w:tc>
          <w:tcPr>
            <w:tcW w:w="1432" w:type="dxa"/>
          </w:tcPr>
          <w:p w:rsidR="00DC6E86" w:rsidRDefault="00DC6E86"/>
        </w:tc>
        <w:tc>
          <w:tcPr>
            <w:tcW w:w="1241" w:type="dxa"/>
          </w:tcPr>
          <w:p w:rsidR="00DC6E86" w:rsidRDefault="00DC6E86"/>
        </w:tc>
        <w:tc>
          <w:tcPr>
            <w:tcW w:w="845" w:type="dxa"/>
          </w:tcPr>
          <w:p w:rsidR="00DC6E86" w:rsidRDefault="00DC6E86"/>
        </w:tc>
        <w:tc>
          <w:tcPr>
            <w:tcW w:w="968" w:type="dxa"/>
          </w:tcPr>
          <w:p w:rsidR="00DC6E86" w:rsidRDefault="00DC6E86"/>
        </w:tc>
        <w:tc>
          <w:tcPr>
            <w:tcW w:w="1159" w:type="dxa"/>
          </w:tcPr>
          <w:p w:rsidR="00DC6E86" w:rsidRDefault="00DC6E86"/>
        </w:tc>
        <w:tc>
          <w:tcPr>
            <w:tcW w:w="1105" w:type="dxa"/>
          </w:tcPr>
          <w:p w:rsidR="00DC6E86" w:rsidRDefault="00DC6E86"/>
        </w:tc>
        <w:tc>
          <w:tcPr>
            <w:tcW w:w="1104" w:type="dxa"/>
          </w:tcPr>
          <w:p w:rsidR="00DC6E86" w:rsidRDefault="00DC6E86"/>
        </w:tc>
        <w:tc>
          <w:tcPr>
            <w:tcW w:w="1064" w:type="dxa"/>
          </w:tcPr>
          <w:p w:rsidR="00DC6E86" w:rsidRDefault="00DC6E86"/>
        </w:tc>
        <w:tc>
          <w:tcPr>
            <w:tcW w:w="545" w:type="dxa"/>
          </w:tcPr>
          <w:p w:rsidR="00DC6E86" w:rsidRDefault="00DC6E86"/>
        </w:tc>
      </w:tr>
    </w:tbl>
    <w:p w:rsidR="00DC6E86" w:rsidRDefault="00D23A3A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DC6E86" w:rsidRDefault="00D23A3A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DC6E86" w:rsidRDefault="00D23A3A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DC6E86" w:rsidRDefault="00D23A3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DC6E86" w:rsidRDefault="00D23A3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DC6E86" w:rsidRDefault="00D23A3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DC6E86" w:rsidRDefault="00D23A3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DC6E86" w:rsidRDefault="00D23A3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DC6E86" w:rsidRDefault="00D23A3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DC6E86" w:rsidRDefault="00D23A3A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DC6E86" w:rsidRDefault="00D23A3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DC6E86" w:rsidRDefault="00D23A3A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DC6E86" w:rsidRDefault="00DC6E8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DC6E86" w:rsidRDefault="00D23A3A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呼吸与危重症医学科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DC6E86" w:rsidRDefault="00DC6E86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C6E86" w:rsidRDefault="00D23A3A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DC6E86" w:rsidRDefault="00D23A3A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DC6E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3A" w:rsidRDefault="00D23A3A">
      <w:r>
        <w:separator/>
      </w:r>
    </w:p>
  </w:endnote>
  <w:endnote w:type="continuationSeparator" w:id="0">
    <w:p w:rsidR="00D23A3A" w:rsidRDefault="00D2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86" w:rsidRDefault="00D23A3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6E86" w:rsidRDefault="00D23A3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749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6E86" w:rsidRDefault="00D23A3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7499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3A" w:rsidRDefault="00D23A3A">
      <w:r>
        <w:separator/>
      </w:r>
    </w:p>
  </w:footnote>
  <w:footnote w:type="continuationSeparator" w:id="0">
    <w:p w:rsidR="00D23A3A" w:rsidRDefault="00D2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c3fcee45b30d25323396f3a22de98dee&amp;tko=KINGGRID_JSAPI&amp;m=s"/>
  </w:docVars>
  <w:rsids>
    <w:rsidRoot w:val="00172A27"/>
    <w:rsid w:val="AEF7A110"/>
    <w:rsid w:val="AF5C4425"/>
    <w:rsid w:val="E0FFDF61"/>
    <w:rsid w:val="F6BBE296"/>
    <w:rsid w:val="F7EF55FD"/>
    <w:rsid w:val="F9BF86BB"/>
    <w:rsid w:val="FDB008F5"/>
    <w:rsid w:val="FDE325A9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23A3A"/>
    <w:rsid w:val="00D37831"/>
    <w:rsid w:val="00D64C80"/>
    <w:rsid w:val="00D74999"/>
    <w:rsid w:val="00D7654A"/>
    <w:rsid w:val="00D8378C"/>
    <w:rsid w:val="00D85ADF"/>
    <w:rsid w:val="00D957BF"/>
    <w:rsid w:val="00DB7EDB"/>
    <w:rsid w:val="00DC2CA9"/>
    <w:rsid w:val="00DC6E86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423472"/>
    <w:rsid w:val="1C600606"/>
    <w:rsid w:val="1C986757"/>
    <w:rsid w:val="1D6A5A8D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3D55E3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8205133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E9C0E90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74C204-0FFF-4B8E-8B2E-25D72DF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37B4638BD06348618F5D869B8B7AF149_13</vt:lpwstr>
  </property>
  <property fmtid="{D5CDD505-2E9C-101B-9397-08002B2CF9AE}" pid="4" name="KSOTemplateDocerSaveRecord">
    <vt:lpwstr>eyJoZGlkIjoiN2QyMjg0YTNhZDkxMDgwOTIwODRhOTU0MjcxYTk4OGQifQ==</vt:lpwstr>
  </property>
</Properties>
</file>