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43337">
      <w:pPr>
        <w:jc w:val="center"/>
        <w:rPr>
          <w:rFonts w:ascii="仿宋" w:hAnsi="仿宋" w:eastAsia="仿宋"/>
          <w:b/>
          <w:bCs/>
          <w:sz w:val="32"/>
          <w:szCs w:val="32"/>
        </w:rPr>
      </w:pPr>
      <w:r>
        <w:rPr>
          <w:rFonts w:hint="eastAsia" w:ascii="仿宋" w:hAnsi="仿宋" w:eastAsia="仿宋"/>
          <w:b/>
          <w:bCs/>
          <w:sz w:val="32"/>
          <w:szCs w:val="32"/>
          <w:lang w:val="en-US" w:eastAsia="zh-CN"/>
        </w:rPr>
        <w:t>广医附属番禺中心医院通用型专病研用一体化系统</w:t>
      </w:r>
      <w:r>
        <w:rPr>
          <w:rFonts w:hint="eastAsia" w:ascii="仿宋" w:hAnsi="仿宋" w:eastAsia="仿宋"/>
          <w:b/>
          <w:bCs/>
          <w:sz w:val="32"/>
          <w:szCs w:val="32"/>
        </w:rPr>
        <w:t>开发及实施服务项目采购需求</w:t>
      </w:r>
    </w:p>
    <w:p w14:paraId="22ED2A76">
      <w:pPr>
        <w:pStyle w:val="3"/>
      </w:pPr>
      <w:r>
        <w:rPr>
          <w:rFonts w:hint="eastAsia"/>
        </w:rPr>
        <w:t>项目背景</w:t>
      </w:r>
    </w:p>
    <w:p w14:paraId="1C5BC762">
      <w:pPr>
        <w:keepNext w:val="0"/>
        <w:keepLines w:val="0"/>
        <w:widowControl/>
        <w:suppressLineNumbers w:val="0"/>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2016年，中共中央国务院《国家创新驱动发展战略纲要》提出：促进组学和健康医疗大数据研究，提高心脑血管疾病、恶性肿瘤、慢性呼吸性疾病、糖尿病等重大疾病的诊疗技术水平，开发数字化医疗，发展一体化健康服务新模式。2016年国务院办公厅《关于促进和规范健康医疗大数据应用发展的指导意见》提出要加强临床医学研究中心的数据管理和共享平台建设，促进临床研究资源的整合和利用。2021年10月9日国家卫生健康委《“十四五”国家临床专科能力建设规划》强调：以全面推进健康中国建设为引领，以提高卫生健康供给质量和服务水平为核心，以临床专科能力建设为抓手，促进公立医院高质量发展，实施“国家级临床重点专科往前带、省级临床重点专科均衡建、县级临床重点专科有序跟”的临床专科能力建设新模式。2023年7月12日国家卫生健康委《关于推动临床专科能力建设的指导意见》强调全面加强临床专科能力建设，构建我国临床专科建设发展新格局，提高临床专科服务能力和质量安全水平。2024年国家卫健委发布《国家临床专科能力评估办法（试行）》明确了专科能力的内涵，将其聚焦到医疗服务能力和医疗质量安全上来。</w:t>
      </w:r>
    </w:p>
    <w:p w14:paraId="5F7A62F0">
      <w:pPr>
        <w:pStyle w:val="3"/>
      </w:pPr>
      <w:r>
        <w:rPr>
          <w:rFonts w:hint="eastAsia"/>
        </w:rPr>
        <w:t>建设目标</w:t>
      </w:r>
    </w:p>
    <w:p w14:paraId="27DCE6E6">
      <w:pPr>
        <w:pStyle w:val="3"/>
        <w:numPr>
          <w:ilvl w:val="1"/>
          <w:numId w:val="0"/>
        </w:numPr>
        <w:spacing w:before="120" w:after="120" w:line="360" w:lineRule="auto"/>
        <w:ind w:leftChars="0"/>
        <w:rPr>
          <w:rFonts w:hint="eastAsia" w:ascii="仿宋" w:hAnsi="仿宋" w:eastAsia="仿宋" w:cs="仿宋"/>
          <w:b/>
          <w:bCs w:val="0"/>
          <w:sz w:val="28"/>
          <w:szCs w:val="28"/>
        </w:rPr>
      </w:pPr>
      <w:bookmarkStart w:id="0" w:name="_Toc15589"/>
      <w:r>
        <w:rPr>
          <w:rFonts w:hint="eastAsia" w:ascii="仿宋" w:hAnsi="仿宋" w:eastAsia="仿宋" w:cs="仿宋"/>
          <w:b/>
          <w:bCs w:val="0"/>
          <w:sz w:val="28"/>
          <w:szCs w:val="28"/>
          <w:lang w:val="en-US" w:eastAsia="zh-CN"/>
        </w:rPr>
        <w:t xml:space="preserve">2.1 </w:t>
      </w:r>
      <w:r>
        <w:rPr>
          <w:rFonts w:hint="eastAsia" w:ascii="仿宋" w:hAnsi="仿宋" w:eastAsia="仿宋" w:cs="仿宋"/>
          <w:b/>
          <w:bCs w:val="0"/>
          <w:sz w:val="28"/>
          <w:szCs w:val="28"/>
        </w:rPr>
        <w:t>目标一：</w:t>
      </w:r>
      <w:r>
        <w:rPr>
          <w:rFonts w:hint="eastAsia" w:ascii="仿宋" w:hAnsi="仿宋" w:eastAsia="仿宋" w:cs="仿宋"/>
          <w:b/>
          <w:bCs w:val="0"/>
          <w:sz w:val="28"/>
          <w:szCs w:val="28"/>
          <w:lang w:val="en-US" w:eastAsia="zh-CN"/>
        </w:rPr>
        <w:t>可迅速开展临床科学研究</w:t>
      </w:r>
      <w:bookmarkEnd w:id="0"/>
    </w:p>
    <w:p w14:paraId="5AF616C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可根据学科发展和临床医疗服务改善、临床医疗质量提升需要，灵活、迅速地开展临床科学研究，包括病例报告表自定义、数据自动采集、数据治理、专病库生成、病例纳排、队列研究和对照组构建、统计分析、课题或研究方向的定性/定量验证等，支撑医院向研究型医院的数字化转型。</w:t>
      </w:r>
    </w:p>
    <w:p w14:paraId="2BF3F78F">
      <w:pPr>
        <w:pStyle w:val="3"/>
        <w:numPr>
          <w:ilvl w:val="1"/>
          <w:numId w:val="0"/>
        </w:numPr>
        <w:spacing w:before="120" w:after="120" w:line="360" w:lineRule="auto"/>
        <w:ind w:leftChars="0"/>
        <w:rPr>
          <w:rFonts w:hint="eastAsia" w:ascii="仿宋" w:hAnsi="仿宋" w:eastAsia="仿宋" w:cs="仿宋"/>
          <w:sz w:val="28"/>
          <w:szCs w:val="28"/>
        </w:rPr>
      </w:pPr>
      <w:bookmarkStart w:id="1" w:name="_Toc25984"/>
      <w:r>
        <w:rPr>
          <w:rFonts w:hint="eastAsia" w:ascii="仿宋" w:hAnsi="仿宋" w:eastAsia="仿宋" w:cs="仿宋"/>
          <w:sz w:val="28"/>
          <w:szCs w:val="28"/>
          <w:lang w:val="en-US" w:eastAsia="zh-CN"/>
        </w:rPr>
        <w:t xml:space="preserve">2.3 </w:t>
      </w:r>
      <w:r>
        <w:rPr>
          <w:rFonts w:hint="eastAsia" w:ascii="仿宋" w:hAnsi="仿宋" w:eastAsia="仿宋" w:cs="仿宋"/>
          <w:sz w:val="28"/>
          <w:szCs w:val="28"/>
        </w:rPr>
        <w:t>目标</w:t>
      </w:r>
      <w:r>
        <w:rPr>
          <w:rFonts w:hint="eastAsia" w:ascii="仿宋" w:hAnsi="仿宋" w:eastAsia="仿宋" w:cs="仿宋"/>
          <w:sz w:val="28"/>
          <w:szCs w:val="28"/>
          <w:lang w:val="en-US" w:eastAsia="zh-CN"/>
        </w:rPr>
        <w:t>二</w:t>
      </w:r>
      <w:r>
        <w:rPr>
          <w:rFonts w:hint="eastAsia" w:ascii="仿宋" w:hAnsi="仿宋" w:eastAsia="仿宋" w:cs="仿宋"/>
          <w:sz w:val="28"/>
          <w:szCs w:val="28"/>
        </w:rPr>
        <w:t>：</w:t>
      </w:r>
      <w:r>
        <w:rPr>
          <w:rFonts w:hint="eastAsia" w:ascii="仿宋" w:hAnsi="仿宋" w:eastAsia="仿宋" w:cs="仿宋"/>
          <w:sz w:val="28"/>
          <w:szCs w:val="28"/>
          <w:lang w:val="en-US" w:eastAsia="zh-CN"/>
        </w:rPr>
        <w:t>识别共病风险推动医院科间转介</w:t>
      </w:r>
      <w:bookmarkEnd w:id="1"/>
    </w:p>
    <w:p w14:paraId="75AC359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基于专病库、患者电子病历等数据，</w:t>
      </w:r>
      <w:r>
        <w:rPr>
          <w:rFonts w:hint="eastAsia" w:ascii="仿宋" w:hAnsi="仿宋" w:eastAsia="仿宋" w:cs="仿宋"/>
          <w:sz w:val="28"/>
          <w:szCs w:val="28"/>
        </w:rPr>
        <w:t>通过</w:t>
      </w:r>
      <w:r>
        <w:rPr>
          <w:rFonts w:hint="eastAsia" w:ascii="仿宋" w:hAnsi="仿宋" w:eastAsia="仿宋" w:cs="仿宋"/>
          <w:sz w:val="28"/>
          <w:szCs w:val="28"/>
          <w:lang w:val="en-US" w:eastAsia="zh-CN"/>
        </w:rPr>
        <w:t>大语言模型、机器学习等技术，及时识别当前就诊患者的共病风险，并引导到具体的科室普通门诊、专家门诊等做进一步的诊断和治疗干预，改善就医感受，提升患者体验，推进诊治关口前移。</w:t>
      </w:r>
    </w:p>
    <w:p w14:paraId="3AE81724">
      <w:pPr>
        <w:pStyle w:val="3"/>
      </w:pPr>
      <w:r>
        <w:rPr>
          <w:rFonts w:hint="eastAsia"/>
        </w:rPr>
        <w:t>建设原则</w:t>
      </w:r>
    </w:p>
    <w:p w14:paraId="6BBE67D9">
      <w:pPr>
        <w:pStyle w:val="3"/>
        <w:numPr>
          <w:ilvl w:val="1"/>
          <w:numId w:val="0"/>
        </w:numPr>
        <w:spacing w:before="120" w:after="120" w:line="360" w:lineRule="auto"/>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 渐进兼容性</w:t>
      </w:r>
    </w:p>
    <w:p w14:paraId="0765BFFD">
      <w:pPr>
        <w:ind w:firstLine="560" w:firstLineChars="200"/>
        <w:rPr>
          <w:rFonts w:ascii="仿宋" w:hAnsi="仿宋" w:eastAsia="仿宋"/>
          <w:sz w:val="28"/>
          <w:szCs w:val="28"/>
        </w:rPr>
      </w:pPr>
      <w:r>
        <w:rPr>
          <w:rFonts w:hint="eastAsia" w:ascii="仿宋" w:hAnsi="仿宋" w:eastAsia="仿宋"/>
          <w:sz w:val="28"/>
          <w:szCs w:val="28"/>
          <w:lang w:val="en-US" w:eastAsia="zh-CN"/>
        </w:rPr>
        <w:t>技术架构数据层、能力层、业务层、展现层低耦合；支持离线非实时数据分析，降低系统对接建设的复杂性，缩短建设周期，加快专病数据</w:t>
      </w:r>
      <w:r>
        <w:rPr>
          <w:rFonts w:hint="eastAsia" w:ascii="仿宋" w:hAnsi="仿宋" w:eastAsia="仿宋"/>
          <w:sz w:val="28"/>
          <w:szCs w:val="28"/>
        </w:rPr>
        <w:t>库的建设；然后实现在线实时数据分析；界面处理、业务逻辑、数据运算分离。</w:t>
      </w:r>
    </w:p>
    <w:p w14:paraId="43ECFED9">
      <w:pPr>
        <w:pStyle w:val="4"/>
        <w:numPr>
          <w:ilvl w:val="2"/>
          <w:numId w:val="0"/>
        </w:numPr>
        <w:ind w:leftChars="0"/>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3.2 安全性原则</w:t>
      </w:r>
    </w:p>
    <w:p w14:paraId="04BF1134">
      <w:pPr>
        <w:ind w:firstLine="560" w:firstLineChars="200"/>
        <w:rPr>
          <w:rFonts w:ascii="仿宋" w:hAnsi="仿宋" w:eastAsia="仿宋"/>
          <w:sz w:val="28"/>
          <w:szCs w:val="28"/>
        </w:rPr>
      </w:pPr>
      <w:r>
        <w:rPr>
          <w:rFonts w:hint="eastAsia" w:ascii="仿宋" w:hAnsi="仿宋" w:eastAsia="仿宋"/>
          <w:sz w:val="28"/>
          <w:szCs w:val="28"/>
          <w:lang w:val="en-US" w:eastAsia="zh-CN"/>
        </w:rPr>
        <w:t>系统建设</w:t>
      </w:r>
      <w:r>
        <w:rPr>
          <w:rFonts w:hint="eastAsia" w:ascii="仿宋" w:hAnsi="仿宋" w:eastAsia="仿宋"/>
          <w:sz w:val="28"/>
          <w:szCs w:val="28"/>
        </w:rPr>
        <w:t>应充分考虑系统的安全性，包括数据的保密性、完整性和可用性。采用合适的安全技术和措施，如数据加密、身份认证、访问控制等，确保系统免受外部攻击和内部泄露。</w:t>
      </w:r>
    </w:p>
    <w:p w14:paraId="3103B243">
      <w:pPr>
        <w:pStyle w:val="4"/>
        <w:numPr>
          <w:ilvl w:val="2"/>
          <w:numId w:val="0"/>
        </w:numPr>
        <w:ind w:leftChars="0"/>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3.3 便捷性原则</w:t>
      </w:r>
    </w:p>
    <w:p w14:paraId="3202FCC5">
      <w:pPr>
        <w:ind w:firstLine="560" w:firstLineChars="200"/>
        <w:rPr>
          <w:rFonts w:hint="eastAsia" w:ascii="仿宋" w:hAnsi="仿宋" w:eastAsia="仿宋"/>
          <w:sz w:val="28"/>
          <w:szCs w:val="28"/>
          <w:lang w:eastAsia="zh-CN"/>
        </w:rPr>
      </w:pPr>
      <w:r>
        <w:rPr>
          <w:rFonts w:hint="eastAsia" w:ascii="仿宋" w:hAnsi="仿宋" w:eastAsia="仿宋"/>
          <w:sz w:val="28"/>
          <w:szCs w:val="28"/>
        </w:rPr>
        <w:t>基于H5架构的响应式网站设计，方便被集成；系统采取前后端分离的技术，前端H5页面通过AJAX调用后端的RESTFUL API接口并使用JSON数据进行交互，后台采用微服务方式，为前端各业务模块提供数据接口</w:t>
      </w:r>
      <w:r>
        <w:rPr>
          <w:rFonts w:hint="eastAsia" w:ascii="仿宋" w:hAnsi="仿宋" w:eastAsia="仿宋"/>
          <w:sz w:val="28"/>
          <w:szCs w:val="28"/>
          <w:lang w:eastAsia="zh-CN"/>
        </w:rPr>
        <w:t>。</w:t>
      </w:r>
    </w:p>
    <w:p w14:paraId="5306BDCD">
      <w:pPr>
        <w:pStyle w:val="3"/>
      </w:pPr>
      <w:r>
        <w:rPr>
          <w:rFonts w:hint="eastAsia"/>
        </w:rPr>
        <w:t>项目建设内容</w:t>
      </w:r>
    </w:p>
    <w:p w14:paraId="49DF9A29">
      <w:pPr>
        <w:pStyle w:val="4"/>
        <w:numPr>
          <w:ilvl w:val="2"/>
          <w:numId w:val="0"/>
        </w:numPr>
        <w:ind w:leftChars="0"/>
        <w:rPr>
          <w:rFonts w:hint="default"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4.1 功能清单需求</w:t>
      </w:r>
    </w:p>
    <w:tbl>
      <w:tblPr>
        <w:tblStyle w:val="15"/>
        <w:tblW w:w="8355" w:type="dxa"/>
        <w:tblInd w:w="0" w:type="dxa"/>
        <w:tblLayout w:type="autofit"/>
        <w:tblCellMar>
          <w:top w:w="0" w:type="dxa"/>
          <w:left w:w="108" w:type="dxa"/>
          <w:bottom w:w="0" w:type="dxa"/>
          <w:right w:w="108" w:type="dxa"/>
        </w:tblCellMar>
      </w:tblPr>
      <w:tblGrid>
        <w:gridCol w:w="999"/>
        <w:gridCol w:w="1417"/>
        <w:gridCol w:w="5939"/>
      </w:tblGrid>
      <w:tr w14:paraId="0F437B98">
        <w:tblPrEx>
          <w:tblCellMar>
            <w:top w:w="0" w:type="dxa"/>
            <w:left w:w="108" w:type="dxa"/>
            <w:bottom w:w="0" w:type="dxa"/>
            <w:right w:w="108" w:type="dxa"/>
          </w:tblCellMar>
        </w:tblPrEx>
        <w:trPr>
          <w:trHeight w:val="280" w:hRule="atLeast"/>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6DCFD4DA">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名称</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4449B2">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功能</w:t>
            </w:r>
          </w:p>
        </w:tc>
        <w:tc>
          <w:tcPr>
            <w:tcW w:w="5939" w:type="dxa"/>
            <w:tcBorders>
              <w:top w:val="single" w:color="auto" w:sz="4" w:space="0"/>
              <w:left w:val="nil"/>
              <w:bottom w:val="single" w:color="auto" w:sz="4" w:space="0"/>
              <w:right w:val="single" w:color="auto" w:sz="4" w:space="0"/>
            </w:tcBorders>
            <w:shd w:val="clear" w:color="auto" w:fill="auto"/>
            <w:vAlign w:val="center"/>
          </w:tcPr>
          <w:p w14:paraId="0E8FBC66">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功能描述</w:t>
            </w:r>
          </w:p>
        </w:tc>
      </w:tr>
      <w:tr w14:paraId="79D529AD">
        <w:tblPrEx>
          <w:tblCellMar>
            <w:top w:w="0" w:type="dxa"/>
            <w:left w:w="108" w:type="dxa"/>
            <w:bottom w:w="0" w:type="dxa"/>
            <w:right w:w="108" w:type="dxa"/>
          </w:tblCellMar>
        </w:tblPrEx>
        <w:trPr>
          <w:trHeight w:val="280" w:hRule="atLeast"/>
        </w:trPr>
        <w:tc>
          <w:tcPr>
            <w:tcW w:w="999" w:type="dxa"/>
            <w:vMerge w:val="restart"/>
            <w:tcBorders>
              <w:top w:val="single" w:color="auto" w:sz="4" w:space="0"/>
              <w:left w:val="single" w:color="auto" w:sz="4" w:space="0"/>
              <w:right w:val="single" w:color="auto" w:sz="4" w:space="0"/>
            </w:tcBorders>
            <w:shd w:val="clear" w:color="auto" w:fill="auto"/>
            <w:vAlign w:val="center"/>
          </w:tcPr>
          <w:p w14:paraId="4AA3AFEC">
            <w:pPr>
              <w:widowControl/>
              <w:jc w:val="center"/>
              <w:rPr>
                <w:rFonts w:ascii="仿宋" w:hAnsi="仿宋" w:eastAsia="仿宋" w:cs="仿宋"/>
                <w:color w:val="000000"/>
                <w:kern w:val="0"/>
                <w:szCs w:val="21"/>
              </w:rPr>
            </w:pPr>
          </w:p>
          <w:p w14:paraId="4C8A1C68">
            <w:pPr>
              <w:widowControl/>
              <w:jc w:val="center"/>
              <w:rPr>
                <w:rFonts w:ascii="仿宋" w:hAnsi="仿宋" w:eastAsia="仿宋" w:cs="仿宋"/>
                <w:color w:val="000000"/>
                <w:kern w:val="0"/>
                <w:szCs w:val="21"/>
              </w:rPr>
            </w:pPr>
          </w:p>
          <w:p w14:paraId="4ACEC3BD">
            <w:pPr>
              <w:widowControl/>
              <w:jc w:val="center"/>
              <w:rPr>
                <w:rFonts w:ascii="仿宋" w:hAnsi="仿宋" w:eastAsia="仿宋" w:cs="仿宋"/>
                <w:color w:val="000000"/>
                <w:kern w:val="0"/>
                <w:szCs w:val="21"/>
              </w:rPr>
            </w:pPr>
          </w:p>
          <w:p w14:paraId="59AB7E6A">
            <w:pPr>
              <w:widowControl/>
              <w:jc w:val="center"/>
              <w:rPr>
                <w:rFonts w:ascii="仿宋" w:hAnsi="仿宋" w:eastAsia="仿宋" w:cs="仿宋"/>
                <w:color w:val="000000"/>
                <w:kern w:val="0"/>
                <w:szCs w:val="21"/>
              </w:rPr>
            </w:pPr>
          </w:p>
          <w:p w14:paraId="38BCFCEA">
            <w:pPr>
              <w:widowControl/>
              <w:jc w:val="center"/>
              <w:rPr>
                <w:rFonts w:ascii="仿宋" w:hAnsi="仿宋" w:eastAsia="仿宋" w:cs="仿宋"/>
                <w:color w:val="000000"/>
                <w:kern w:val="0"/>
                <w:szCs w:val="21"/>
              </w:rPr>
            </w:pPr>
          </w:p>
          <w:p w14:paraId="44242CE2">
            <w:pPr>
              <w:widowControl/>
              <w:jc w:val="center"/>
              <w:rPr>
                <w:rFonts w:ascii="仿宋" w:hAnsi="仿宋" w:eastAsia="仿宋" w:cs="仿宋"/>
                <w:color w:val="000000"/>
                <w:kern w:val="0"/>
                <w:szCs w:val="21"/>
              </w:rPr>
            </w:pPr>
          </w:p>
          <w:p w14:paraId="7DE4DCA4">
            <w:pPr>
              <w:widowControl/>
              <w:jc w:val="center"/>
              <w:rPr>
                <w:rFonts w:ascii="仿宋" w:hAnsi="仿宋" w:eastAsia="仿宋" w:cs="宋体"/>
                <w:color w:val="000000"/>
                <w:kern w:val="0"/>
                <w:szCs w:val="21"/>
              </w:rPr>
            </w:pPr>
            <w:r>
              <w:rPr>
                <w:rFonts w:hint="eastAsia" w:ascii="仿宋" w:hAnsi="仿宋" w:eastAsia="仿宋" w:cs="仿宋"/>
                <w:color w:val="000000"/>
                <w:kern w:val="0"/>
                <w:szCs w:val="21"/>
              </w:rPr>
              <w:t>通用型专病研究和应用一体化平台</w:t>
            </w:r>
          </w:p>
        </w:tc>
        <w:tc>
          <w:tcPr>
            <w:tcW w:w="1417" w:type="dxa"/>
            <w:vMerge w:val="restart"/>
            <w:tcBorders>
              <w:top w:val="single" w:color="auto" w:sz="4" w:space="0"/>
              <w:left w:val="single" w:color="auto" w:sz="4" w:space="0"/>
              <w:right w:val="single" w:color="auto" w:sz="4" w:space="0"/>
            </w:tcBorders>
            <w:shd w:val="clear" w:color="auto" w:fill="auto"/>
            <w:vAlign w:val="center"/>
          </w:tcPr>
          <w:p w14:paraId="23414EE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数据交换</w:t>
            </w:r>
          </w:p>
        </w:tc>
        <w:tc>
          <w:tcPr>
            <w:tcW w:w="5939" w:type="dxa"/>
            <w:tcBorders>
              <w:top w:val="single" w:color="auto" w:sz="4" w:space="0"/>
              <w:left w:val="nil"/>
              <w:bottom w:val="nil"/>
              <w:right w:val="single" w:color="auto" w:sz="4" w:space="0"/>
            </w:tcBorders>
            <w:shd w:val="clear" w:color="auto" w:fill="auto"/>
            <w:vAlign w:val="center"/>
          </w:tcPr>
          <w:p w14:paraId="06E331AA">
            <w:pPr>
              <w:pStyle w:val="30"/>
              <w:widowControl/>
              <w:numPr>
                <w:ilvl w:val="0"/>
                <w:numId w:val="3"/>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支持基于ETL方式一次性导入历史数据；</w:t>
            </w:r>
          </w:p>
        </w:tc>
      </w:tr>
      <w:tr w14:paraId="3FBA7D23">
        <w:tblPrEx>
          <w:tblCellMar>
            <w:top w:w="0" w:type="dxa"/>
            <w:left w:w="108" w:type="dxa"/>
            <w:bottom w:w="0" w:type="dxa"/>
            <w:right w:w="108" w:type="dxa"/>
          </w:tblCellMar>
        </w:tblPrEx>
        <w:trPr>
          <w:trHeight w:val="2184" w:hRule="atLeast"/>
        </w:trPr>
        <w:tc>
          <w:tcPr>
            <w:tcW w:w="999" w:type="dxa"/>
            <w:vMerge w:val="continue"/>
            <w:tcBorders>
              <w:left w:val="single" w:color="auto" w:sz="4" w:space="0"/>
              <w:right w:val="single" w:color="auto" w:sz="4" w:space="0"/>
            </w:tcBorders>
            <w:shd w:val="clear" w:color="auto" w:fill="auto"/>
            <w:vAlign w:val="center"/>
          </w:tcPr>
          <w:p w14:paraId="7C3A33F2">
            <w:pPr>
              <w:widowControl/>
              <w:jc w:val="center"/>
              <w:rPr>
                <w:rFonts w:ascii="仿宋" w:hAnsi="仿宋" w:eastAsia="仿宋" w:cs="宋体"/>
                <w:color w:val="000000"/>
                <w:kern w:val="0"/>
                <w:szCs w:val="21"/>
              </w:rPr>
            </w:pPr>
          </w:p>
        </w:tc>
        <w:tc>
          <w:tcPr>
            <w:tcW w:w="1417" w:type="dxa"/>
            <w:vMerge w:val="continue"/>
            <w:tcBorders>
              <w:left w:val="single" w:color="auto" w:sz="4" w:space="0"/>
              <w:right w:val="single" w:color="auto" w:sz="4" w:space="0"/>
            </w:tcBorders>
            <w:shd w:val="clear" w:color="auto" w:fill="auto"/>
            <w:vAlign w:val="center"/>
          </w:tcPr>
          <w:p w14:paraId="7E859153">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vAlign w:val="center"/>
          </w:tcPr>
          <w:p w14:paraId="69A84D0A">
            <w:pPr>
              <w:pStyle w:val="30"/>
              <w:widowControl/>
              <w:numPr>
                <w:ilvl w:val="0"/>
                <w:numId w:val="3"/>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支持从医院内网指定ip文件服务器读取HIS导出就诊记录和结构化电子病历excel文件（简称EMR excel文件）；包括挂号记录、门诊诊断、门诊医嘱（处方、检查检验医嘱）、入院录、病案首页、出院小结、检验报告、检查报告（文本，不含医学影像）、住院医嘱、首次病程、病程记录；</w:t>
            </w:r>
          </w:p>
        </w:tc>
      </w:tr>
      <w:tr w14:paraId="2117CFB2">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shd w:val="clear" w:color="auto" w:fill="auto"/>
            <w:vAlign w:val="center"/>
          </w:tcPr>
          <w:p w14:paraId="115DCA4E">
            <w:pPr>
              <w:widowControl/>
              <w:jc w:val="center"/>
              <w:rPr>
                <w:rFonts w:ascii="仿宋" w:hAnsi="仿宋" w:eastAsia="仿宋" w:cs="宋体"/>
                <w:color w:val="000000"/>
                <w:kern w:val="0"/>
                <w:szCs w:val="21"/>
              </w:rPr>
            </w:pPr>
          </w:p>
        </w:tc>
        <w:tc>
          <w:tcPr>
            <w:tcW w:w="1417" w:type="dxa"/>
            <w:vMerge w:val="continue"/>
            <w:tcBorders>
              <w:left w:val="single" w:color="auto" w:sz="4" w:space="0"/>
              <w:right w:val="single" w:color="auto" w:sz="4" w:space="0"/>
            </w:tcBorders>
            <w:shd w:val="clear" w:color="auto" w:fill="auto"/>
            <w:vAlign w:val="center"/>
          </w:tcPr>
          <w:p w14:paraId="756A7828">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vAlign w:val="center"/>
          </w:tcPr>
          <w:p w14:paraId="58245FC0">
            <w:pPr>
              <w:pStyle w:val="30"/>
              <w:widowControl/>
              <w:numPr>
                <w:ilvl w:val="0"/>
                <w:numId w:val="3"/>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支持基于ETL或集成平台信息获取数据字典；</w:t>
            </w:r>
          </w:p>
        </w:tc>
      </w:tr>
      <w:tr w14:paraId="270A5CF3">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shd w:val="clear" w:color="auto" w:fill="auto"/>
            <w:vAlign w:val="center"/>
          </w:tcPr>
          <w:p w14:paraId="2B51F7E5">
            <w:pPr>
              <w:widowControl/>
              <w:jc w:val="center"/>
              <w:rPr>
                <w:rFonts w:ascii="仿宋" w:hAnsi="仿宋" w:eastAsia="仿宋" w:cs="宋体"/>
                <w:color w:val="000000"/>
                <w:kern w:val="0"/>
                <w:szCs w:val="21"/>
              </w:rPr>
            </w:pPr>
          </w:p>
        </w:tc>
        <w:tc>
          <w:tcPr>
            <w:tcW w:w="1417" w:type="dxa"/>
            <w:vMerge w:val="continue"/>
            <w:tcBorders>
              <w:left w:val="single" w:color="auto" w:sz="4" w:space="0"/>
              <w:bottom w:val="single" w:color="auto" w:sz="4" w:space="0"/>
              <w:right w:val="single" w:color="auto" w:sz="4" w:space="0"/>
            </w:tcBorders>
            <w:shd w:val="clear" w:color="auto" w:fill="auto"/>
            <w:vAlign w:val="center"/>
          </w:tcPr>
          <w:p w14:paraId="67C976A9">
            <w:pPr>
              <w:widowControl/>
              <w:jc w:val="left"/>
              <w:rPr>
                <w:rFonts w:ascii="仿宋" w:hAnsi="仿宋" w:eastAsia="仿宋" w:cs="宋体"/>
                <w:color w:val="000000"/>
                <w:kern w:val="0"/>
                <w:szCs w:val="21"/>
              </w:rPr>
            </w:pPr>
          </w:p>
        </w:tc>
        <w:tc>
          <w:tcPr>
            <w:tcW w:w="5939" w:type="dxa"/>
            <w:tcBorders>
              <w:top w:val="nil"/>
              <w:left w:val="nil"/>
              <w:bottom w:val="single" w:color="auto" w:sz="4" w:space="0"/>
              <w:right w:val="single" w:color="auto" w:sz="4" w:space="0"/>
            </w:tcBorders>
            <w:shd w:val="clear" w:color="auto" w:fill="auto"/>
            <w:vAlign w:val="center"/>
          </w:tcPr>
          <w:p w14:paraId="1E4C80F0">
            <w:pPr>
              <w:pStyle w:val="30"/>
              <w:widowControl/>
              <w:numPr>
                <w:ilvl w:val="0"/>
                <w:numId w:val="3"/>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基于模板配置解析集成平台消息。</w:t>
            </w:r>
          </w:p>
        </w:tc>
      </w:tr>
      <w:tr w14:paraId="7FC1DBD7">
        <w:tblPrEx>
          <w:tblCellMar>
            <w:top w:w="0" w:type="dxa"/>
            <w:left w:w="108" w:type="dxa"/>
            <w:bottom w:w="0" w:type="dxa"/>
            <w:right w:w="108" w:type="dxa"/>
          </w:tblCellMar>
        </w:tblPrEx>
        <w:trPr>
          <w:trHeight w:val="90" w:hRule="atLeast"/>
        </w:trPr>
        <w:tc>
          <w:tcPr>
            <w:tcW w:w="999" w:type="dxa"/>
            <w:vMerge w:val="continue"/>
            <w:tcBorders>
              <w:left w:val="single" w:color="auto" w:sz="4" w:space="0"/>
              <w:right w:val="single" w:color="auto" w:sz="4" w:space="0"/>
            </w:tcBorders>
            <w:shd w:val="clear" w:color="auto" w:fill="auto"/>
            <w:vAlign w:val="center"/>
          </w:tcPr>
          <w:p w14:paraId="58251A71">
            <w:pPr>
              <w:widowControl/>
              <w:jc w:val="center"/>
              <w:rPr>
                <w:rFonts w:ascii="仿宋" w:hAnsi="仿宋" w:eastAsia="仿宋" w:cs="宋体"/>
                <w:color w:val="000000"/>
                <w:kern w:val="0"/>
                <w:szCs w:val="21"/>
              </w:rPr>
            </w:pPr>
          </w:p>
        </w:tc>
        <w:tc>
          <w:tcPr>
            <w:tcW w:w="1417" w:type="dxa"/>
            <w:vMerge w:val="restart"/>
            <w:tcBorders>
              <w:top w:val="single" w:color="auto" w:sz="4" w:space="0"/>
              <w:left w:val="single" w:color="auto" w:sz="4" w:space="0"/>
              <w:right w:val="single" w:color="auto" w:sz="4" w:space="0"/>
            </w:tcBorders>
            <w:shd w:val="clear" w:color="auto" w:fill="auto"/>
            <w:vAlign w:val="center"/>
          </w:tcPr>
          <w:p w14:paraId="25AAFF0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采集控制</w:t>
            </w:r>
          </w:p>
        </w:tc>
        <w:tc>
          <w:tcPr>
            <w:tcW w:w="5939" w:type="dxa"/>
            <w:tcBorders>
              <w:top w:val="single" w:color="auto" w:sz="4" w:space="0"/>
              <w:left w:val="nil"/>
              <w:bottom w:val="nil"/>
              <w:right w:val="single" w:color="auto" w:sz="4" w:space="0"/>
            </w:tcBorders>
            <w:shd w:val="clear" w:color="auto" w:fill="auto"/>
            <w:vAlign w:val="center"/>
          </w:tcPr>
          <w:p w14:paraId="7A196C2E">
            <w:pPr>
              <w:pStyle w:val="30"/>
              <w:widowControl/>
              <w:numPr>
                <w:ilvl w:val="0"/>
                <w:numId w:val="4"/>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支持配置不同类型的数据库来源，保证多源异构病种数据的入库；</w:t>
            </w:r>
          </w:p>
        </w:tc>
      </w:tr>
      <w:tr w14:paraId="4D07D1C0">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shd w:val="clear" w:color="auto" w:fill="auto"/>
            <w:vAlign w:val="center"/>
          </w:tcPr>
          <w:p w14:paraId="089C1A8A">
            <w:pPr>
              <w:widowControl/>
              <w:jc w:val="center"/>
              <w:rPr>
                <w:rFonts w:ascii="仿宋" w:hAnsi="仿宋" w:eastAsia="仿宋" w:cs="宋体"/>
                <w:color w:val="000000"/>
                <w:kern w:val="0"/>
                <w:szCs w:val="21"/>
              </w:rPr>
            </w:pPr>
          </w:p>
        </w:tc>
        <w:tc>
          <w:tcPr>
            <w:tcW w:w="1417" w:type="dxa"/>
            <w:vMerge w:val="continue"/>
            <w:tcBorders>
              <w:left w:val="single" w:color="auto" w:sz="4" w:space="0"/>
              <w:right w:val="single" w:color="auto" w:sz="4" w:space="0"/>
            </w:tcBorders>
            <w:shd w:val="clear" w:color="auto" w:fill="auto"/>
            <w:vAlign w:val="center"/>
          </w:tcPr>
          <w:p w14:paraId="3354FEBB">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vAlign w:val="center"/>
          </w:tcPr>
          <w:p w14:paraId="3AD7AB44">
            <w:pPr>
              <w:pStyle w:val="30"/>
              <w:widowControl/>
              <w:numPr>
                <w:ilvl w:val="0"/>
                <w:numId w:val="4"/>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建立电子病历原始结构化数据字段到专病库数据字段的映射关系，支持多种不同数据来源的原始字段；</w:t>
            </w:r>
          </w:p>
        </w:tc>
      </w:tr>
      <w:tr w14:paraId="64A8D121">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shd w:val="clear" w:color="auto" w:fill="auto"/>
            <w:vAlign w:val="center"/>
          </w:tcPr>
          <w:p w14:paraId="27AD1A52">
            <w:pPr>
              <w:widowControl/>
              <w:jc w:val="center"/>
              <w:rPr>
                <w:rFonts w:ascii="仿宋" w:hAnsi="仿宋" w:eastAsia="仿宋" w:cs="宋体"/>
                <w:color w:val="000000"/>
                <w:kern w:val="0"/>
                <w:szCs w:val="21"/>
              </w:rPr>
            </w:pPr>
          </w:p>
        </w:tc>
        <w:tc>
          <w:tcPr>
            <w:tcW w:w="1417" w:type="dxa"/>
            <w:vMerge w:val="continue"/>
            <w:tcBorders>
              <w:left w:val="single" w:color="auto" w:sz="4" w:space="0"/>
              <w:bottom w:val="single" w:color="auto" w:sz="4" w:space="0"/>
              <w:right w:val="single" w:color="auto" w:sz="4" w:space="0"/>
            </w:tcBorders>
            <w:shd w:val="clear" w:color="auto" w:fill="auto"/>
            <w:vAlign w:val="center"/>
          </w:tcPr>
          <w:p w14:paraId="2459AA86">
            <w:pPr>
              <w:widowControl/>
              <w:jc w:val="left"/>
              <w:rPr>
                <w:rFonts w:ascii="仿宋" w:hAnsi="仿宋" w:eastAsia="仿宋" w:cs="宋体"/>
                <w:color w:val="000000"/>
                <w:kern w:val="0"/>
                <w:szCs w:val="21"/>
              </w:rPr>
            </w:pPr>
          </w:p>
        </w:tc>
        <w:tc>
          <w:tcPr>
            <w:tcW w:w="5939" w:type="dxa"/>
            <w:tcBorders>
              <w:top w:val="nil"/>
              <w:left w:val="nil"/>
              <w:bottom w:val="single" w:color="auto" w:sz="4" w:space="0"/>
              <w:right w:val="single" w:color="auto" w:sz="4" w:space="0"/>
            </w:tcBorders>
            <w:shd w:val="clear" w:color="auto" w:fill="auto"/>
            <w:vAlign w:val="center"/>
          </w:tcPr>
          <w:p w14:paraId="78C007C1">
            <w:pPr>
              <w:pStyle w:val="30"/>
              <w:widowControl/>
              <w:numPr>
                <w:ilvl w:val="0"/>
                <w:numId w:val="4"/>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支持配置原始数据采集的规则，包括门诊诊断、住院主要诊断、门诊科室、入院科室、出院科室、挂号时间、入院时间、出院时间字段的过滤条件，或组合过滤条件。</w:t>
            </w:r>
          </w:p>
          <w:p w14:paraId="1158BE6B">
            <w:pPr>
              <w:pStyle w:val="30"/>
              <w:numPr>
                <w:ilvl w:val="0"/>
                <w:numId w:val="4"/>
              </w:numPr>
              <w:adjustRightInd w:val="0"/>
              <w:snapToGrid w:val="0"/>
              <w:ind w:firstLineChars="0"/>
              <w:rPr>
                <w:rFonts w:ascii="仿宋" w:hAnsi="仿宋" w:eastAsia="仿宋" w:cs="宋体"/>
                <w:color w:val="000000"/>
                <w:kern w:val="0"/>
                <w:szCs w:val="21"/>
              </w:rPr>
            </w:pPr>
            <w:r>
              <w:rPr>
                <w:rFonts w:hint="eastAsia" w:ascii="仿宋" w:hAnsi="仿宋" w:eastAsia="仿宋" w:cs="宋体"/>
                <w:color w:val="000000"/>
                <w:kern w:val="0"/>
                <w:szCs w:val="21"/>
              </w:rPr>
              <w:t>支持根据配置规则自动化采集原始数据。</w:t>
            </w:r>
          </w:p>
          <w:p w14:paraId="148DD9CD">
            <w:pPr>
              <w:pStyle w:val="30"/>
              <w:numPr>
                <w:ilvl w:val="0"/>
                <w:numId w:val="4"/>
              </w:numPr>
              <w:adjustRightInd w:val="0"/>
              <w:snapToGrid w:val="0"/>
              <w:ind w:firstLineChars="0"/>
              <w:rPr>
                <w:rFonts w:ascii="仿宋" w:hAnsi="仿宋" w:eastAsia="仿宋" w:cs="宋体"/>
                <w:color w:val="000000"/>
                <w:kern w:val="0"/>
                <w:szCs w:val="21"/>
              </w:rPr>
            </w:pPr>
            <w:r>
              <w:rPr>
                <w:rFonts w:hint="eastAsia" w:ascii="仿宋" w:hAnsi="仿宋" w:eastAsia="仿宋" w:cs="宋体"/>
                <w:color w:val="000000"/>
                <w:kern w:val="0"/>
                <w:szCs w:val="21"/>
              </w:rPr>
              <w:t>支持自定义创建专病数据库构建任务，并可实时在界面展示专病数据库构建进度状态；</w:t>
            </w:r>
          </w:p>
          <w:p w14:paraId="465CD733">
            <w:pPr>
              <w:pStyle w:val="30"/>
              <w:widowControl/>
              <w:numPr>
                <w:ilvl w:val="0"/>
                <w:numId w:val="4"/>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支持在一次性全量专病数据库构建基础上，增量同步原始数据，保证专病数据库的实时性，且数据不重复采集；</w:t>
            </w:r>
          </w:p>
        </w:tc>
      </w:tr>
      <w:tr w14:paraId="687F10E4">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shd w:val="clear" w:color="auto" w:fill="auto"/>
            <w:vAlign w:val="center"/>
          </w:tcPr>
          <w:p w14:paraId="59D89D94">
            <w:pPr>
              <w:widowControl/>
              <w:jc w:val="center"/>
              <w:rPr>
                <w:rFonts w:ascii="仿宋" w:hAnsi="仿宋" w:eastAsia="仿宋" w:cs="宋体"/>
                <w:color w:val="000000"/>
                <w:kern w:val="0"/>
                <w:szCs w:val="21"/>
              </w:rPr>
            </w:pPr>
          </w:p>
        </w:tc>
        <w:tc>
          <w:tcPr>
            <w:tcW w:w="1417" w:type="dxa"/>
            <w:vMerge w:val="restart"/>
            <w:tcBorders>
              <w:top w:val="single" w:color="auto" w:sz="4" w:space="0"/>
              <w:left w:val="single" w:color="auto" w:sz="4" w:space="0"/>
              <w:right w:val="single" w:color="auto" w:sz="4" w:space="0"/>
            </w:tcBorders>
            <w:shd w:val="clear" w:color="auto" w:fill="auto"/>
            <w:vAlign w:val="center"/>
          </w:tcPr>
          <w:p w14:paraId="10CEEDB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数据治理</w:t>
            </w:r>
          </w:p>
        </w:tc>
        <w:tc>
          <w:tcPr>
            <w:tcW w:w="5939" w:type="dxa"/>
            <w:tcBorders>
              <w:top w:val="single" w:color="auto" w:sz="4" w:space="0"/>
              <w:left w:val="nil"/>
              <w:bottom w:val="nil"/>
              <w:right w:val="single" w:color="auto" w:sz="4" w:space="0"/>
            </w:tcBorders>
            <w:shd w:val="clear" w:color="auto" w:fill="auto"/>
          </w:tcPr>
          <w:p w14:paraId="78A29E77">
            <w:pPr>
              <w:pStyle w:val="30"/>
              <w:numPr>
                <w:ilvl w:val="0"/>
                <w:numId w:val="5"/>
              </w:numPr>
              <w:adjustRightInd w:val="0"/>
              <w:snapToGrid w:val="0"/>
              <w:ind w:firstLineChars="0"/>
              <w:rPr>
                <w:rFonts w:ascii="仿宋" w:hAnsi="仿宋" w:eastAsia="仿宋" w:cs="宋体"/>
                <w:color w:val="000000"/>
                <w:kern w:val="0"/>
                <w:szCs w:val="21"/>
              </w:rPr>
            </w:pPr>
            <w:r>
              <w:rPr>
                <w:rFonts w:hint="eastAsia" w:ascii="仿宋" w:hAnsi="仿宋" w:eastAsia="仿宋" w:cs="宋体"/>
                <w:color w:val="000000"/>
                <w:kern w:val="0"/>
                <w:szCs w:val="21"/>
              </w:rPr>
              <w:t>基于采集到的各类临床数据，以患者主索引为中心进行整合，实现数据综合利用；</w:t>
            </w:r>
          </w:p>
        </w:tc>
      </w:tr>
      <w:tr w14:paraId="0FA6149C">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shd w:val="clear" w:color="auto" w:fill="auto"/>
            <w:vAlign w:val="center"/>
          </w:tcPr>
          <w:p w14:paraId="0B3CAA05">
            <w:pPr>
              <w:widowControl/>
              <w:jc w:val="center"/>
              <w:rPr>
                <w:rFonts w:ascii="仿宋" w:hAnsi="仿宋" w:eastAsia="仿宋" w:cs="宋体"/>
                <w:color w:val="000000"/>
                <w:kern w:val="0"/>
                <w:szCs w:val="21"/>
              </w:rPr>
            </w:pPr>
          </w:p>
        </w:tc>
        <w:tc>
          <w:tcPr>
            <w:tcW w:w="1417" w:type="dxa"/>
            <w:vMerge w:val="continue"/>
            <w:tcBorders>
              <w:left w:val="single" w:color="auto" w:sz="4" w:space="0"/>
              <w:right w:val="single" w:color="auto" w:sz="4" w:space="0"/>
            </w:tcBorders>
            <w:shd w:val="clear" w:color="auto" w:fill="auto"/>
            <w:vAlign w:val="center"/>
          </w:tcPr>
          <w:p w14:paraId="61B7CB20">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tcPr>
          <w:p w14:paraId="1AEA28F4">
            <w:pPr>
              <w:pStyle w:val="30"/>
              <w:numPr>
                <w:ilvl w:val="0"/>
                <w:numId w:val="5"/>
              </w:numPr>
              <w:adjustRightInd w:val="0"/>
              <w:snapToGrid w:val="0"/>
              <w:ind w:firstLineChars="0"/>
              <w:rPr>
                <w:rFonts w:ascii="仿宋" w:hAnsi="仿宋" w:eastAsia="仿宋" w:cs="宋体"/>
                <w:color w:val="000000"/>
                <w:kern w:val="0"/>
                <w:szCs w:val="21"/>
              </w:rPr>
            </w:pPr>
            <w:r>
              <w:rPr>
                <w:rFonts w:hint="eastAsia" w:ascii="仿宋" w:hAnsi="仿宋" w:eastAsia="仿宋" w:cs="宋体"/>
                <w:color w:val="000000"/>
                <w:kern w:val="0"/>
                <w:szCs w:val="21"/>
              </w:rPr>
              <w:t>支持通过正则/</w:t>
            </w:r>
            <w:r>
              <w:rPr>
                <w:rFonts w:ascii="仿宋" w:hAnsi="仿宋" w:eastAsia="仿宋" w:cs="宋体"/>
                <w:color w:val="000000"/>
                <w:kern w:val="0"/>
                <w:szCs w:val="21"/>
              </w:rPr>
              <w:t>NLP</w:t>
            </w:r>
            <w:r>
              <w:rPr>
                <w:rFonts w:hint="eastAsia" w:ascii="仿宋" w:hAnsi="仿宋" w:eastAsia="仿宋" w:cs="宋体"/>
                <w:color w:val="000000"/>
                <w:kern w:val="0"/>
                <w:szCs w:val="21"/>
              </w:rPr>
              <w:t>等方式进行数据后结构化处理；</w:t>
            </w:r>
          </w:p>
        </w:tc>
      </w:tr>
      <w:tr w14:paraId="4D2DA936">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shd w:val="clear" w:color="auto" w:fill="auto"/>
            <w:vAlign w:val="center"/>
          </w:tcPr>
          <w:p w14:paraId="0CABDB4F">
            <w:pPr>
              <w:widowControl/>
              <w:jc w:val="center"/>
              <w:rPr>
                <w:rFonts w:ascii="仿宋" w:hAnsi="仿宋" w:eastAsia="仿宋" w:cs="宋体"/>
                <w:color w:val="000000"/>
                <w:kern w:val="0"/>
                <w:szCs w:val="21"/>
              </w:rPr>
            </w:pPr>
          </w:p>
        </w:tc>
        <w:tc>
          <w:tcPr>
            <w:tcW w:w="1417" w:type="dxa"/>
            <w:vMerge w:val="continue"/>
            <w:tcBorders>
              <w:left w:val="single" w:color="auto" w:sz="4" w:space="0"/>
              <w:right w:val="single" w:color="auto" w:sz="4" w:space="0"/>
            </w:tcBorders>
            <w:shd w:val="clear" w:color="auto" w:fill="auto"/>
            <w:vAlign w:val="center"/>
          </w:tcPr>
          <w:p w14:paraId="737A56ED">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tcPr>
          <w:p w14:paraId="5D1EE046">
            <w:pPr>
              <w:pStyle w:val="30"/>
              <w:numPr>
                <w:ilvl w:val="0"/>
                <w:numId w:val="5"/>
              </w:numPr>
              <w:adjustRightInd w:val="0"/>
              <w:snapToGrid w:val="0"/>
              <w:ind w:firstLineChars="0"/>
              <w:rPr>
                <w:rFonts w:ascii="仿宋" w:hAnsi="仿宋" w:eastAsia="仿宋" w:cs="宋体"/>
                <w:color w:val="000000"/>
                <w:kern w:val="0"/>
                <w:szCs w:val="21"/>
              </w:rPr>
            </w:pPr>
            <w:r>
              <w:rPr>
                <w:rFonts w:hint="eastAsia" w:ascii="仿宋" w:hAnsi="仿宋" w:eastAsia="仿宋" w:cs="宋体"/>
                <w:color w:val="000000"/>
                <w:kern w:val="0"/>
                <w:szCs w:val="21"/>
              </w:rPr>
              <w:t>支持通过配置数据映射、异常值处理、数据离散、缺失值处理、天数差值、数值相加、数值相减、数值相乘、数值相除、文本替换、文本抽取、空格裁剪、文本分词等治理策略进行数据治理；</w:t>
            </w:r>
          </w:p>
        </w:tc>
      </w:tr>
      <w:tr w14:paraId="4E09AE04">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shd w:val="clear" w:color="auto" w:fill="auto"/>
            <w:vAlign w:val="center"/>
          </w:tcPr>
          <w:p w14:paraId="2E356262">
            <w:pPr>
              <w:widowControl/>
              <w:jc w:val="center"/>
              <w:rPr>
                <w:rFonts w:ascii="仿宋" w:hAnsi="仿宋" w:eastAsia="仿宋" w:cs="宋体"/>
                <w:color w:val="000000"/>
                <w:kern w:val="0"/>
                <w:szCs w:val="21"/>
              </w:rPr>
            </w:pPr>
          </w:p>
        </w:tc>
        <w:tc>
          <w:tcPr>
            <w:tcW w:w="1417" w:type="dxa"/>
            <w:vMerge w:val="continue"/>
            <w:tcBorders>
              <w:left w:val="single" w:color="auto" w:sz="4" w:space="0"/>
              <w:right w:val="single" w:color="auto" w:sz="4" w:space="0"/>
            </w:tcBorders>
            <w:shd w:val="clear" w:color="auto" w:fill="auto"/>
            <w:vAlign w:val="center"/>
          </w:tcPr>
          <w:p w14:paraId="62020A30">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tcPr>
          <w:p w14:paraId="3022EF4A">
            <w:pPr>
              <w:pStyle w:val="30"/>
              <w:numPr>
                <w:ilvl w:val="0"/>
                <w:numId w:val="5"/>
              </w:numPr>
              <w:adjustRightInd w:val="0"/>
              <w:snapToGrid w:val="0"/>
              <w:ind w:firstLineChars="0"/>
              <w:rPr>
                <w:rFonts w:ascii="仿宋" w:hAnsi="仿宋" w:eastAsia="仿宋" w:cs="宋体"/>
                <w:color w:val="000000"/>
                <w:kern w:val="0"/>
                <w:szCs w:val="21"/>
              </w:rPr>
            </w:pPr>
            <w:r>
              <w:rPr>
                <w:rFonts w:hint="eastAsia" w:ascii="仿宋" w:hAnsi="仿宋" w:eastAsia="仿宋" w:cs="宋体"/>
                <w:color w:val="000000"/>
                <w:kern w:val="0"/>
                <w:szCs w:val="21"/>
              </w:rPr>
              <w:t>支持根据配置信息，基于原始专病数据库数据，构建专病伴生的治理后专病数据库；</w:t>
            </w:r>
          </w:p>
        </w:tc>
      </w:tr>
      <w:tr w14:paraId="6D1BB8AC">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shd w:val="clear" w:color="auto" w:fill="auto"/>
            <w:vAlign w:val="center"/>
          </w:tcPr>
          <w:p w14:paraId="54619FC3">
            <w:pPr>
              <w:widowControl/>
              <w:jc w:val="center"/>
              <w:rPr>
                <w:rFonts w:ascii="仿宋" w:hAnsi="仿宋" w:eastAsia="仿宋" w:cs="宋体"/>
                <w:color w:val="000000"/>
                <w:kern w:val="0"/>
                <w:szCs w:val="21"/>
              </w:rPr>
            </w:pPr>
          </w:p>
        </w:tc>
        <w:tc>
          <w:tcPr>
            <w:tcW w:w="1417" w:type="dxa"/>
            <w:vMerge w:val="continue"/>
            <w:tcBorders>
              <w:left w:val="single" w:color="auto" w:sz="4" w:space="0"/>
              <w:right w:val="single" w:color="auto" w:sz="4" w:space="0"/>
            </w:tcBorders>
            <w:shd w:val="clear" w:color="auto" w:fill="auto"/>
            <w:vAlign w:val="center"/>
          </w:tcPr>
          <w:p w14:paraId="39F6EE12">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tcPr>
          <w:p w14:paraId="60670347">
            <w:pPr>
              <w:pStyle w:val="30"/>
              <w:numPr>
                <w:ilvl w:val="0"/>
                <w:numId w:val="5"/>
              </w:numPr>
              <w:adjustRightInd w:val="0"/>
              <w:snapToGrid w:val="0"/>
              <w:ind w:firstLineChars="0"/>
              <w:rPr>
                <w:rFonts w:ascii="仿宋" w:hAnsi="仿宋" w:eastAsia="仿宋" w:cs="宋体"/>
                <w:color w:val="000000"/>
                <w:kern w:val="0"/>
                <w:szCs w:val="21"/>
              </w:rPr>
            </w:pPr>
            <w:r>
              <w:rPr>
                <w:rFonts w:hint="eastAsia" w:ascii="仿宋" w:hAnsi="仿宋" w:eastAsia="仿宋" w:cs="宋体"/>
                <w:color w:val="000000"/>
                <w:kern w:val="0"/>
                <w:szCs w:val="21"/>
              </w:rPr>
              <w:t>支持满足完整性、合理性、时效性、一致性等规则。</w:t>
            </w:r>
          </w:p>
        </w:tc>
      </w:tr>
      <w:tr w14:paraId="3DEFC6C1">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shd w:val="clear" w:color="auto" w:fill="auto"/>
            <w:vAlign w:val="center"/>
          </w:tcPr>
          <w:p w14:paraId="64D03424">
            <w:pPr>
              <w:widowControl/>
              <w:jc w:val="center"/>
              <w:rPr>
                <w:rFonts w:ascii="仿宋" w:hAnsi="仿宋" w:eastAsia="仿宋" w:cs="宋体"/>
                <w:color w:val="000000"/>
                <w:kern w:val="0"/>
                <w:szCs w:val="21"/>
              </w:rPr>
            </w:pPr>
          </w:p>
        </w:tc>
        <w:tc>
          <w:tcPr>
            <w:tcW w:w="1417" w:type="dxa"/>
            <w:vMerge w:val="restart"/>
            <w:tcBorders>
              <w:top w:val="single" w:color="auto" w:sz="4" w:space="0"/>
              <w:left w:val="single" w:color="auto" w:sz="4" w:space="0"/>
              <w:right w:val="single" w:color="auto" w:sz="4" w:space="0"/>
            </w:tcBorders>
            <w:shd w:val="clear" w:color="auto" w:fill="auto"/>
            <w:vAlign w:val="center"/>
          </w:tcPr>
          <w:p w14:paraId="155B420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数据安全</w:t>
            </w:r>
          </w:p>
        </w:tc>
        <w:tc>
          <w:tcPr>
            <w:tcW w:w="5939" w:type="dxa"/>
            <w:tcBorders>
              <w:top w:val="single" w:color="auto" w:sz="4" w:space="0"/>
              <w:left w:val="nil"/>
              <w:bottom w:val="nil"/>
              <w:right w:val="single" w:color="auto" w:sz="4" w:space="0"/>
            </w:tcBorders>
            <w:shd w:val="clear" w:color="auto" w:fill="auto"/>
            <w:vAlign w:val="center"/>
          </w:tcPr>
          <w:p w14:paraId="55371D0F">
            <w:pPr>
              <w:pStyle w:val="30"/>
              <w:widowControl/>
              <w:numPr>
                <w:ilvl w:val="0"/>
                <w:numId w:val="6"/>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患者身份识别信息脱敏；</w:t>
            </w:r>
          </w:p>
        </w:tc>
      </w:tr>
      <w:tr w14:paraId="08116BDF">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shd w:val="clear" w:color="auto" w:fill="auto"/>
            <w:vAlign w:val="center"/>
          </w:tcPr>
          <w:p w14:paraId="24FCF6E8">
            <w:pPr>
              <w:widowControl/>
              <w:jc w:val="center"/>
              <w:rPr>
                <w:rFonts w:ascii="仿宋" w:hAnsi="仿宋" w:eastAsia="仿宋" w:cs="宋体"/>
                <w:color w:val="000000"/>
                <w:kern w:val="0"/>
                <w:szCs w:val="21"/>
              </w:rPr>
            </w:pPr>
          </w:p>
        </w:tc>
        <w:tc>
          <w:tcPr>
            <w:tcW w:w="1417" w:type="dxa"/>
            <w:vMerge w:val="continue"/>
            <w:tcBorders>
              <w:left w:val="single" w:color="auto" w:sz="4" w:space="0"/>
              <w:right w:val="single" w:color="auto" w:sz="4" w:space="0"/>
            </w:tcBorders>
            <w:shd w:val="clear" w:color="auto" w:fill="auto"/>
            <w:vAlign w:val="center"/>
          </w:tcPr>
          <w:p w14:paraId="0616D425">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vAlign w:val="center"/>
          </w:tcPr>
          <w:p w14:paraId="536609B8">
            <w:pPr>
              <w:pStyle w:val="30"/>
              <w:widowControl/>
              <w:numPr>
                <w:ilvl w:val="0"/>
                <w:numId w:val="6"/>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信息存储传输采取国密加密；</w:t>
            </w:r>
          </w:p>
        </w:tc>
      </w:tr>
      <w:tr w14:paraId="1475A86B">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shd w:val="clear" w:color="auto" w:fill="auto"/>
            <w:vAlign w:val="center"/>
          </w:tcPr>
          <w:p w14:paraId="684AD882">
            <w:pPr>
              <w:widowControl/>
              <w:jc w:val="center"/>
              <w:rPr>
                <w:rFonts w:ascii="仿宋" w:hAnsi="仿宋" w:eastAsia="仿宋" w:cs="宋体"/>
                <w:color w:val="000000"/>
                <w:kern w:val="0"/>
                <w:szCs w:val="21"/>
              </w:rPr>
            </w:pPr>
          </w:p>
        </w:tc>
        <w:tc>
          <w:tcPr>
            <w:tcW w:w="1417" w:type="dxa"/>
            <w:vMerge w:val="continue"/>
            <w:tcBorders>
              <w:left w:val="single" w:color="auto" w:sz="4" w:space="0"/>
              <w:right w:val="single" w:color="auto" w:sz="4" w:space="0"/>
            </w:tcBorders>
            <w:shd w:val="clear" w:color="auto" w:fill="auto"/>
            <w:vAlign w:val="center"/>
          </w:tcPr>
          <w:p w14:paraId="4E62AE45">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vAlign w:val="center"/>
          </w:tcPr>
          <w:p w14:paraId="3D9819C1">
            <w:pPr>
              <w:pStyle w:val="30"/>
              <w:widowControl/>
              <w:numPr>
                <w:ilvl w:val="0"/>
                <w:numId w:val="6"/>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满足院方信息安全漏洞扫描要求；</w:t>
            </w:r>
          </w:p>
        </w:tc>
      </w:tr>
      <w:tr w14:paraId="50C7F16F">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shd w:val="clear" w:color="auto" w:fill="auto"/>
            <w:vAlign w:val="center"/>
          </w:tcPr>
          <w:p w14:paraId="325C0052">
            <w:pPr>
              <w:widowControl/>
              <w:jc w:val="center"/>
              <w:rPr>
                <w:rFonts w:ascii="仿宋" w:hAnsi="仿宋" w:eastAsia="仿宋" w:cs="宋体"/>
                <w:color w:val="000000"/>
                <w:kern w:val="0"/>
                <w:szCs w:val="21"/>
              </w:rPr>
            </w:pPr>
          </w:p>
        </w:tc>
        <w:tc>
          <w:tcPr>
            <w:tcW w:w="1417" w:type="dxa"/>
            <w:vMerge w:val="continue"/>
            <w:tcBorders>
              <w:left w:val="single" w:color="auto" w:sz="4" w:space="0"/>
              <w:bottom w:val="single" w:color="auto" w:sz="4" w:space="0"/>
              <w:right w:val="single" w:color="auto" w:sz="4" w:space="0"/>
            </w:tcBorders>
            <w:shd w:val="clear" w:color="auto" w:fill="auto"/>
            <w:vAlign w:val="center"/>
          </w:tcPr>
          <w:p w14:paraId="3A00636E">
            <w:pPr>
              <w:widowControl/>
              <w:jc w:val="left"/>
              <w:rPr>
                <w:rFonts w:ascii="仿宋" w:hAnsi="仿宋" w:eastAsia="仿宋" w:cs="宋体"/>
                <w:color w:val="000000"/>
                <w:kern w:val="0"/>
                <w:szCs w:val="21"/>
              </w:rPr>
            </w:pPr>
          </w:p>
        </w:tc>
        <w:tc>
          <w:tcPr>
            <w:tcW w:w="5939" w:type="dxa"/>
            <w:tcBorders>
              <w:top w:val="nil"/>
              <w:left w:val="nil"/>
              <w:bottom w:val="single" w:color="auto" w:sz="4" w:space="0"/>
              <w:right w:val="single" w:color="auto" w:sz="4" w:space="0"/>
            </w:tcBorders>
            <w:shd w:val="clear" w:color="auto" w:fill="auto"/>
            <w:vAlign w:val="center"/>
          </w:tcPr>
          <w:p w14:paraId="0F1D584B">
            <w:pPr>
              <w:pStyle w:val="30"/>
              <w:widowControl/>
              <w:numPr>
                <w:ilvl w:val="0"/>
                <w:numId w:val="6"/>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配合院方安全等保整改和国密整改。</w:t>
            </w:r>
          </w:p>
        </w:tc>
      </w:tr>
      <w:tr w14:paraId="52DC78F0">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shd w:val="clear" w:color="auto" w:fill="auto"/>
            <w:vAlign w:val="center"/>
          </w:tcPr>
          <w:p w14:paraId="3EFB2866">
            <w:pPr>
              <w:widowControl/>
              <w:jc w:val="center"/>
              <w:rPr>
                <w:rFonts w:ascii="仿宋" w:hAnsi="仿宋" w:eastAsia="仿宋" w:cs="宋体"/>
                <w:color w:val="000000"/>
                <w:kern w:val="0"/>
                <w:szCs w:val="21"/>
              </w:rPr>
            </w:pPr>
          </w:p>
        </w:tc>
        <w:tc>
          <w:tcPr>
            <w:tcW w:w="1417" w:type="dxa"/>
            <w:vMerge w:val="restart"/>
            <w:tcBorders>
              <w:top w:val="single" w:color="auto" w:sz="4" w:space="0"/>
              <w:left w:val="single" w:color="auto" w:sz="4" w:space="0"/>
              <w:right w:val="single" w:color="auto" w:sz="4" w:space="0"/>
            </w:tcBorders>
            <w:shd w:val="clear" w:color="auto" w:fill="auto"/>
            <w:vAlign w:val="center"/>
          </w:tcPr>
          <w:p w14:paraId="1FDB51E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本地部署</w:t>
            </w:r>
          </w:p>
        </w:tc>
        <w:tc>
          <w:tcPr>
            <w:tcW w:w="5939" w:type="dxa"/>
            <w:tcBorders>
              <w:top w:val="single" w:color="auto" w:sz="4" w:space="0"/>
              <w:left w:val="nil"/>
              <w:bottom w:val="nil"/>
              <w:right w:val="single" w:color="auto" w:sz="4" w:space="0"/>
            </w:tcBorders>
            <w:shd w:val="clear" w:color="auto" w:fill="auto"/>
            <w:vAlign w:val="center"/>
          </w:tcPr>
          <w:p w14:paraId="0B756DAD">
            <w:pPr>
              <w:pStyle w:val="30"/>
              <w:widowControl/>
              <w:numPr>
                <w:ilvl w:val="0"/>
                <w:numId w:val="7"/>
              </w:numPr>
              <w:ind w:firstLineChars="0"/>
              <w:rPr>
                <w:rFonts w:hint="eastAsia" w:ascii="仿宋" w:hAnsi="仿宋" w:eastAsia="仿宋" w:cs="宋体"/>
                <w:color w:val="000000"/>
                <w:kern w:val="0"/>
                <w:szCs w:val="21"/>
              </w:rPr>
            </w:pPr>
            <w:r>
              <w:rPr>
                <w:rFonts w:hint="eastAsia" w:ascii="仿宋" w:hAnsi="仿宋" w:eastAsia="仿宋" w:cs="宋体"/>
                <w:color w:val="000000"/>
                <w:kern w:val="0"/>
                <w:szCs w:val="21"/>
              </w:rPr>
              <w:t>支持通过内网静态ip访问服务；</w:t>
            </w:r>
          </w:p>
        </w:tc>
      </w:tr>
      <w:tr w14:paraId="357465FC">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shd w:val="clear" w:color="auto" w:fill="auto"/>
            <w:vAlign w:val="center"/>
          </w:tcPr>
          <w:p w14:paraId="149BCA88">
            <w:pPr>
              <w:widowControl/>
              <w:jc w:val="center"/>
              <w:rPr>
                <w:rFonts w:ascii="仿宋" w:hAnsi="仿宋" w:eastAsia="仿宋" w:cs="宋体"/>
                <w:color w:val="000000"/>
                <w:kern w:val="0"/>
                <w:szCs w:val="21"/>
              </w:rPr>
            </w:pPr>
          </w:p>
        </w:tc>
        <w:tc>
          <w:tcPr>
            <w:tcW w:w="1417" w:type="dxa"/>
            <w:vMerge w:val="continue"/>
            <w:tcBorders>
              <w:left w:val="single" w:color="auto" w:sz="4" w:space="0"/>
              <w:bottom w:val="single" w:color="auto" w:sz="4" w:space="0"/>
              <w:right w:val="single" w:color="auto" w:sz="4" w:space="0"/>
            </w:tcBorders>
            <w:shd w:val="clear" w:color="auto" w:fill="auto"/>
            <w:vAlign w:val="center"/>
          </w:tcPr>
          <w:p w14:paraId="602BA907">
            <w:pPr>
              <w:widowControl/>
              <w:jc w:val="left"/>
              <w:rPr>
                <w:rFonts w:ascii="仿宋" w:hAnsi="仿宋" w:eastAsia="仿宋" w:cs="宋体"/>
                <w:color w:val="000000"/>
                <w:kern w:val="0"/>
                <w:szCs w:val="21"/>
              </w:rPr>
            </w:pPr>
          </w:p>
        </w:tc>
        <w:tc>
          <w:tcPr>
            <w:tcW w:w="5939" w:type="dxa"/>
            <w:tcBorders>
              <w:top w:val="nil"/>
              <w:left w:val="nil"/>
              <w:bottom w:val="single" w:color="auto" w:sz="4" w:space="0"/>
              <w:right w:val="single" w:color="auto" w:sz="4" w:space="0"/>
            </w:tcBorders>
            <w:shd w:val="clear" w:color="auto" w:fill="auto"/>
            <w:vAlign w:val="center"/>
          </w:tcPr>
          <w:p w14:paraId="73048DAD">
            <w:pPr>
              <w:pStyle w:val="30"/>
              <w:widowControl/>
              <w:numPr>
                <w:ilvl w:val="0"/>
                <w:numId w:val="7"/>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支持集群访问。</w:t>
            </w:r>
          </w:p>
        </w:tc>
      </w:tr>
      <w:tr w14:paraId="58DA2638">
        <w:tblPrEx>
          <w:tblCellMar>
            <w:top w:w="0" w:type="dxa"/>
            <w:left w:w="108" w:type="dxa"/>
            <w:bottom w:w="0" w:type="dxa"/>
            <w:right w:w="108" w:type="dxa"/>
          </w:tblCellMar>
        </w:tblPrEx>
        <w:trPr>
          <w:trHeight w:val="1350" w:hRule="atLeast"/>
        </w:trPr>
        <w:tc>
          <w:tcPr>
            <w:tcW w:w="999" w:type="dxa"/>
            <w:vMerge w:val="continue"/>
            <w:tcBorders>
              <w:left w:val="single" w:color="auto" w:sz="4" w:space="0"/>
              <w:right w:val="single" w:color="auto" w:sz="4" w:space="0"/>
            </w:tcBorders>
            <w:vAlign w:val="center"/>
          </w:tcPr>
          <w:p w14:paraId="5D16FEC9">
            <w:pPr>
              <w:widowControl/>
              <w:jc w:val="left"/>
              <w:rPr>
                <w:rFonts w:ascii="仿宋" w:hAnsi="仿宋" w:eastAsia="仿宋"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639412E">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病种纳排</w:t>
            </w:r>
          </w:p>
        </w:tc>
        <w:tc>
          <w:tcPr>
            <w:tcW w:w="5939" w:type="dxa"/>
            <w:tcBorders>
              <w:top w:val="single" w:color="auto" w:sz="4" w:space="0"/>
              <w:left w:val="nil"/>
              <w:bottom w:val="nil"/>
              <w:right w:val="single" w:color="auto" w:sz="4" w:space="0"/>
            </w:tcBorders>
            <w:shd w:val="clear" w:color="auto" w:fill="auto"/>
            <w:vAlign w:val="center"/>
          </w:tcPr>
          <w:p w14:paraId="6D866B95">
            <w:pPr>
              <w:widowControl/>
              <w:numPr>
                <w:ilvl w:val="0"/>
                <w:numId w:val="8"/>
              </w:numPr>
              <w:rPr>
                <w:rFonts w:hint="eastAsia" w:ascii="仿宋" w:hAnsi="仿宋" w:eastAsia="仿宋" w:cs="宋体"/>
                <w:color w:val="000000"/>
                <w:kern w:val="0"/>
                <w:szCs w:val="21"/>
              </w:rPr>
            </w:pPr>
            <w:r>
              <w:rPr>
                <w:rFonts w:hint="eastAsia" w:ascii="仿宋" w:hAnsi="仿宋" w:eastAsia="仿宋" w:cs="宋体"/>
                <w:color w:val="000000"/>
                <w:kern w:val="0"/>
                <w:szCs w:val="21"/>
              </w:rPr>
              <w:t>患者自动入组纳排的基线条件配置，为患者类型、门诊诊断、住院主要诊断、门诊科室、入院科室、出院科室的组合过滤条件。</w:t>
            </w:r>
          </w:p>
        </w:tc>
      </w:tr>
      <w:tr w14:paraId="2A431365">
        <w:tblPrEx>
          <w:tblCellMar>
            <w:top w:w="0" w:type="dxa"/>
            <w:left w:w="108" w:type="dxa"/>
            <w:bottom w:w="0" w:type="dxa"/>
            <w:right w:w="108" w:type="dxa"/>
          </w:tblCellMar>
        </w:tblPrEx>
        <w:trPr>
          <w:trHeight w:val="1350" w:hRule="atLeast"/>
        </w:trPr>
        <w:tc>
          <w:tcPr>
            <w:tcW w:w="999" w:type="dxa"/>
            <w:vMerge w:val="continue"/>
            <w:tcBorders>
              <w:left w:val="single" w:color="auto" w:sz="4" w:space="0"/>
              <w:right w:val="single" w:color="auto" w:sz="4" w:space="0"/>
            </w:tcBorders>
            <w:vAlign w:val="center"/>
          </w:tcPr>
          <w:p w14:paraId="2842D8DA">
            <w:pPr>
              <w:widowControl/>
              <w:jc w:val="left"/>
              <w:rPr>
                <w:rFonts w:ascii="仿宋" w:hAnsi="仿宋" w:eastAsia="仿宋" w:cs="宋体"/>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463E6F">
            <w:pPr>
              <w:widowControl/>
              <w:rPr>
                <w:rFonts w:ascii="仿宋" w:hAnsi="仿宋" w:eastAsia="仿宋" w:cs="宋体"/>
                <w:color w:val="000000"/>
                <w:kern w:val="0"/>
                <w:szCs w:val="21"/>
              </w:rPr>
            </w:pPr>
            <w:r>
              <w:rPr>
                <w:rFonts w:hint="eastAsia" w:ascii="仿宋" w:hAnsi="仿宋" w:eastAsia="仿宋" w:cs="宋体"/>
                <w:color w:val="000000"/>
                <w:kern w:val="0"/>
                <w:szCs w:val="21"/>
              </w:rPr>
              <w:t>通用型专病库/结构化病例报告表编辑器（CRF编辑器）</w:t>
            </w:r>
          </w:p>
        </w:tc>
        <w:tc>
          <w:tcPr>
            <w:tcW w:w="5939" w:type="dxa"/>
            <w:tcBorders>
              <w:top w:val="single" w:color="auto" w:sz="4" w:space="0"/>
              <w:left w:val="nil"/>
              <w:bottom w:val="nil"/>
              <w:right w:val="single" w:color="auto" w:sz="4" w:space="0"/>
            </w:tcBorders>
            <w:shd w:val="clear" w:color="auto" w:fill="auto"/>
            <w:vAlign w:val="center"/>
          </w:tcPr>
          <w:p w14:paraId="641A4CC5">
            <w:pPr>
              <w:pStyle w:val="30"/>
              <w:widowControl/>
              <w:numPr>
                <w:ilvl w:val="0"/>
                <w:numId w:val="9"/>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通过拖拽组件的方式完成CRF模板化配置，其中组件包括常规组件和业务组件。包括：短文本输入框，横向选择单选项，下拉选择单选项，横向选择多选项，下拉选择多选项，地区，年，年月，年月日，日期范围，时间，长文本输入框，检验表格，检查表格，诊断治疗表格；</w:t>
            </w:r>
          </w:p>
        </w:tc>
      </w:tr>
      <w:tr w14:paraId="7239D94B">
        <w:tblPrEx>
          <w:tblCellMar>
            <w:top w:w="0" w:type="dxa"/>
            <w:left w:w="108" w:type="dxa"/>
            <w:bottom w:w="0" w:type="dxa"/>
            <w:right w:w="108" w:type="dxa"/>
          </w:tblCellMar>
        </w:tblPrEx>
        <w:trPr>
          <w:trHeight w:val="540" w:hRule="atLeast"/>
        </w:trPr>
        <w:tc>
          <w:tcPr>
            <w:tcW w:w="999" w:type="dxa"/>
            <w:vMerge w:val="continue"/>
            <w:tcBorders>
              <w:left w:val="single" w:color="auto" w:sz="4" w:space="0"/>
              <w:right w:val="single" w:color="auto" w:sz="4" w:space="0"/>
            </w:tcBorders>
            <w:vAlign w:val="center"/>
          </w:tcPr>
          <w:p w14:paraId="106614F3">
            <w:pPr>
              <w:widowControl/>
              <w:jc w:val="left"/>
              <w:rPr>
                <w:rFonts w:ascii="仿宋" w:hAnsi="仿宋" w:eastAsia="仿宋"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14:paraId="7F57DAC7">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vAlign w:val="center"/>
          </w:tcPr>
          <w:p w14:paraId="4036DC2D">
            <w:pPr>
              <w:pStyle w:val="30"/>
              <w:widowControl/>
              <w:numPr>
                <w:ilvl w:val="0"/>
                <w:numId w:val="9"/>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支持病例报告表快速构建，即可选用模版化组件，如患者基本信息组件，并支持基于信息组件做二次编辑；</w:t>
            </w:r>
          </w:p>
        </w:tc>
      </w:tr>
      <w:tr w14:paraId="098E4331">
        <w:tblPrEx>
          <w:tblCellMar>
            <w:top w:w="0" w:type="dxa"/>
            <w:left w:w="108" w:type="dxa"/>
            <w:bottom w:w="0" w:type="dxa"/>
            <w:right w:w="108" w:type="dxa"/>
          </w:tblCellMar>
        </w:tblPrEx>
        <w:trPr>
          <w:trHeight w:val="540" w:hRule="atLeast"/>
        </w:trPr>
        <w:tc>
          <w:tcPr>
            <w:tcW w:w="999" w:type="dxa"/>
            <w:vMerge w:val="continue"/>
            <w:tcBorders>
              <w:left w:val="single" w:color="auto" w:sz="4" w:space="0"/>
              <w:right w:val="single" w:color="auto" w:sz="4" w:space="0"/>
            </w:tcBorders>
            <w:vAlign w:val="center"/>
          </w:tcPr>
          <w:p w14:paraId="5E07B718">
            <w:pPr>
              <w:widowControl/>
              <w:jc w:val="left"/>
              <w:rPr>
                <w:rFonts w:ascii="仿宋" w:hAnsi="仿宋" w:eastAsia="仿宋"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14:paraId="37435D1A">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vAlign w:val="center"/>
          </w:tcPr>
          <w:p w14:paraId="50987203">
            <w:pPr>
              <w:pStyle w:val="30"/>
              <w:widowControl/>
              <w:numPr>
                <w:ilvl w:val="0"/>
                <w:numId w:val="9"/>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支持病例报告表横向扩展，即单次就诊事件同一指标的多次记录；</w:t>
            </w:r>
          </w:p>
        </w:tc>
      </w:tr>
      <w:tr w14:paraId="4E6FD08C">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vAlign w:val="center"/>
          </w:tcPr>
          <w:p w14:paraId="24BB72EB">
            <w:pPr>
              <w:widowControl/>
              <w:jc w:val="left"/>
              <w:rPr>
                <w:rFonts w:ascii="仿宋" w:hAnsi="仿宋" w:eastAsia="仿宋"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14:paraId="64C0EA7F">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vAlign w:val="center"/>
          </w:tcPr>
          <w:p w14:paraId="4E2679A4">
            <w:pPr>
              <w:pStyle w:val="30"/>
              <w:widowControl/>
              <w:numPr>
                <w:ilvl w:val="0"/>
                <w:numId w:val="9"/>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支持病例报告表至四级树形架构；</w:t>
            </w:r>
          </w:p>
        </w:tc>
      </w:tr>
      <w:tr w14:paraId="356ABF87">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vAlign w:val="center"/>
          </w:tcPr>
          <w:p w14:paraId="1CE6E54F">
            <w:pPr>
              <w:widowControl/>
              <w:jc w:val="left"/>
              <w:rPr>
                <w:rFonts w:ascii="仿宋" w:hAnsi="仿宋" w:eastAsia="仿宋"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14:paraId="14273505">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vAlign w:val="center"/>
          </w:tcPr>
          <w:p w14:paraId="008AAAC9">
            <w:pPr>
              <w:pStyle w:val="30"/>
              <w:widowControl/>
              <w:numPr>
                <w:ilvl w:val="0"/>
                <w:numId w:val="9"/>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支持字段间基于取值的依赖关系配置；</w:t>
            </w:r>
          </w:p>
        </w:tc>
      </w:tr>
      <w:tr w14:paraId="49C7B683">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vAlign w:val="center"/>
          </w:tcPr>
          <w:p w14:paraId="1780A301">
            <w:pPr>
              <w:widowControl/>
              <w:jc w:val="left"/>
              <w:rPr>
                <w:rFonts w:ascii="仿宋" w:hAnsi="仿宋" w:eastAsia="仿宋"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14:paraId="03365584">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vAlign w:val="center"/>
          </w:tcPr>
          <w:p w14:paraId="2EA27232">
            <w:pPr>
              <w:pStyle w:val="30"/>
              <w:widowControl/>
              <w:numPr>
                <w:ilvl w:val="0"/>
                <w:numId w:val="9"/>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支持个人检验、检查指标形成趋势图；</w:t>
            </w:r>
          </w:p>
        </w:tc>
      </w:tr>
      <w:tr w14:paraId="5DEC6E4F">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vAlign w:val="center"/>
          </w:tcPr>
          <w:p w14:paraId="36CEE387">
            <w:pPr>
              <w:widowControl/>
              <w:jc w:val="left"/>
              <w:rPr>
                <w:rFonts w:ascii="仿宋" w:hAnsi="仿宋" w:eastAsia="仿宋"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14:paraId="4565A541">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vAlign w:val="center"/>
          </w:tcPr>
          <w:p w14:paraId="606C0729">
            <w:pPr>
              <w:pStyle w:val="30"/>
              <w:widowControl/>
              <w:numPr>
                <w:ilvl w:val="0"/>
                <w:numId w:val="9"/>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支持构建患者多次就诊与随访史记录；</w:t>
            </w:r>
          </w:p>
        </w:tc>
      </w:tr>
      <w:tr w14:paraId="48B129D6">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vAlign w:val="center"/>
          </w:tcPr>
          <w:p w14:paraId="2C7C0F63">
            <w:pPr>
              <w:widowControl/>
              <w:jc w:val="left"/>
              <w:rPr>
                <w:rFonts w:ascii="仿宋" w:hAnsi="仿宋" w:eastAsia="仿宋"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14:paraId="7EEAA55F">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vAlign w:val="center"/>
          </w:tcPr>
          <w:p w14:paraId="4AB72743">
            <w:pPr>
              <w:pStyle w:val="30"/>
              <w:widowControl/>
              <w:numPr>
                <w:ilvl w:val="0"/>
                <w:numId w:val="9"/>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CRF结构版本管理；</w:t>
            </w:r>
          </w:p>
        </w:tc>
      </w:tr>
      <w:tr w14:paraId="7DCA37B7">
        <w:tblPrEx>
          <w:tblCellMar>
            <w:top w:w="0" w:type="dxa"/>
            <w:left w:w="108" w:type="dxa"/>
            <w:bottom w:w="0" w:type="dxa"/>
            <w:right w:w="108" w:type="dxa"/>
          </w:tblCellMar>
        </w:tblPrEx>
        <w:trPr>
          <w:trHeight w:val="540" w:hRule="atLeast"/>
        </w:trPr>
        <w:tc>
          <w:tcPr>
            <w:tcW w:w="999" w:type="dxa"/>
            <w:vMerge w:val="continue"/>
            <w:tcBorders>
              <w:left w:val="single" w:color="auto" w:sz="4" w:space="0"/>
              <w:right w:val="single" w:color="auto" w:sz="4" w:space="0"/>
            </w:tcBorders>
            <w:vAlign w:val="center"/>
          </w:tcPr>
          <w:p w14:paraId="51E68225">
            <w:pPr>
              <w:widowControl/>
              <w:jc w:val="left"/>
              <w:rPr>
                <w:rFonts w:ascii="仿宋" w:hAnsi="仿宋" w:eastAsia="仿宋" w:cs="宋体"/>
                <w:color w:val="000000"/>
                <w:kern w:val="0"/>
                <w:szCs w:val="21"/>
              </w:rPr>
            </w:pP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14:paraId="51D58143">
            <w:pPr>
              <w:widowControl/>
              <w:rPr>
                <w:rFonts w:ascii="仿宋" w:hAnsi="仿宋" w:eastAsia="仿宋" w:cs="宋体"/>
                <w:color w:val="000000"/>
                <w:kern w:val="0"/>
                <w:szCs w:val="21"/>
              </w:rPr>
            </w:pPr>
            <w:r>
              <w:rPr>
                <w:rFonts w:hint="eastAsia" w:ascii="仿宋" w:hAnsi="仿宋" w:eastAsia="仿宋" w:cs="宋体"/>
                <w:color w:val="000000"/>
                <w:kern w:val="0"/>
                <w:szCs w:val="21"/>
              </w:rPr>
              <w:t>病例报告表浏览器</w:t>
            </w:r>
          </w:p>
        </w:tc>
        <w:tc>
          <w:tcPr>
            <w:tcW w:w="5939" w:type="dxa"/>
            <w:tcBorders>
              <w:top w:val="nil"/>
              <w:left w:val="nil"/>
              <w:bottom w:val="nil"/>
              <w:right w:val="single" w:color="auto" w:sz="4" w:space="0"/>
            </w:tcBorders>
            <w:shd w:val="clear" w:color="auto" w:fill="auto"/>
            <w:vAlign w:val="center"/>
          </w:tcPr>
          <w:p w14:paraId="6994DC44">
            <w:pPr>
              <w:pStyle w:val="30"/>
              <w:numPr>
                <w:ilvl w:val="0"/>
                <w:numId w:val="10"/>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支持配置多指标组合趋势视图，可集中展示这些指标组合及最近多次就诊记录的趋势变化；</w:t>
            </w:r>
          </w:p>
        </w:tc>
      </w:tr>
      <w:tr w14:paraId="3E551C43">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vAlign w:val="center"/>
          </w:tcPr>
          <w:p w14:paraId="0A0A9EF0">
            <w:pPr>
              <w:widowControl/>
              <w:jc w:val="left"/>
              <w:rPr>
                <w:rFonts w:ascii="仿宋" w:hAnsi="仿宋" w:eastAsia="仿宋"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14:paraId="66BD7D10">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vAlign w:val="center"/>
          </w:tcPr>
          <w:p w14:paraId="17E7B2D4">
            <w:pPr>
              <w:pStyle w:val="30"/>
              <w:numPr>
                <w:ilvl w:val="0"/>
                <w:numId w:val="10"/>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支持筛选条件重置；</w:t>
            </w:r>
          </w:p>
        </w:tc>
      </w:tr>
      <w:tr w14:paraId="0122F797">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vAlign w:val="center"/>
          </w:tcPr>
          <w:p w14:paraId="419F8F49">
            <w:pPr>
              <w:widowControl/>
              <w:jc w:val="left"/>
              <w:rPr>
                <w:rFonts w:ascii="仿宋" w:hAnsi="仿宋" w:eastAsia="仿宋"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14:paraId="596473CD">
            <w:pPr>
              <w:widowControl/>
              <w:jc w:val="left"/>
              <w:rPr>
                <w:rFonts w:ascii="仿宋" w:hAnsi="仿宋" w:eastAsia="仿宋" w:cs="宋体"/>
                <w:color w:val="000000"/>
                <w:kern w:val="0"/>
                <w:szCs w:val="21"/>
              </w:rPr>
            </w:pPr>
          </w:p>
        </w:tc>
        <w:tc>
          <w:tcPr>
            <w:tcW w:w="5939" w:type="dxa"/>
            <w:tcBorders>
              <w:top w:val="nil"/>
              <w:left w:val="nil"/>
              <w:bottom w:val="single" w:color="auto" w:sz="4" w:space="0"/>
              <w:right w:val="single" w:color="auto" w:sz="4" w:space="0"/>
            </w:tcBorders>
            <w:shd w:val="clear" w:color="auto" w:fill="auto"/>
            <w:vAlign w:val="center"/>
          </w:tcPr>
          <w:p w14:paraId="6BDCF880">
            <w:pPr>
              <w:pStyle w:val="30"/>
              <w:numPr>
                <w:ilvl w:val="0"/>
                <w:numId w:val="10"/>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对自动采集未获得取值的字段可手工编辑录入；</w:t>
            </w:r>
          </w:p>
          <w:p w14:paraId="4F64051F">
            <w:pPr>
              <w:pStyle w:val="30"/>
              <w:numPr>
                <w:ilvl w:val="0"/>
                <w:numId w:val="10"/>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支持对搜索到的患者进行筛选并统计，包括患者性别分布、就诊年龄分布等统计图表；</w:t>
            </w:r>
          </w:p>
          <w:p w14:paraId="5894AE51">
            <w:pPr>
              <w:pStyle w:val="30"/>
              <w:numPr>
                <w:ilvl w:val="0"/>
                <w:numId w:val="10"/>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浏览报告详情时支持多份病例页中前后切换，图片影像支持外链至360视图。</w:t>
            </w:r>
          </w:p>
        </w:tc>
      </w:tr>
      <w:tr w14:paraId="245AF704">
        <w:tblPrEx>
          <w:tblCellMar>
            <w:top w:w="0" w:type="dxa"/>
            <w:left w:w="108" w:type="dxa"/>
            <w:bottom w:w="0" w:type="dxa"/>
            <w:right w:w="108" w:type="dxa"/>
          </w:tblCellMar>
        </w:tblPrEx>
        <w:trPr>
          <w:trHeight w:val="540" w:hRule="atLeast"/>
        </w:trPr>
        <w:tc>
          <w:tcPr>
            <w:tcW w:w="999" w:type="dxa"/>
            <w:vMerge w:val="continue"/>
            <w:tcBorders>
              <w:left w:val="single" w:color="auto" w:sz="4" w:space="0"/>
              <w:right w:val="single" w:color="auto" w:sz="4" w:space="0"/>
            </w:tcBorders>
            <w:vAlign w:val="center"/>
          </w:tcPr>
          <w:p w14:paraId="6D509592">
            <w:pPr>
              <w:widowControl/>
              <w:jc w:val="left"/>
              <w:rPr>
                <w:rFonts w:ascii="仿宋" w:hAnsi="仿宋" w:eastAsia="仿宋" w:cs="宋体"/>
                <w:color w:val="000000"/>
                <w:kern w:val="0"/>
                <w:szCs w:val="21"/>
              </w:rPr>
            </w:pP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14:paraId="020AB21C">
            <w:pPr>
              <w:widowControl/>
              <w:rPr>
                <w:rFonts w:ascii="仿宋" w:hAnsi="仿宋" w:eastAsia="仿宋" w:cs="宋体"/>
                <w:color w:val="000000"/>
                <w:kern w:val="0"/>
                <w:szCs w:val="21"/>
              </w:rPr>
            </w:pPr>
            <w:r>
              <w:rPr>
                <w:rFonts w:hint="eastAsia" w:ascii="仿宋" w:hAnsi="仿宋" w:eastAsia="仿宋" w:cs="宋体"/>
                <w:color w:val="000000"/>
                <w:kern w:val="0"/>
                <w:szCs w:val="21"/>
              </w:rPr>
              <w:t>搜索引擎</w:t>
            </w:r>
          </w:p>
        </w:tc>
        <w:tc>
          <w:tcPr>
            <w:tcW w:w="5939" w:type="dxa"/>
            <w:tcBorders>
              <w:top w:val="nil"/>
              <w:left w:val="nil"/>
              <w:bottom w:val="nil"/>
              <w:right w:val="single" w:color="auto" w:sz="4" w:space="0"/>
            </w:tcBorders>
            <w:shd w:val="clear" w:color="auto" w:fill="auto"/>
            <w:vAlign w:val="center"/>
          </w:tcPr>
          <w:p w14:paraId="4A0B4CEC">
            <w:pPr>
              <w:pStyle w:val="30"/>
              <w:widowControl/>
              <w:numPr>
                <w:ilvl w:val="0"/>
                <w:numId w:val="11"/>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支持根据患者门诊号、住院号、身份证，精确查询指定业务数据（门诊电子病历、住院电子病历等）；</w:t>
            </w:r>
          </w:p>
        </w:tc>
      </w:tr>
      <w:tr w14:paraId="7B5C66A5">
        <w:tblPrEx>
          <w:tblCellMar>
            <w:top w:w="0" w:type="dxa"/>
            <w:left w:w="108" w:type="dxa"/>
            <w:bottom w:w="0" w:type="dxa"/>
            <w:right w:w="108" w:type="dxa"/>
          </w:tblCellMar>
        </w:tblPrEx>
        <w:trPr>
          <w:trHeight w:val="540" w:hRule="atLeast"/>
        </w:trPr>
        <w:tc>
          <w:tcPr>
            <w:tcW w:w="999" w:type="dxa"/>
            <w:vMerge w:val="continue"/>
            <w:tcBorders>
              <w:left w:val="single" w:color="auto" w:sz="4" w:space="0"/>
              <w:right w:val="single" w:color="auto" w:sz="4" w:space="0"/>
            </w:tcBorders>
            <w:vAlign w:val="center"/>
          </w:tcPr>
          <w:p w14:paraId="76B73299">
            <w:pPr>
              <w:widowControl/>
              <w:jc w:val="left"/>
              <w:rPr>
                <w:rFonts w:ascii="仿宋" w:hAnsi="仿宋" w:eastAsia="仿宋"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14:paraId="1FC18AA8">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vAlign w:val="center"/>
          </w:tcPr>
          <w:p w14:paraId="32727871">
            <w:pPr>
              <w:pStyle w:val="30"/>
              <w:widowControl/>
              <w:numPr>
                <w:ilvl w:val="0"/>
                <w:numId w:val="11"/>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支持面向全CRF的结构化字段（数值型、数据字典型），通过组合多条件（与、或）精确检索患者病例；</w:t>
            </w:r>
          </w:p>
        </w:tc>
      </w:tr>
      <w:tr w14:paraId="7230A539">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vAlign w:val="center"/>
          </w:tcPr>
          <w:p w14:paraId="764FAAE5">
            <w:pPr>
              <w:widowControl/>
              <w:jc w:val="left"/>
              <w:rPr>
                <w:rFonts w:ascii="仿宋" w:hAnsi="仿宋" w:eastAsia="仿宋"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14:paraId="3D9199DD">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vAlign w:val="center"/>
          </w:tcPr>
          <w:p w14:paraId="0798B597">
            <w:pPr>
              <w:pStyle w:val="30"/>
              <w:widowControl/>
              <w:numPr>
                <w:ilvl w:val="0"/>
                <w:numId w:val="11"/>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支持字符型字段取值的模糊搜索；</w:t>
            </w:r>
          </w:p>
        </w:tc>
      </w:tr>
      <w:tr w14:paraId="29085F46">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vAlign w:val="center"/>
          </w:tcPr>
          <w:p w14:paraId="1077B49B">
            <w:pPr>
              <w:widowControl/>
              <w:jc w:val="left"/>
              <w:rPr>
                <w:rFonts w:ascii="仿宋" w:hAnsi="仿宋" w:eastAsia="仿宋"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14:paraId="12A6FFF2">
            <w:pPr>
              <w:widowControl/>
              <w:jc w:val="left"/>
              <w:rPr>
                <w:rFonts w:ascii="仿宋" w:hAnsi="仿宋" w:eastAsia="仿宋" w:cs="宋体"/>
                <w:color w:val="000000"/>
                <w:kern w:val="0"/>
                <w:szCs w:val="21"/>
              </w:rPr>
            </w:pPr>
          </w:p>
        </w:tc>
        <w:tc>
          <w:tcPr>
            <w:tcW w:w="5939" w:type="dxa"/>
            <w:tcBorders>
              <w:top w:val="nil"/>
              <w:left w:val="nil"/>
              <w:bottom w:val="single" w:color="auto" w:sz="4" w:space="0"/>
              <w:right w:val="single" w:color="auto" w:sz="4" w:space="0"/>
            </w:tcBorders>
            <w:shd w:val="clear" w:color="auto" w:fill="auto"/>
            <w:vAlign w:val="center"/>
          </w:tcPr>
          <w:p w14:paraId="62B15FD2">
            <w:pPr>
              <w:pStyle w:val="30"/>
              <w:widowControl/>
              <w:numPr>
                <w:ilvl w:val="0"/>
                <w:numId w:val="11"/>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支持搜索记录保存；</w:t>
            </w:r>
          </w:p>
        </w:tc>
      </w:tr>
      <w:tr w14:paraId="4DC4B0E4">
        <w:tblPrEx>
          <w:tblCellMar>
            <w:top w:w="0" w:type="dxa"/>
            <w:left w:w="108" w:type="dxa"/>
            <w:bottom w:w="0" w:type="dxa"/>
            <w:right w:w="108" w:type="dxa"/>
          </w:tblCellMar>
        </w:tblPrEx>
        <w:trPr>
          <w:trHeight w:val="280"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5DF2F602">
            <w:pPr>
              <w:widowControl/>
              <w:jc w:val="left"/>
              <w:rPr>
                <w:rFonts w:ascii="仿宋" w:hAnsi="仿宋" w:eastAsia="仿宋"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CD48264">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课题管理（</w:t>
            </w:r>
            <w:r>
              <w:rPr>
                <w:rFonts w:hint="eastAsia" w:ascii="仿宋" w:hAnsi="仿宋" w:eastAsia="仿宋" w:cs="宋体"/>
                <w:color w:val="000000"/>
                <w:kern w:val="0"/>
                <w:szCs w:val="21"/>
                <w:lang w:val="en-US" w:eastAsia="zh-CN"/>
              </w:rPr>
              <w:t>智慧科研服务</w:t>
            </w:r>
            <w:r>
              <w:rPr>
                <w:rFonts w:hint="eastAsia" w:ascii="仿宋" w:hAnsi="仿宋" w:eastAsia="仿宋" w:cs="宋体"/>
                <w:color w:val="000000"/>
                <w:kern w:val="0"/>
                <w:szCs w:val="21"/>
              </w:rPr>
              <w:t>）</w:t>
            </w:r>
          </w:p>
        </w:tc>
        <w:tc>
          <w:tcPr>
            <w:tcW w:w="5939" w:type="dxa"/>
            <w:tcBorders>
              <w:top w:val="single" w:color="auto" w:sz="4" w:space="0"/>
              <w:left w:val="single" w:color="auto" w:sz="4" w:space="0"/>
              <w:bottom w:val="single" w:color="auto" w:sz="4" w:space="0"/>
              <w:right w:val="single" w:color="auto" w:sz="4" w:space="0"/>
            </w:tcBorders>
            <w:shd w:val="clear" w:color="auto" w:fill="auto"/>
            <w:vAlign w:val="center"/>
          </w:tcPr>
          <w:p w14:paraId="04703E97">
            <w:pPr>
              <w:pStyle w:val="30"/>
              <w:numPr>
                <w:ilvl w:val="0"/>
                <w:numId w:val="12"/>
              </w:numPr>
              <w:adjustRightInd w:val="0"/>
              <w:snapToGrid w:val="0"/>
              <w:ind w:firstLineChars="0"/>
              <w:rPr>
                <w:rFonts w:ascii="仿宋" w:hAnsi="仿宋" w:eastAsia="仿宋"/>
              </w:rPr>
            </w:pPr>
            <w:r>
              <w:rPr>
                <w:rFonts w:hint="eastAsia" w:ascii="仿宋" w:hAnsi="仿宋" w:eastAsia="仿宋"/>
              </w:rPr>
              <w:t>支持在专病数据库下创建课题、编辑课题、删除课题；支持课题基本信息配置，包括课题名称、课题类型、课题状态、课题负责人等；</w:t>
            </w:r>
          </w:p>
          <w:p w14:paraId="611DD0AA">
            <w:pPr>
              <w:pStyle w:val="30"/>
              <w:numPr>
                <w:ilvl w:val="0"/>
                <w:numId w:val="12"/>
              </w:numPr>
              <w:adjustRightInd w:val="0"/>
              <w:snapToGrid w:val="0"/>
              <w:ind w:firstLineChars="0"/>
              <w:rPr>
                <w:rFonts w:ascii="仿宋" w:hAnsi="仿宋" w:eastAsia="仿宋"/>
                <w:szCs w:val="21"/>
              </w:rPr>
            </w:pPr>
            <w:r>
              <w:rPr>
                <w:rFonts w:hint="eastAsia" w:ascii="仿宋" w:hAnsi="仿宋" w:eastAsia="仿宋" w:cs="宋体"/>
                <w:szCs w:val="21"/>
              </w:rPr>
              <w:t>支持创建研究队列并将满足各队列条件的患者分别纳排入组；</w:t>
            </w:r>
          </w:p>
          <w:p w14:paraId="4FDAF13C">
            <w:pPr>
              <w:pStyle w:val="30"/>
              <w:numPr>
                <w:ilvl w:val="0"/>
                <w:numId w:val="12"/>
              </w:numPr>
              <w:adjustRightInd w:val="0"/>
              <w:snapToGrid w:val="0"/>
              <w:ind w:firstLineChars="0"/>
              <w:rPr>
                <w:rFonts w:ascii="仿宋" w:hAnsi="仿宋" w:eastAsia="仿宋"/>
                <w:szCs w:val="21"/>
              </w:rPr>
            </w:pPr>
            <w:r>
              <w:rPr>
                <w:rFonts w:hint="eastAsia" w:ascii="仿宋" w:hAnsi="仿宋" w:eastAsia="仿宋" w:cs="宋体"/>
                <w:szCs w:val="21"/>
              </w:rPr>
              <w:t>支持勾选专病库内的指标作为项目研究指标；</w:t>
            </w:r>
          </w:p>
          <w:p w14:paraId="1D655EB8">
            <w:pPr>
              <w:pStyle w:val="30"/>
              <w:numPr>
                <w:ilvl w:val="0"/>
                <w:numId w:val="12"/>
              </w:numPr>
              <w:adjustRightInd w:val="0"/>
              <w:snapToGrid w:val="0"/>
              <w:ind w:firstLineChars="0"/>
              <w:rPr>
                <w:rFonts w:ascii="仿宋" w:hAnsi="仿宋" w:eastAsia="仿宋"/>
              </w:rPr>
            </w:pPr>
            <w:r>
              <w:rPr>
                <w:rFonts w:hint="eastAsia" w:ascii="仿宋" w:hAnsi="仿宋" w:eastAsia="仿宋" w:cs="宋体"/>
                <w:szCs w:val="21"/>
              </w:rPr>
              <w:t>支持灵活定义研究指标的抽取规则：首次、末次、最大值、最小值、平均值、求和。</w:t>
            </w:r>
          </w:p>
          <w:p w14:paraId="54EF7D1A">
            <w:pPr>
              <w:pStyle w:val="30"/>
              <w:numPr>
                <w:ilvl w:val="0"/>
                <w:numId w:val="12"/>
              </w:numPr>
              <w:adjustRightInd w:val="0"/>
              <w:snapToGrid w:val="0"/>
              <w:ind w:firstLineChars="0"/>
              <w:rPr>
                <w:rFonts w:ascii="仿宋" w:hAnsi="仿宋" w:eastAsia="仿宋"/>
              </w:rPr>
            </w:pPr>
            <w:r>
              <w:rPr>
                <w:rFonts w:hint="eastAsia" w:ascii="仿宋" w:hAnsi="仿宋" w:eastAsia="仿宋" w:cs="宋体"/>
                <w:szCs w:val="21"/>
              </w:rPr>
              <w:t>支持数据预处理（包括连续型指标进行缺失值处理、离散型指标进行值域归一的标准化处理）；</w:t>
            </w:r>
          </w:p>
          <w:p w14:paraId="7E83DB4F">
            <w:pPr>
              <w:pStyle w:val="30"/>
              <w:numPr>
                <w:ilvl w:val="0"/>
                <w:numId w:val="12"/>
              </w:numPr>
              <w:adjustRightInd w:val="0"/>
              <w:snapToGrid w:val="0"/>
              <w:ind w:firstLineChars="0"/>
              <w:rPr>
                <w:rFonts w:ascii="仿宋" w:hAnsi="仿宋" w:eastAsia="仿宋"/>
              </w:rPr>
            </w:pPr>
            <w:r>
              <w:rPr>
                <w:rFonts w:hint="eastAsia" w:ascii="仿宋" w:hAnsi="仿宋" w:eastAsia="仿宋" w:cs="宋体"/>
                <w:szCs w:val="21"/>
              </w:rPr>
              <w:t>支持自定义基线指标，支持自动生成基线表，并自动计算统计值和P值；</w:t>
            </w:r>
          </w:p>
          <w:p w14:paraId="0F9B241A">
            <w:pPr>
              <w:pStyle w:val="30"/>
              <w:numPr>
                <w:ilvl w:val="0"/>
                <w:numId w:val="12"/>
              </w:numPr>
              <w:adjustRightInd w:val="0"/>
              <w:snapToGrid w:val="0"/>
              <w:ind w:firstLineChars="0"/>
              <w:rPr>
                <w:rFonts w:hint="eastAsia" w:ascii="仿宋" w:hAnsi="仿宋" w:eastAsia="仿宋"/>
                <w:color w:val="000000"/>
                <w:kern w:val="0"/>
              </w:rPr>
            </w:pPr>
            <w:r>
              <w:rPr>
                <w:rFonts w:hint="eastAsia" w:ascii="仿宋" w:hAnsi="仿宋" w:eastAsia="仿宋" w:cs="宋体"/>
                <w:szCs w:val="21"/>
              </w:rPr>
              <w:t>支持基线表导出；</w:t>
            </w:r>
          </w:p>
        </w:tc>
      </w:tr>
      <w:tr w14:paraId="16E8CF93">
        <w:tblPrEx>
          <w:tblCellMar>
            <w:top w:w="0" w:type="dxa"/>
            <w:left w:w="108" w:type="dxa"/>
            <w:bottom w:w="0" w:type="dxa"/>
            <w:right w:w="108" w:type="dxa"/>
          </w:tblCellMar>
        </w:tblPrEx>
        <w:trPr>
          <w:trHeight w:val="280"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18100765">
            <w:pPr>
              <w:widowControl/>
              <w:jc w:val="left"/>
              <w:rPr>
                <w:rFonts w:ascii="仿宋" w:hAnsi="仿宋" w:eastAsia="仿宋"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9F87A92">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可视化工具（</w:t>
            </w:r>
            <w:r>
              <w:rPr>
                <w:rFonts w:hint="eastAsia" w:ascii="仿宋" w:hAnsi="仿宋" w:eastAsia="仿宋" w:cs="宋体"/>
                <w:color w:val="000000"/>
                <w:kern w:val="0"/>
                <w:szCs w:val="21"/>
                <w:lang w:val="en-US" w:eastAsia="zh-CN"/>
              </w:rPr>
              <w:t>智慧科研服务</w:t>
            </w:r>
            <w:r>
              <w:rPr>
                <w:rFonts w:hint="eastAsia" w:ascii="仿宋" w:hAnsi="仿宋" w:eastAsia="仿宋" w:cs="宋体"/>
                <w:color w:val="000000"/>
                <w:kern w:val="0"/>
                <w:szCs w:val="21"/>
              </w:rPr>
              <w:t>）</w:t>
            </w:r>
          </w:p>
        </w:tc>
        <w:tc>
          <w:tcPr>
            <w:tcW w:w="5939" w:type="dxa"/>
            <w:tcBorders>
              <w:top w:val="single" w:color="auto" w:sz="4" w:space="0"/>
              <w:left w:val="single" w:color="auto" w:sz="4" w:space="0"/>
              <w:bottom w:val="single" w:color="auto" w:sz="4" w:space="0"/>
              <w:right w:val="single" w:color="auto" w:sz="4" w:space="0"/>
            </w:tcBorders>
            <w:shd w:val="clear" w:color="auto" w:fill="auto"/>
            <w:vAlign w:val="center"/>
          </w:tcPr>
          <w:p w14:paraId="1FD51813">
            <w:pPr>
              <w:pStyle w:val="30"/>
              <w:numPr>
                <w:ilvl w:val="0"/>
                <w:numId w:val="13"/>
              </w:numPr>
              <w:adjustRightInd w:val="0"/>
              <w:snapToGrid w:val="0"/>
              <w:ind w:firstLineChars="0"/>
              <w:rPr>
                <w:rFonts w:ascii="仿宋" w:hAnsi="仿宋" w:eastAsia="仿宋"/>
              </w:rPr>
            </w:pPr>
            <w:r>
              <w:rPr>
                <w:rFonts w:hint="eastAsia" w:ascii="仿宋" w:hAnsi="仿宋" w:eastAsia="仿宋"/>
              </w:rPr>
              <w:t>支持自定义主题分析，包括主题命名、搜索条件预置、可视化样式、可视化参数设定、可视化浏览等；</w:t>
            </w:r>
          </w:p>
          <w:p w14:paraId="4D0943DA">
            <w:pPr>
              <w:pStyle w:val="30"/>
              <w:numPr>
                <w:ilvl w:val="0"/>
                <w:numId w:val="13"/>
              </w:numPr>
              <w:adjustRightInd w:val="0"/>
              <w:snapToGrid w:val="0"/>
              <w:ind w:firstLineChars="0"/>
              <w:rPr>
                <w:rFonts w:ascii="仿宋" w:hAnsi="仿宋" w:eastAsia="仿宋"/>
              </w:rPr>
            </w:pPr>
            <w:r>
              <w:rPr>
                <w:rFonts w:hint="eastAsia" w:ascii="仿宋" w:hAnsi="仿宋" w:eastAsia="仿宋"/>
              </w:rPr>
              <w:t>支持主题的保存和分享（即设定该主题可见的用户）；</w:t>
            </w:r>
          </w:p>
          <w:p w14:paraId="449555D6">
            <w:pPr>
              <w:pStyle w:val="30"/>
              <w:numPr>
                <w:ilvl w:val="0"/>
                <w:numId w:val="13"/>
              </w:numPr>
              <w:adjustRightInd w:val="0"/>
              <w:snapToGrid w:val="0"/>
              <w:ind w:firstLineChars="0"/>
              <w:rPr>
                <w:rFonts w:ascii="仿宋" w:hAnsi="仿宋" w:eastAsia="仿宋"/>
              </w:rPr>
            </w:pPr>
            <w:r>
              <w:rPr>
                <w:rFonts w:hint="eastAsia" w:ascii="仿宋" w:hAnsi="仿宋" w:eastAsia="仿宋"/>
              </w:rPr>
              <w:t>支持柱状图、饼图、散点图、气泡图、折线图、地图、雷达图、报表图等可视化模板；</w:t>
            </w:r>
          </w:p>
          <w:p w14:paraId="0C82F474">
            <w:pPr>
              <w:pStyle w:val="30"/>
              <w:numPr>
                <w:ilvl w:val="0"/>
                <w:numId w:val="13"/>
              </w:numPr>
              <w:adjustRightInd w:val="0"/>
              <w:snapToGrid w:val="0"/>
              <w:ind w:left="360" w:hanging="360" w:firstLineChars="0"/>
              <w:rPr>
                <w:rFonts w:hint="eastAsia" w:ascii="仿宋" w:hAnsi="仿宋" w:eastAsia="仿宋"/>
              </w:rPr>
            </w:pPr>
            <w:r>
              <w:rPr>
                <w:rFonts w:hint="eastAsia" w:ascii="仿宋" w:hAnsi="仿宋" w:eastAsia="仿宋"/>
              </w:rPr>
              <w:t>支持框选视图的缩放；</w:t>
            </w:r>
          </w:p>
        </w:tc>
      </w:tr>
      <w:tr w14:paraId="4FF46346">
        <w:tblPrEx>
          <w:tblCellMar>
            <w:top w:w="0" w:type="dxa"/>
            <w:left w:w="108" w:type="dxa"/>
            <w:bottom w:w="0" w:type="dxa"/>
            <w:right w:w="108" w:type="dxa"/>
          </w:tblCellMar>
        </w:tblPrEx>
        <w:trPr>
          <w:trHeight w:val="280" w:hRule="atLeast"/>
        </w:trPr>
        <w:tc>
          <w:tcPr>
            <w:tcW w:w="999" w:type="dxa"/>
            <w:vMerge w:val="continue"/>
            <w:tcBorders>
              <w:top w:val="single" w:color="auto" w:sz="4" w:space="0"/>
              <w:left w:val="single" w:color="auto" w:sz="4" w:space="0"/>
              <w:right w:val="single" w:color="auto" w:sz="4" w:space="0"/>
            </w:tcBorders>
            <w:vAlign w:val="center"/>
          </w:tcPr>
          <w:p w14:paraId="2C2B60A2">
            <w:pPr>
              <w:widowControl/>
              <w:jc w:val="left"/>
              <w:rPr>
                <w:rFonts w:ascii="仿宋" w:hAnsi="仿宋" w:eastAsia="仿宋" w:cs="宋体"/>
                <w:color w:val="000000"/>
                <w:kern w:val="0"/>
                <w:szCs w:val="21"/>
              </w:rPr>
            </w:pPr>
          </w:p>
        </w:tc>
        <w:tc>
          <w:tcPr>
            <w:tcW w:w="1417" w:type="dxa"/>
            <w:vMerge w:val="restart"/>
            <w:tcBorders>
              <w:top w:val="single" w:color="auto" w:sz="4" w:space="0"/>
              <w:left w:val="single" w:color="auto" w:sz="4" w:space="0"/>
              <w:right w:val="single" w:color="auto" w:sz="4" w:space="0"/>
            </w:tcBorders>
            <w:vAlign w:val="center"/>
          </w:tcPr>
          <w:p w14:paraId="0C1DF2E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数据导出（</w:t>
            </w:r>
            <w:r>
              <w:rPr>
                <w:rFonts w:hint="eastAsia" w:ascii="仿宋" w:hAnsi="仿宋" w:eastAsia="仿宋" w:cs="宋体"/>
                <w:color w:val="000000"/>
                <w:kern w:val="0"/>
                <w:szCs w:val="21"/>
                <w:lang w:val="en-US" w:eastAsia="zh-CN"/>
              </w:rPr>
              <w:t>智慧科研服务</w:t>
            </w:r>
            <w:r>
              <w:rPr>
                <w:rFonts w:hint="eastAsia" w:ascii="仿宋" w:hAnsi="仿宋" w:eastAsia="仿宋" w:cs="宋体"/>
                <w:color w:val="000000"/>
                <w:kern w:val="0"/>
                <w:szCs w:val="21"/>
              </w:rPr>
              <w:t>）</w:t>
            </w:r>
          </w:p>
        </w:tc>
        <w:tc>
          <w:tcPr>
            <w:tcW w:w="5939" w:type="dxa"/>
            <w:tcBorders>
              <w:top w:val="single" w:color="auto" w:sz="4" w:space="0"/>
              <w:left w:val="single" w:color="auto" w:sz="4" w:space="0"/>
              <w:bottom w:val="nil"/>
              <w:right w:val="single" w:color="auto" w:sz="4" w:space="0"/>
            </w:tcBorders>
            <w:shd w:val="clear" w:color="auto" w:fill="auto"/>
            <w:vAlign w:val="center"/>
          </w:tcPr>
          <w:p w14:paraId="75BE268C">
            <w:pPr>
              <w:pStyle w:val="30"/>
              <w:widowControl/>
              <w:numPr>
                <w:ilvl w:val="0"/>
                <w:numId w:val="14"/>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支持符合条件的病例数据经审批后导出；</w:t>
            </w:r>
          </w:p>
        </w:tc>
      </w:tr>
      <w:tr w14:paraId="03ED9F51">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vAlign w:val="center"/>
          </w:tcPr>
          <w:p w14:paraId="3B5D2E21">
            <w:pPr>
              <w:widowControl/>
              <w:jc w:val="left"/>
              <w:rPr>
                <w:rFonts w:ascii="仿宋" w:hAnsi="仿宋" w:eastAsia="仿宋" w:cs="宋体"/>
                <w:color w:val="000000"/>
                <w:kern w:val="0"/>
                <w:szCs w:val="21"/>
              </w:rPr>
            </w:pPr>
          </w:p>
        </w:tc>
        <w:tc>
          <w:tcPr>
            <w:tcW w:w="1417" w:type="dxa"/>
            <w:vMerge w:val="continue"/>
            <w:tcBorders>
              <w:left w:val="single" w:color="auto" w:sz="4" w:space="0"/>
              <w:right w:val="single" w:color="auto" w:sz="4" w:space="0"/>
            </w:tcBorders>
            <w:vAlign w:val="center"/>
          </w:tcPr>
          <w:p w14:paraId="71059FCC">
            <w:pPr>
              <w:widowControl/>
              <w:jc w:val="left"/>
              <w:rPr>
                <w:rFonts w:ascii="仿宋" w:hAnsi="仿宋" w:eastAsia="仿宋" w:cs="宋体"/>
                <w:color w:val="000000"/>
                <w:kern w:val="0"/>
                <w:szCs w:val="21"/>
              </w:rPr>
            </w:pPr>
          </w:p>
        </w:tc>
        <w:tc>
          <w:tcPr>
            <w:tcW w:w="5939" w:type="dxa"/>
            <w:tcBorders>
              <w:top w:val="nil"/>
              <w:left w:val="single" w:color="auto" w:sz="4" w:space="0"/>
              <w:bottom w:val="nil"/>
              <w:right w:val="single" w:color="auto" w:sz="4" w:space="0"/>
            </w:tcBorders>
            <w:shd w:val="clear" w:color="auto" w:fill="auto"/>
            <w:vAlign w:val="center"/>
          </w:tcPr>
          <w:p w14:paraId="173095F6">
            <w:pPr>
              <w:pStyle w:val="30"/>
              <w:widowControl/>
              <w:numPr>
                <w:ilvl w:val="0"/>
                <w:numId w:val="14"/>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支持设定导出病例的条件，过滤条件为病例报告表中存在数据字典值域的字段的取值组合；</w:t>
            </w:r>
          </w:p>
        </w:tc>
      </w:tr>
      <w:tr w14:paraId="33583331">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vAlign w:val="center"/>
          </w:tcPr>
          <w:p w14:paraId="3B347C66">
            <w:pPr>
              <w:widowControl/>
              <w:jc w:val="left"/>
              <w:rPr>
                <w:rFonts w:ascii="仿宋" w:hAnsi="仿宋" w:eastAsia="仿宋" w:cs="宋体"/>
                <w:color w:val="000000"/>
                <w:kern w:val="0"/>
                <w:szCs w:val="21"/>
              </w:rPr>
            </w:pPr>
          </w:p>
        </w:tc>
        <w:tc>
          <w:tcPr>
            <w:tcW w:w="1417" w:type="dxa"/>
            <w:vMerge w:val="continue"/>
            <w:tcBorders>
              <w:left w:val="single" w:color="auto" w:sz="4" w:space="0"/>
              <w:right w:val="single" w:color="auto" w:sz="4" w:space="0"/>
            </w:tcBorders>
            <w:vAlign w:val="center"/>
          </w:tcPr>
          <w:p w14:paraId="57B6B194">
            <w:pPr>
              <w:widowControl/>
              <w:jc w:val="left"/>
              <w:rPr>
                <w:rFonts w:ascii="仿宋" w:hAnsi="仿宋" w:eastAsia="仿宋" w:cs="宋体"/>
                <w:color w:val="000000"/>
                <w:kern w:val="0"/>
                <w:szCs w:val="21"/>
              </w:rPr>
            </w:pPr>
          </w:p>
        </w:tc>
        <w:tc>
          <w:tcPr>
            <w:tcW w:w="5939" w:type="dxa"/>
            <w:tcBorders>
              <w:top w:val="nil"/>
              <w:left w:val="single" w:color="auto" w:sz="4" w:space="0"/>
              <w:bottom w:val="nil"/>
              <w:right w:val="single" w:color="auto" w:sz="4" w:space="0"/>
            </w:tcBorders>
            <w:shd w:val="clear" w:color="auto" w:fill="auto"/>
            <w:vAlign w:val="center"/>
          </w:tcPr>
          <w:p w14:paraId="57B20A97">
            <w:pPr>
              <w:pStyle w:val="30"/>
              <w:widowControl/>
              <w:numPr>
                <w:ilvl w:val="0"/>
                <w:numId w:val="14"/>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支持导出数据存储为excel文件格式；</w:t>
            </w:r>
          </w:p>
        </w:tc>
      </w:tr>
      <w:tr w14:paraId="579F3C20">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vAlign w:val="center"/>
          </w:tcPr>
          <w:p w14:paraId="5C68FDD4">
            <w:pPr>
              <w:widowControl/>
              <w:jc w:val="left"/>
              <w:rPr>
                <w:rFonts w:ascii="仿宋" w:hAnsi="仿宋" w:eastAsia="仿宋" w:cs="宋体"/>
                <w:color w:val="000000"/>
                <w:kern w:val="0"/>
                <w:szCs w:val="21"/>
              </w:rPr>
            </w:pPr>
          </w:p>
        </w:tc>
        <w:tc>
          <w:tcPr>
            <w:tcW w:w="1417" w:type="dxa"/>
            <w:vMerge w:val="continue"/>
            <w:tcBorders>
              <w:left w:val="single" w:color="auto" w:sz="4" w:space="0"/>
              <w:right w:val="single" w:color="auto" w:sz="4" w:space="0"/>
            </w:tcBorders>
            <w:vAlign w:val="center"/>
          </w:tcPr>
          <w:p w14:paraId="3CF195BF">
            <w:pPr>
              <w:widowControl/>
              <w:jc w:val="left"/>
              <w:rPr>
                <w:rFonts w:ascii="仿宋" w:hAnsi="仿宋" w:eastAsia="仿宋" w:cs="宋体"/>
                <w:color w:val="000000"/>
                <w:kern w:val="0"/>
                <w:szCs w:val="21"/>
              </w:rPr>
            </w:pPr>
          </w:p>
        </w:tc>
        <w:tc>
          <w:tcPr>
            <w:tcW w:w="5939" w:type="dxa"/>
            <w:tcBorders>
              <w:top w:val="nil"/>
              <w:left w:val="single" w:color="auto" w:sz="4" w:space="0"/>
              <w:bottom w:val="nil"/>
              <w:right w:val="single" w:color="auto" w:sz="4" w:space="0"/>
            </w:tcBorders>
            <w:shd w:val="clear" w:color="auto" w:fill="auto"/>
            <w:vAlign w:val="center"/>
          </w:tcPr>
          <w:p w14:paraId="53B2F424">
            <w:pPr>
              <w:pStyle w:val="30"/>
              <w:widowControl/>
              <w:numPr>
                <w:ilvl w:val="0"/>
                <w:numId w:val="14"/>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住院记录、门诊记录分别导出；建立患者主索引；</w:t>
            </w:r>
          </w:p>
        </w:tc>
      </w:tr>
      <w:tr w14:paraId="2DE88AA8">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vAlign w:val="center"/>
          </w:tcPr>
          <w:p w14:paraId="2D420F6F">
            <w:pPr>
              <w:widowControl/>
              <w:jc w:val="left"/>
              <w:rPr>
                <w:rFonts w:ascii="仿宋" w:hAnsi="仿宋" w:eastAsia="仿宋" w:cs="宋体"/>
                <w:color w:val="000000"/>
                <w:kern w:val="0"/>
                <w:szCs w:val="21"/>
              </w:rPr>
            </w:pPr>
          </w:p>
        </w:tc>
        <w:tc>
          <w:tcPr>
            <w:tcW w:w="1417" w:type="dxa"/>
            <w:vMerge w:val="continue"/>
            <w:tcBorders>
              <w:left w:val="single" w:color="auto" w:sz="4" w:space="0"/>
              <w:bottom w:val="single" w:color="auto" w:sz="4" w:space="0"/>
              <w:right w:val="single" w:color="auto" w:sz="4" w:space="0"/>
            </w:tcBorders>
            <w:vAlign w:val="center"/>
          </w:tcPr>
          <w:p w14:paraId="742E6580">
            <w:pPr>
              <w:widowControl/>
              <w:jc w:val="left"/>
              <w:rPr>
                <w:rFonts w:ascii="仿宋" w:hAnsi="仿宋" w:eastAsia="仿宋" w:cs="宋体"/>
                <w:color w:val="000000"/>
                <w:kern w:val="0"/>
                <w:szCs w:val="21"/>
              </w:rPr>
            </w:pPr>
          </w:p>
        </w:tc>
        <w:tc>
          <w:tcPr>
            <w:tcW w:w="5939" w:type="dxa"/>
            <w:tcBorders>
              <w:top w:val="nil"/>
              <w:left w:val="single" w:color="auto" w:sz="4" w:space="0"/>
              <w:bottom w:val="single" w:color="auto" w:sz="4" w:space="0"/>
              <w:right w:val="single" w:color="auto" w:sz="4" w:space="0"/>
            </w:tcBorders>
            <w:shd w:val="clear" w:color="auto" w:fill="auto"/>
            <w:vAlign w:val="center"/>
          </w:tcPr>
          <w:p w14:paraId="5003E388">
            <w:pPr>
              <w:pStyle w:val="30"/>
              <w:widowControl/>
              <w:numPr>
                <w:ilvl w:val="0"/>
                <w:numId w:val="14"/>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患者身份信息（姓名、手机号、身份证号、详细家庭住址）不可导出。</w:t>
            </w:r>
          </w:p>
        </w:tc>
      </w:tr>
      <w:tr w14:paraId="6E4D8304">
        <w:tblPrEx>
          <w:tblCellMar>
            <w:top w:w="0" w:type="dxa"/>
            <w:left w:w="108" w:type="dxa"/>
            <w:bottom w:w="0" w:type="dxa"/>
            <w:right w:w="108" w:type="dxa"/>
          </w:tblCellMar>
        </w:tblPrEx>
        <w:trPr>
          <w:trHeight w:val="280" w:hRule="atLeast"/>
        </w:trPr>
        <w:tc>
          <w:tcPr>
            <w:tcW w:w="999" w:type="dxa"/>
            <w:vMerge w:val="continue"/>
            <w:tcBorders>
              <w:left w:val="single" w:color="auto" w:sz="4" w:space="0"/>
              <w:right w:val="single" w:color="auto" w:sz="4" w:space="0"/>
            </w:tcBorders>
            <w:vAlign w:val="center"/>
          </w:tcPr>
          <w:p w14:paraId="27166A45">
            <w:pPr>
              <w:widowControl/>
              <w:jc w:val="left"/>
              <w:rPr>
                <w:rFonts w:ascii="仿宋" w:hAnsi="仿宋" w:eastAsia="仿宋"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196175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统计分析工具集（</w:t>
            </w:r>
            <w:r>
              <w:rPr>
                <w:rFonts w:hint="eastAsia" w:ascii="仿宋" w:hAnsi="仿宋" w:eastAsia="仿宋" w:cs="宋体"/>
                <w:color w:val="000000"/>
                <w:kern w:val="0"/>
                <w:szCs w:val="21"/>
                <w:lang w:val="en-US" w:eastAsia="zh-CN"/>
              </w:rPr>
              <w:t>智慧科研服务</w:t>
            </w:r>
            <w:r>
              <w:rPr>
                <w:rFonts w:hint="eastAsia" w:ascii="仿宋" w:hAnsi="仿宋" w:eastAsia="仿宋" w:cs="宋体"/>
                <w:color w:val="000000"/>
                <w:kern w:val="0"/>
                <w:szCs w:val="21"/>
              </w:rPr>
              <w:t>）</w:t>
            </w:r>
          </w:p>
        </w:tc>
        <w:tc>
          <w:tcPr>
            <w:tcW w:w="5939" w:type="dxa"/>
            <w:tcBorders>
              <w:top w:val="single" w:color="auto" w:sz="4" w:space="0"/>
              <w:left w:val="single" w:color="auto" w:sz="4" w:space="0"/>
              <w:bottom w:val="single" w:color="auto" w:sz="4" w:space="0"/>
              <w:right w:val="single" w:color="auto" w:sz="4" w:space="0"/>
            </w:tcBorders>
            <w:shd w:val="clear" w:color="auto" w:fill="auto"/>
            <w:vAlign w:val="center"/>
          </w:tcPr>
          <w:p w14:paraId="4BF5C3FF">
            <w:pPr>
              <w:pStyle w:val="30"/>
              <w:numPr>
                <w:ilvl w:val="0"/>
                <w:numId w:val="15"/>
              </w:numPr>
              <w:adjustRightInd w:val="0"/>
              <w:snapToGrid w:val="0"/>
              <w:ind w:firstLineChars="0"/>
              <w:rPr>
                <w:rFonts w:ascii="仿宋" w:hAnsi="仿宋" w:eastAsia="仿宋"/>
              </w:rPr>
            </w:pPr>
            <w:r>
              <w:rPr>
                <w:rFonts w:hint="eastAsia" w:ascii="仿宋" w:hAnsi="仿宋" w:eastAsia="仿宋"/>
              </w:rPr>
              <w:t>支持通过拖拽的方式完成算法变量配置；</w:t>
            </w:r>
          </w:p>
          <w:p w14:paraId="2E6CD8DE">
            <w:pPr>
              <w:pStyle w:val="30"/>
              <w:numPr>
                <w:ilvl w:val="0"/>
                <w:numId w:val="15"/>
              </w:numPr>
              <w:adjustRightInd w:val="0"/>
              <w:snapToGrid w:val="0"/>
              <w:ind w:firstLineChars="0"/>
              <w:rPr>
                <w:rFonts w:ascii="仿宋" w:hAnsi="仿宋" w:eastAsia="仿宋"/>
              </w:rPr>
            </w:pPr>
            <w:r>
              <w:rPr>
                <w:rFonts w:hint="eastAsia" w:ascii="仿宋" w:hAnsi="仿宋" w:eastAsia="仿宋"/>
              </w:rPr>
              <w:t>支持关键字模糊搜索、各变量根据变量类型（定类、定量）标记标签，同时标记各变量在数据集中的样本量。</w:t>
            </w:r>
          </w:p>
          <w:p w14:paraId="20C87E37">
            <w:pPr>
              <w:pStyle w:val="30"/>
              <w:numPr>
                <w:ilvl w:val="0"/>
                <w:numId w:val="15"/>
              </w:numPr>
              <w:adjustRightInd w:val="0"/>
              <w:snapToGrid w:val="0"/>
              <w:ind w:firstLineChars="0"/>
              <w:rPr>
                <w:rFonts w:ascii="仿宋" w:hAnsi="仿宋" w:eastAsia="仿宋"/>
              </w:rPr>
            </w:pPr>
            <w:r>
              <w:rPr>
                <w:rFonts w:hint="eastAsia" w:ascii="仿宋" w:hAnsi="仿宋" w:eastAsia="仿宋"/>
              </w:rPr>
              <w:t>支持分析记录自动保存。</w:t>
            </w:r>
            <w:r>
              <w:rPr>
                <w:rFonts w:hint="eastAsia" w:ascii="仿宋" w:hAnsi="仿宋" w:eastAsia="仿宋"/>
                <w:snapToGrid w:val="0"/>
                <w:szCs w:val="21"/>
              </w:rPr>
              <w:t>当历史分析记录的数据样本发生变化时自动提示用户。同时支持按日期倒序排列和按算法名首字母顺序排序；</w:t>
            </w:r>
          </w:p>
          <w:p w14:paraId="469EB4FC">
            <w:pPr>
              <w:pStyle w:val="30"/>
              <w:numPr>
                <w:ilvl w:val="0"/>
                <w:numId w:val="15"/>
              </w:numPr>
              <w:adjustRightInd w:val="0"/>
              <w:snapToGrid w:val="0"/>
              <w:ind w:firstLineChars="0"/>
              <w:rPr>
                <w:rFonts w:ascii="仿宋" w:hAnsi="仿宋" w:eastAsia="仿宋"/>
              </w:rPr>
            </w:pPr>
            <w:r>
              <w:rPr>
                <w:rFonts w:hint="eastAsia" w:ascii="仿宋" w:hAnsi="仿宋" w:eastAsia="仿宋"/>
              </w:rPr>
              <w:t>支持各类常见的临床统计分析工具对数据进行分析。</w:t>
            </w:r>
          </w:p>
          <w:p w14:paraId="5191F971">
            <w:pPr>
              <w:pStyle w:val="30"/>
              <w:numPr>
                <w:ilvl w:val="0"/>
                <w:numId w:val="15"/>
              </w:numPr>
              <w:adjustRightInd w:val="0"/>
              <w:snapToGrid w:val="0"/>
              <w:ind w:firstLineChars="0"/>
              <w:rPr>
                <w:rFonts w:ascii="仿宋" w:hAnsi="仿宋" w:eastAsia="仿宋"/>
              </w:rPr>
            </w:pPr>
            <w:r>
              <w:rPr>
                <w:rFonts w:hint="eastAsia" w:ascii="仿宋" w:hAnsi="仿宋" w:eastAsia="仿宋"/>
              </w:rPr>
              <w:t>支持描述性分析，包括：描述性统计、正态性检验、方差齐次检验；</w:t>
            </w:r>
          </w:p>
          <w:p w14:paraId="681B5258">
            <w:pPr>
              <w:pStyle w:val="30"/>
              <w:numPr>
                <w:ilvl w:val="0"/>
                <w:numId w:val="15"/>
              </w:numPr>
              <w:adjustRightInd w:val="0"/>
              <w:snapToGrid w:val="0"/>
              <w:ind w:firstLineChars="0"/>
              <w:rPr>
                <w:rFonts w:ascii="仿宋" w:hAnsi="仿宋" w:eastAsia="仿宋"/>
              </w:rPr>
            </w:pPr>
            <w:r>
              <w:rPr>
                <w:rFonts w:hint="eastAsia" w:ascii="仿宋" w:hAnsi="仿宋" w:eastAsia="仿宋"/>
              </w:rPr>
              <w:t>支持相关性分析，包括：Pearson相关分析、Spearman相关性分析；</w:t>
            </w:r>
          </w:p>
          <w:p w14:paraId="7B32E231">
            <w:pPr>
              <w:pStyle w:val="30"/>
              <w:numPr>
                <w:ilvl w:val="0"/>
                <w:numId w:val="15"/>
              </w:numPr>
              <w:adjustRightInd w:val="0"/>
              <w:snapToGrid w:val="0"/>
              <w:ind w:firstLineChars="0"/>
              <w:rPr>
                <w:rFonts w:ascii="仿宋" w:hAnsi="仿宋" w:eastAsia="仿宋"/>
              </w:rPr>
            </w:pPr>
            <w:r>
              <w:rPr>
                <w:rFonts w:hint="eastAsia" w:ascii="仿宋" w:hAnsi="仿宋" w:eastAsia="仿宋"/>
              </w:rPr>
              <w:t>支持差异性分析，包括：单因素方差分析、单样本t检验、单样本Wilcoxon符号秩检验、Mann Whitney U检验、Wilcoxon符号秩检验、独立样本t检验、多独立样本Kruskal-Wallis检验、事后多重比较；</w:t>
            </w:r>
          </w:p>
          <w:p w14:paraId="6A1C650A">
            <w:pPr>
              <w:pStyle w:val="30"/>
              <w:numPr>
                <w:ilvl w:val="0"/>
                <w:numId w:val="15"/>
              </w:numPr>
              <w:adjustRightInd w:val="0"/>
              <w:snapToGrid w:val="0"/>
              <w:ind w:firstLineChars="0"/>
              <w:rPr>
                <w:rFonts w:ascii="仿宋" w:hAnsi="仿宋" w:eastAsia="仿宋"/>
              </w:rPr>
            </w:pPr>
            <w:r>
              <w:rPr>
                <w:rFonts w:hint="eastAsia" w:ascii="仿宋" w:hAnsi="仿宋" w:eastAsia="仿宋"/>
              </w:rPr>
              <w:t>支持卡方检验，包括：四格卡方检验、RxC列联表卡方检验、配对卡方、卡方拟合优度检验、分层卡方分析；</w:t>
            </w:r>
          </w:p>
          <w:p w14:paraId="5E5D1868">
            <w:pPr>
              <w:pStyle w:val="30"/>
              <w:numPr>
                <w:ilvl w:val="0"/>
                <w:numId w:val="15"/>
              </w:numPr>
              <w:adjustRightInd w:val="0"/>
              <w:snapToGrid w:val="0"/>
              <w:ind w:firstLineChars="0"/>
              <w:rPr>
                <w:rFonts w:ascii="仿宋" w:hAnsi="仿宋" w:eastAsia="仿宋"/>
              </w:rPr>
            </w:pPr>
            <w:r>
              <w:rPr>
                <w:rFonts w:hint="eastAsia" w:ascii="仿宋" w:hAnsi="仿宋" w:eastAsia="仿宋"/>
              </w:rPr>
              <w:t>支持聚类分析，包括：K-Means聚类、系统聚类；</w:t>
            </w:r>
          </w:p>
          <w:p w14:paraId="347E3D93">
            <w:pPr>
              <w:pStyle w:val="30"/>
              <w:numPr>
                <w:ilvl w:val="0"/>
                <w:numId w:val="15"/>
              </w:numPr>
              <w:adjustRightInd w:val="0"/>
              <w:snapToGrid w:val="0"/>
              <w:ind w:firstLineChars="0"/>
              <w:rPr>
                <w:rFonts w:ascii="仿宋" w:hAnsi="仿宋" w:eastAsia="仿宋"/>
              </w:rPr>
            </w:pPr>
            <w:r>
              <w:rPr>
                <w:rFonts w:hint="eastAsia" w:ascii="仿宋" w:hAnsi="仿宋" w:eastAsia="仿宋"/>
              </w:rPr>
              <w:t>支持回归，包括：一元线性回归、多元线性回归、逻辑回归；</w:t>
            </w:r>
          </w:p>
          <w:p w14:paraId="6A0D0A8A">
            <w:pPr>
              <w:pStyle w:val="30"/>
              <w:numPr>
                <w:ilvl w:val="0"/>
                <w:numId w:val="15"/>
              </w:numPr>
              <w:adjustRightInd w:val="0"/>
              <w:snapToGrid w:val="0"/>
              <w:ind w:firstLineChars="0"/>
              <w:rPr>
                <w:rFonts w:ascii="仿宋" w:hAnsi="仿宋" w:eastAsia="仿宋"/>
              </w:rPr>
            </w:pPr>
            <w:r>
              <w:rPr>
                <w:rFonts w:hint="eastAsia" w:ascii="仿宋" w:hAnsi="仿宋" w:eastAsia="仿宋"/>
              </w:rPr>
              <w:t>支持生存分析，包括：Kaplan-Meier法、COX回归；</w:t>
            </w:r>
          </w:p>
          <w:p w14:paraId="3E4FB413">
            <w:pPr>
              <w:pStyle w:val="30"/>
              <w:numPr>
                <w:ilvl w:val="0"/>
                <w:numId w:val="15"/>
              </w:numPr>
              <w:adjustRightInd w:val="0"/>
              <w:snapToGrid w:val="0"/>
              <w:ind w:firstLineChars="0"/>
              <w:rPr>
                <w:rFonts w:ascii="仿宋" w:hAnsi="仿宋" w:eastAsia="仿宋"/>
              </w:rPr>
            </w:pPr>
            <w:r>
              <w:rPr>
                <w:rFonts w:hint="eastAsia" w:ascii="仿宋" w:hAnsi="仿宋" w:eastAsia="仿宋"/>
              </w:rPr>
              <w:t>支持诊断性分析，包括：ROC曲线；</w:t>
            </w:r>
          </w:p>
          <w:p w14:paraId="6E481788">
            <w:pPr>
              <w:pStyle w:val="30"/>
              <w:numPr>
                <w:ilvl w:val="0"/>
                <w:numId w:val="15"/>
              </w:numPr>
              <w:adjustRightInd w:val="0"/>
              <w:snapToGrid w:val="0"/>
              <w:ind w:firstLineChars="0"/>
              <w:rPr>
                <w:rFonts w:ascii="宋体" w:hAnsi="宋体"/>
              </w:rPr>
            </w:pPr>
            <w:r>
              <w:rPr>
                <w:rFonts w:hint="eastAsia" w:ascii="仿宋" w:hAnsi="仿宋" w:eastAsia="仿宋"/>
              </w:rPr>
              <w:t>支持统计分析结果导出</w:t>
            </w:r>
            <w:r>
              <w:rPr>
                <w:rFonts w:hint="eastAsia" w:ascii="仿宋" w:hAnsi="仿宋" w:eastAsia="仿宋"/>
                <w:snapToGrid w:val="0"/>
                <w:szCs w:val="21"/>
              </w:rPr>
              <w:t>pdf格式文件。</w:t>
            </w:r>
          </w:p>
        </w:tc>
      </w:tr>
      <w:tr w14:paraId="5B9ED03A">
        <w:tblPrEx>
          <w:tblCellMar>
            <w:top w:w="0" w:type="dxa"/>
            <w:left w:w="108" w:type="dxa"/>
            <w:bottom w:w="0" w:type="dxa"/>
            <w:right w:w="108" w:type="dxa"/>
          </w:tblCellMar>
        </w:tblPrEx>
        <w:trPr>
          <w:trHeight w:val="435" w:hRule="atLeast"/>
        </w:trPr>
        <w:tc>
          <w:tcPr>
            <w:tcW w:w="999" w:type="dxa"/>
            <w:vMerge w:val="continue"/>
            <w:tcBorders>
              <w:top w:val="single" w:color="auto" w:sz="4" w:space="0"/>
              <w:left w:val="single" w:color="auto" w:sz="4" w:space="0"/>
              <w:right w:val="single" w:color="auto" w:sz="4" w:space="0"/>
            </w:tcBorders>
            <w:vAlign w:val="center"/>
          </w:tcPr>
          <w:p w14:paraId="2624981C">
            <w:pPr>
              <w:widowControl/>
              <w:jc w:val="left"/>
              <w:rPr>
                <w:rFonts w:ascii="仿宋" w:hAnsi="仿宋" w:eastAsia="仿宋" w:cs="宋体"/>
                <w:color w:val="000000"/>
                <w:kern w:val="0"/>
                <w:szCs w:val="21"/>
              </w:rPr>
            </w:pPr>
          </w:p>
        </w:tc>
        <w:tc>
          <w:tcPr>
            <w:tcW w:w="1417" w:type="dxa"/>
            <w:tcBorders>
              <w:top w:val="single" w:color="auto" w:sz="4" w:space="0"/>
              <w:left w:val="nil"/>
              <w:bottom w:val="single" w:color="auto" w:sz="4" w:space="0"/>
              <w:right w:val="single" w:color="auto" w:sz="4" w:space="0"/>
            </w:tcBorders>
            <w:shd w:val="clear" w:color="auto" w:fill="auto"/>
            <w:vAlign w:val="center"/>
          </w:tcPr>
          <w:p w14:paraId="433FE65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运营统计</w:t>
            </w:r>
          </w:p>
        </w:tc>
        <w:tc>
          <w:tcPr>
            <w:tcW w:w="5939" w:type="dxa"/>
            <w:tcBorders>
              <w:top w:val="single" w:color="auto" w:sz="4" w:space="0"/>
              <w:left w:val="nil"/>
              <w:bottom w:val="single" w:color="auto" w:sz="4" w:space="0"/>
              <w:right w:val="single" w:color="auto" w:sz="4" w:space="0"/>
            </w:tcBorders>
            <w:shd w:val="clear" w:color="auto" w:fill="auto"/>
            <w:vAlign w:val="center"/>
          </w:tcPr>
          <w:p w14:paraId="0379C633">
            <w:pPr>
              <w:widowControl w:val="0"/>
              <w:numPr>
                <w:ilvl w:val="0"/>
                <w:numId w:val="16"/>
              </w:numPr>
              <w:adjustRightInd w:val="0"/>
              <w:snapToGrid w:val="0"/>
              <w:rPr>
                <w:rFonts w:ascii="仿宋" w:hAnsi="仿宋" w:eastAsia="仿宋" w:cs="Times New Roman"/>
                <w:color w:val="auto"/>
                <w:kern w:val="2"/>
                <w:szCs w:val="24"/>
              </w:rPr>
            </w:pPr>
            <w:r>
              <w:rPr>
                <w:rFonts w:hint="eastAsia" w:ascii="仿宋" w:hAnsi="仿宋" w:eastAsia="仿宋" w:cs="宋体"/>
                <w:color w:val="000000"/>
                <w:kern w:val="0"/>
                <w:sz w:val="21"/>
                <w:szCs w:val="21"/>
                <w:lang w:val="en-US" w:eastAsia="zh-CN" w:bidi="ar-SA"/>
              </w:rPr>
              <w:t>支持查看每日新增邀请患者数量与同意加入随访的患者数量，并可生成相应的折线趋势图。并支持日期范围内过滤。</w:t>
            </w:r>
          </w:p>
        </w:tc>
      </w:tr>
      <w:tr w14:paraId="61CD0EBF">
        <w:tblPrEx>
          <w:tblCellMar>
            <w:top w:w="0" w:type="dxa"/>
            <w:left w:w="108" w:type="dxa"/>
            <w:bottom w:w="0" w:type="dxa"/>
            <w:right w:w="108" w:type="dxa"/>
          </w:tblCellMar>
        </w:tblPrEx>
        <w:trPr>
          <w:trHeight w:val="540" w:hRule="atLeast"/>
        </w:trPr>
        <w:tc>
          <w:tcPr>
            <w:tcW w:w="999" w:type="dxa"/>
            <w:vMerge w:val="continue"/>
            <w:tcBorders>
              <w:left w:val="single" w:color="auto" w:sz="4" w:space="0"/>
              <w:right w:val="single" w:color="auto" w:sz="4" w:space="0"/>
            </w:tcBorders>
            <w:vAlign w:val="center"/>
          </w:tcPr>
          <w:p w14:paraId="5EBDB39B">
            <w:pPr>
              <w:widowControl/>
              <w:jc w:val="left"/>
              <w:rPr>
                <w:rFonts w:ascii="仿宋" w:hAnsi="仿宋" w:eastAsia="仿宋" w:cs="宋体"/>
                <w:color w:val="000000"/>
                <w:kern w:val="0"/>
                <w:szCs w:val="21"/>
              </w:rPr>
            </w:pP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D345C8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系统配置</w:t>
            </w:r>
          </w:p>
        </w:tc>
        <w:tc>
          <w:tcPr>
            <w:tcW w:w="5939" w:type="dxa"/>
            <w:tcBorders>
              <w:top w:val="single" w:color="auto" w:sz="4" w:space="0"/>
              <w:left w:val="nil"/>
              <w:bottom w:val="nil"/>
              <w:right w:val="single" w:color="auto" w:sz="4" w:space="0"/>
            </w:tcBorders>
            <w:shd w:val="clear" w:color="auto" w:fill="auto"/>
            <w:vAlign w:val="center"/>
          </w:tcPr>
          <w:p w14:paraId="01EE960F">
            <w:pPr>
              <w:pStyle w:val="30"/>
              <w:widowControl/>
              <w:numPr>
                <w:ilvl w:val="0"/>
                <w:numId w:val="17"/>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用户管理：系统应支持管理员设置不同角色权限，不同权限的角色在使用时功能模块和数据不一致。</w:t>
            </w:r>
          </w:p>
        </w:tc>
      </w:tr>
      <w:tr w14:paraId="3676080A">
        <w:tblPrEx>
          <w:tblCellMar>
            <w:top w:w="0" w:type="dxa"/>
            <w:left w:w="108" w:type="dxa"/>
            <w:bottom w:w="0" w:type="dxa"/>
            <w:right w:w="108" w:type="dxa"/>
          </w:tblCellMar>
        </w:tblPrEx>
        <w:trPr>
          <w:trHeight w:val="540" w:hRule="atLeast"/>
        </w:trPr>
        <w:tc>
          <w:tcPr>
            <w:tcW w:w="999" w:type="dxa"/>
            <w:vMerge w:val="continue"/>
            <w:tcBorders>
              <w:left w:val="single" w:color="auto" w:sz="4" w:space="0"/>
              <w:right w:val="single" w:color="auto" w:sz="4" w:space="0"/>
            </w:tcBorders>
            <w:vAlign w:val="center"/>
          </w:tcPr>
          <w:p w14:paraId="7C8968A0">
            <w:pPr>
              <w:widowControl/>
              <w:jc w:val="left"/>
              <w:rPr>
                <w:rFonts w:ascii="仿宋" w:hAnsi="仿宋" w:eastAsia="仿宋" w:cs="宋体"/>
                <w:color w:val="000000"/>
                <w:kern w:val="0"/>
                <w:szCs w:val="21"/>
              </w:rPr>
            </w:pPr>
          </w:p>
        </w:tc>
        <w:tc>
          <w:tcPr>
            <w:tcW w:w="1417" w:type="dxa"/>
            <w:vMerge w:val="continue"/>
            <w:tcBorders>
              <w:top w:val="nil"/>
              <w:left w:val="single" w:color="auto" w:sz="4" w:space="0"/>
              <w:bottom w:val="single" w:color="000000" w:sz="4" w:space="0"/>
              <w:right w:val="single" w:color="auto" w:sz="4" w:space="0"/>
            </w:tcBorders>
            <w:vAlign w:val="center"/>
          </w:tcPr>
          <w:p w14:paraId="1D006AC1">
            <w:pPr>
              <w:widowControl/>
              <w:jc w:val="left"/>
              <w:rPr>
                <w:rFonts w:ascii="仿宋" w:hAnsi="仿宋" w:eastAsia="仿宋" w:cs="宋体"/>
                <w:color w:val="000000"/>
                <w:kern w:val="0"/>
                <w:szCs w:val="21"/>
              </w:rPr>
            </w:pPr>
          </w:p>
        </w:tc>
        <w:tc>
          <w:tcPr>
            <w:tcW w:w="5939" w:type="dxa"/>
            <w:tcBorders>
              <w:top w:val="nil"/>
              <w:left w:val="nil"/>
              <w:bottom w:val="nil"/>
              <w:right w:val="single" w:color="auto" w:sz="4" w:space="0"/>
            </w:tcBorders>
            <w:shd w:val="clear" w:color="auto" w:fill="auto"/>
            <w:vAlign w:val="center"/>
          </w:tcPr>
          <w:p w14:paraId="6EF6E2E2">
            <w:pPr>
              <w:pStyle w:val="30"/>
              <w:widowControl/>
              <w:numPr>
                <w:ilvl w:val="0"/>
                <w:numId w:val="17"/>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功能权限：系统应支持管理员对角色的功能模块权限进行自定义配置管理。</w:t>
            </w:r>
          </w:p>
        </w:tc>
      </w:tr>
      <w:tr w14:paraId="1B53986D">
        <w:tblPrEx>
          <w:tblCellMar>
            <w:top w:w="0" w:type="dxa"/>
            <w:left w:w="108" w:type="dxa"/>
            <w:bottom w:w="0" w:type="dxa"/>
            <w:right w:w="108" w:type="dxa"/>
          </w:tblCellMar>
        </w:tblPrEx>
        <w:trPr>
          <w:trHeight w:val="540" w:hRule="atLeast"/>
        </w:trPr>
        <w:tc>
          <w:tcPr>
            <w:tcW w:w="999" w:type="dxa"/>
            <w:vMerge w:val="continue"/>
            <w:tcBorders>
              <w:left w:val="single" w:color="auto" w:sz="4" w:space="0"/>
              <w:bottom w:val="single" w:color="auto" w:sz="4" w:space="0"/>
              <w:right w:val="single" w:color="auto" w:sz="4" w:space="0"/>
            </w:tcBorders>
            <w:vAlign w:val="center"/>
          </w:tcPr>
          <w:p w14:paraId="55FBF63A">
            <w:pPr>
              <w:widowControl/>
              <w:jc w:val="left"/>
              <w:rPr>
                <w:rFonts w:ascii="仿宋" w:hAnsi="仿宋" w:eastAsia="仿宋"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14:paraId="5C0E33E5">
            <w:pPr>
              <w:widowControl/>
              <w:jc w:val="left"/>
              <w:rPr>
                <w:rFonts w:ascii="仿宋" w:hAnsi="仿宋" w:eastAsia="仿宋" w:cs="宋体"/>
                <w:color w:val="000000"/>
                <w:kern w:val="0"/>
                <w:szCs w:val="21"/>
              </w:rPr>
            </w:pPr>
          </w:p>
        </w:tc>
        <w:tc>
          <w:tcPr>
            <w:tcW w:w="5939" w:type="dxa"/>
            <w:tcBorders>
              <w:top w:val="nil"/>
              <w:left w:val="nil"/>
              <w:bottom w:val="single" w:color="auto" w:sz="4" w:space="0"/>
              <w:right w:val="single" w:color="auto" w:sz="4" w:space="0"/>
            </w:tcBorders>
            <w:shd w:val="clear" w:color="auto" w:fill="auto"/>
            <w:vAlign w:val="center"/>
          </w:tcPr>
          <w:p w14:paraId="530CBC4B">
            <w:pPr>
              <w:pStyle w:val="30"/>
              <w:widowControl/>
              <w:numPr>
                <w:ilvl w:val="0"/>
                <w:numId w:val="17"/>
              </w:numPr>
              <w:ind w:firstLineChars="0"/>
              <w:rPr>
                <w:rFonts w:ascii="仿宋" w:hAnsi="仿宋" w:eastAsia="仿宋" w:cs="宋体"/>
                <w:color w:val="000000"/>
                <w:kern w:val="0"/>
                <w:szCs w:val="21"/>
              </w:rPr>
            </w:pPr>
            <w:r>
              <w:rPr>
                <w:rFonts w:hint="eastAsia" w:ascii="仿宋" w:hAnsi="仿宋" w:eastAsia="仿宋" w:cs="宋体"/>
                <w:color w:val="000000"/>
                <w:kern w:val="0"/>
                <w:szCs w:val="21"/>
              </w:rPr>
              <w:t>数据权限：系统应支持管理员对角色数据查看权限的范围进行自定义配置管理。</w:t>
            </w:r>
          </w:p>
        </w:tc>
      </w:tr>
      <w:tr w14:paraId="74CE1C79">
        <w:tblPrEx>
          <w:tblCellMar>
            <w:top w:w="0" w:type="dxa"/>
            <w:left w:w="108" w:type="dxa"/>
            <w:bottom w:w="0" w:type="dxa"/>
            <w:right w:w="108" w:type="dxa"/>
          </w:tblCellMar>
        </w:tblPrEx>
        <w:trPr>
          <w:trHeight w:val="540" w:hRule="atLeast"/>
        </w:trPr>
        <w:tc>
          <w:tcPr>
            <w:tcW w:w="999" w:type="dxa"/>
            <w:vMerge w:val="restart"/>
            <w:tcBorders>
              <w:top w:val="single" w:color="auto" w:sz="4" w:space="0"/>
              <w:left w:val="single" w:color="auto" w:sz="4" w:space="0"/>
              <w:right w:val="single" w:color="auto" w:sz="4" w:space="0"/>
            </w:tcBorders>
            <w:shd w:val="clear" w:color="auto" w:fill="auto"/>
            <w:vAlign w:val="center"/>
          </w:tcPr>
          <w:p w14:paraId="6A43CA42">
            <w:pPr>
              <w:widowControl/>
              <w:jc w:val="center"/>
              <w:rPr>
                <w:rFonts w:asciiTheme="minorHAnsi" w:hAnsiTheme="minorHAnsi" w:eastAsiaTheme="minorEastAsia" w:cstheme="minorBidi"/>
                <w:kern w:val="2"/>
                <w:sz w:val="21"/>
                <w:szCs w:val="22"/>
                <w:lang w:val="en-US" w:eastAsia="zh-CN" w:bidi="ar-SA"/>
              </w:rPr>
            </w:pPr>
            <w:r>
              <w:rPr>
                <w:rFonts w:hint="eastAsia" w:ascii="仿宋" w:hAnsi="仿宋" w:eastAsia="仿宋" w:cs="仿宋"/>
                <w:color w:val="000000"/>
                <w:kern w:val="0"/>
                <w:szCs w:val="21"/>
              </w:rPr>
              <w:t>共病</w:t>
            </w:r>
            <w:r>
              <w:rPr>
                <w:rFonts w:hint="eastAsia" w:ascii="仿宋" w:hAnsi="仿宋" w:eastAsia="仿宋" w:cs="仿宋"/>
                <w:color w:val="000000"/>
                <w:kern w:val="0"/>
                <w:szCs w:val="21"/>
                <w:lang w:eastAsia="zh-CN"/>
              </w:rPr>
              <w:t>科间转介</w:t>
            </w:r>
            <w:r>
              <w:rPr>
                <w:rFonts w:hint="eastAsia" w:ascii="仿宋" w:hAnsi="仿宋" w:eastAsia="仿宋" w:cs="仿宋"/>
                <w:color w:val="000000"/>
                <w:kern w:val="0"/>
                <w:szCs w:val="21"/>
              </w:rPr>
              <w:t>智能体</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FE350CC">
            <w:pPr>
              <w:spacing w:before="120" w:after="120"/>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sz w:val="21"/>
                <w:szCs w:val="21"/>
              </w:rPr>
              <w:t>共病特征工程</w:t>
            </w:r>
          </w:p>
        </w:tc>
        <w:tc>
          <w:tcPr>
            <w:tcW w:w="5939" w:type="dxa"/>
            <w:tcBorders>
              <w:top w:val="single" w:color="auto" w:sz="4" w:space="0"/>
              <w:left w:val="nil"/>
              <w:bottom w:val="single" w:color="auto" w:sz="4" w:space="0"/>
              <w:right w:val="single" w:color="auto" w:sz="4" w:space="0"/>
            </w:tcBorders>
            <w:shd w:val="clear" w:color="auto" w:fill="auto"/>
            <w:vAlign w:val="center"/>
          </w:tcPr>
          <w:p w14:paraId="5A5D2F36">
            <w:pPr>
              <w:pStyle w:val="30"/>
              <w:numPr>
                <w:ilvl w:val="0"/>
                <w:numId w:val="18"/>
              </w:numPr>
              <w:adjustRightInd w:val="0"/>
              <w:snapToGrid w:val="0"/>
              <w:ind w:firstLineChars="0"/>
              <w:rPr>
                <w:rFonts w:hint="eastAsia" w:ascii="仿宋" w:hAnsi="仿宋" w:eastAsia="仿宋" w:cs="仿宋"/>
                <w:kern w:val="2"/>
                <w:sz w:val="21"/>
                <w:szCs w:val="21"/>
                <w:lang w:val="en-US" w:eastAsia="zh-CN" w:bidi="ar-SA"/>
              </w:rPr>
            </w:pPr>
            <w:r>
              <w:rPr>
                <w:rFonts w:hint="eastAsia" w:ascii="仿宋" w:hAnsi="仿宋" w:eastAsia="仿宋"/>
              </w:rPr>
              <w:t>构建5种重点共病的诊治特征工程，通过对疾病诊断、治疗方式、症状表现、检查检验结果等多维度数据的深度挖掘与分析，提取具有代表性和区分度的特征，用于精准判断患者共病情况，为后续</w:t>
            </w:r>
            <w:r>
              <w:rPr>
                <w:rFonts w:hint="eastAsia" w:ascii="仿宋" w:hAnsi="仿宋" w:eastAsia="仿宋"/>
                <w:lang w:eastAsia="zh-CN"/>
              </w:rPr>
              <w:t>科间转介</w:t>
            </w:r>
            <w:r>
              <w:rPr>
                <w:rFonts w:hint="eastAsia" w:ascii="仿宋" w:hAnsi="仿宋" w:eastAsia="仿宋"/>
              </w:rPr>
              <w:t>提供科学依据。</w:t>
            </w:r>
          </w:p>
        </w:tc>
      </w:tr>
      <w:tr w14:paraId="3E268CA6">
        <w:tblPrEx>
          <w:tblCellMar>
            <w:top w:w="0" w:type="dxa"/>
            <w:left w:w="108" w:type="dxa"/>
            <w:bottom w:w="0" w:type="dxa"/>
            <w:right w:w="108" w:type="dxa"/>
          </w:tblCellMar>
        </w:tblPrEx>
        <w:trPr>
          <w:trHeight w:val="540" w:hRule="atLeast"/>
        </w:trPr>
        <w:tc>
          <w:tcPr>
            <w:tcW w:w="999" w:type="dxa"/>
            <w:vMerge w:val="continue"/>
            <w:tcBorders>
              <w:left w:val="single" w:color="auto" w:sz="4" w:space="0"/>
              <w:right w:val="single" w:color="auto" w:sz="4" w:space="0"/>
            </w:tcBorders>
            <w:vAlign w:val="center"/>
          </w:tcPr>
          <w:p w14:paraId="0EC7B216">
            <w:pPr>
              <w:widowControl/>
              <w:jc w:val="left"/>
              <w:rPr>
                <w:rFonts w:ascii="仿宋" w:hAnsi="仿宋" w:eastAsia="仿宋"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A4BD7FB">
            <w:pPr>
              <w:spacing w:before="120" w:after="120"/>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数据采集模块</w:t>
            </w:r>
          </w:p>
        </w:tc>
        <w:tc>
          <w:tcPr>
            <w:tcW w:w="5939" w:type="dxa"/>
            <w:tcBorders>
              <w:top w:val="single" w:color="auto" w:sz="4" w:space="0"/>
              <w:left w:val="nil"/>
              <w:bottom w:val="single" w:color="auto" w:sz="4" w:space="0"/>
              <w:right w:val="single" w:color="auto" w:sz="4" w:space="0"/>
            </w:tcBorders>
            <w:shd w:val="clear" w:color="auto" w:fill="auto"/>
            <w:vAlign w:val="center"/>
          </w:tcPr>
          <w:p w14:paraId="14D1B191">
            <w:pPr>
              <w:pStyle w:val="30"/>
              <w:numPr>
                <w:ilvl w:val="0"/>
                <w:numId w:val="19"/>
              </w:numPr>
              <w:adjustRightInd w:val="0"/>
              <w:snapToGrid w:val="0"/>
              <w:ind w:firstLineChars="0"/>
              <w:rPr>
                <w:rFonts w:hint="eastAsia" w:ascii="仿宋" w:hAnsi="仿宋" w:eastAsia="仿宋"/>
              </w:rPr>
            </w:pPr>
            <w:r>
              <w:rPr>
                <w:rFonts w:hint="eastAsia" w:ascii="仿宋" w:hAnsi="仿宋" w:eastAsia="仿宋"/>
              </w:rPr>
              <w:t>支持基于ETL的方式从慢病病例库采集病例报告表数据。</w:t>
            </w:r>
          </w:p>
          <w:p w14:paraId="5924DAD7">
            <w:pPr>
              <w:pStyle w:val="30"/>
              <w:numPr>
                <w:ilvl w:val="0"/>
                <w:numId w:val="19"/>
              </w:numPr>
              <w:adjustRightInd w:val="0"/>
              <w:snapToGrid w:val="0"/>
              <w:ind w:firstLineChars="0"/>
              <w:rPr>
                <w:rFonts w:hint="eastAsia" w:ascii="仿宋" w:hAnsi="仿宋" w:eastAsia="仿宋"/>
                <w:lang w:val="en-US" w:eastAsia="zh-CN"/>
              </w:rPr>
            </w:pPr>
            <w:r>
              <w:rPr>
                <w:rFonts w:hint="eastAsia" w:ascii="仿宋" w:hAnsi="仿宋" w:eastAsia="仿宋"/>
              </w:rPr>
              <w:t>支持基于ETL的方式从CDR中采集患者基本信息、挂号信息、检查报告信息（非医学影像）、检验报告信息。</w:t>
            </w:r>
          </w:p>
        </w:tc>
      </w:tr>
      <w:tr w14:paraId="75B5F969">
        <w:tblPrEx>
          <w:tblCellMar>
            <w:top w:w="0" w:type="dxa"/>
            <w:left w:w="108" w:type="dxa"/>
            <w:bottom w:w="0" w:type="dxa"/>
            <w:right w:w="108" w:type="dxa"/>
          </w:tblCellMar>
        </w:tblPrEx>
        <w:trPr>
          <w:trHeight w:val="540" w:hRule="atLeast"/>
        </w:trPr>
        <w:tc>
          <w:tcPr>
            <w:tcW w:w="999" w:type="dxa"/>
            <w:vMerge w:val="continue"/>
            <w:tcBorders>
              <w:left w:val="single" w:color="auto" w:sz="4" w:space="0"/>
              <w:right w:val="single" w:color="auto" w:sz="4" w:space="0"/>
            </w:tcBorders>
          </w:tcPr>
          <w:p w14:paraId="0EEB5977">
            <w:pPr>
              <w:widowControl/>
              <w:jc w:val="left"/>
              <w:rPr>
                <w:rFonts w:ascii="仿宋" w:hAnsi="仿宋" w:eastAsia="仿宋" w:cs="宋体"/>
                <w:color w:val="000000"/>
                <w:kern w:val="0"/>
                <w:szCs w:val="21"/>
              </w:rPr>
            </w:pPr>
          </w:p>
        </w:tc>
        <w:tc>
          <w:tcPr>
            <w:tcW w:w="1417" w:type="dxa"/>
            <w:tcBorders>
              <w:top w:val="single" w:color="auto" w:sz="4" w:space="0"/>
              <w:left w:val="single" w:color="auto" w:sz="4" w:space="0"/>
              <w:bottom w:val="single" w:color="auto" w:sz="4" w:space="0"/>
            </w:tcBorders>
            <w:shd w:val="clear" w:color="auto" w:fill="auto"/>
            <w:vAlign w:val="center"/>
          </w:tcPr>
          <w:p w14:paraId="7E9CD8F2">
            <w:pPr>
              <w:spacing w:before="120" w:after="120"/>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科间转介</w:t>
            </w:r>
            <w:r>
              <w:rPr>
                <w:rFonts w:hint="eastAsia" w:ascii="仿宋" w:hAnsi="仿宋" w:eastAsia="仿宋" w:cs="仿宋"/>
                <w:sz w:val="21"/>
                <w:szCs w:val="21"/>
              </w:rPr>
              <w:t>引擎</w:t>
            </w:r>
          </w:p>
        </w:tc>
        <w:tc>
          <w:tcPr>
            <w:tcW w:w="5939" w:type="dxa"/>
            <w:tcBorders>
              <w:top w:val="single" w:color="auto" w:sz="4" w:space="0"/>
              <w:bottom w:val="single" w:color="auto" w:sz="4" w:space="0"/>
              <w:right w:val="single" w:color="auto" w:sz="4" w:space="0"/>
            </w:tcBorders>
            <w:shd w:val="clear" w:color="auto" w:fill="auto"/>
            <w:vAlign w:val="center"/>
          </w:tcPr>
          <w:p w14:paraId="326BD3B6">
            <w:pPr>
              <w:pStyle w:val="30"/>
              <w:numPr>
                <w:ilvl w:val="0"/>
                <w:numId w:val="20"/>
              </w:numPr>
              <w:adjustRightInd w:val="0"/>
              <w:snapToGrid w:val="0"/>
              <w:ind w:firstLineChars="0"/>
              <w:rPr>
                <w:rFonts w:hint="eastAsia" w:ascii="仿宋" w:hAnsi="仿宋" w:eastAsia="仿宋"/>
              </w:rPr>
            </w:pPr>
            <w:r>
              <w:rPr>
                <w:rFonts w:hint="eastAsia" w:ascii="仿宋" w:hAnsi="仿宋" w:eastAsia="仿宋"/>
              </w:rPr>
              <w:t>支持对病例报告表结构化字段做</w:t>
            </w:r>
            <w:r>
              <w:rPr>
                <w:rFonts w:hint="eastAsia" w:ascii="仿宋" w:hAnsi="仿宋" w:eastAsia="仿宋"/>
                <w:lang w:eastAsia="zh-CN"/>
              </w:rPr>
              <w:t>科间转介</w:t>
            </w:r>
            <w:r>
              <w:rPr>
                <w:rFonts w:hint="eastAsia" w:ascii="仿宋" w:hAnsi="仿宋" w:eastAsia="仿宋"/>
              </w:rPr>
              <w:t>配置，可依据患者在病例报告表中结构化字段所记录的基础信息、诊断结果、检查检验数据等，灵活设置</w:t>
            </w:r>
            <w:r>
              <w:rPr>
                <w:rFonts w:hint="eastAsia" w:ascii="仿宋" w:hAnsi="仿宋" w:eastAsia="仿宋"/>
                <w:lang w:eastAsia="zh-CN"/>
              </w:rPr>
              <w:t>科间转介</w:t>
            </w:r>
            <w:r>
              <w:rPr>
                <w:rFonts w:hint="eastAsia" w:ascii="仿宋" w:hAnsi="仿宋" w:eastAsia="仿宋"/>
              </w:rPr>
              <w:t>的触发条件、流程节点以及信息传递规则等，并支持对数值型、数据字典型等不同类型的结构化字段进行精确检索和模糊匹配以及搜索记录的保存。</w:t>
            </w:r>
          </w:p>
          <w:p w14:paraId="745D40BB">
            <w:pPr>
              <w:pStyle w:val="30"/>
              <w:numPr>
                <w:ilvl w:val="0"/>
                <w:numId w:val="20"/>
              </w:numPr>
              <w:adjustRightInd w:val="0"/>
              <w:snapToGrid w:val="0"/>
              <w:ind w:firstLineChars="0"/>
              <w:rPr>
                <w:rFonts w:hint="eastAsia" w:ascii="仿宋" w:hAnsi="仿宋" w:eastAsia="仿宋"/>
              </w:rPr>
            </w:pPr>
            <w:r>
              <w:rPr>
                <w:rFonts w:hint="eastAsia" w:ascii="仿宋" w:hAnsi="仿宋" w:eastAsia="仿宋"/>
                <w:lang w:eastAsia="zh-CN"/>
              </w:rPr>
              <w:t>科间转介</w:t>
            </w:r>
            <w:r>
              <w:rPr>
                <w:rFonts w:hint="eastAsia" w:ascii="仿宋" w:hAnsi="仿宋" w:eastAsia="仿宋"/>
              </w:rPr>
              <w:t>的目标配置，支持配置门诊专科、普通号、专家号、</w:t>
            </w:r>
            <w:r>
              <w:rPr>
                <w:rFonts w:hint="eastAsia" w:ascii="仿宋" w:hAnsi="仿宋" w:eastAsia="仿宋"/>
                <w:lang w:eastAsia="zh-CN"/>
              </w:rPr>
              <w:t>科间转介</w:t>
            </w:r>
            <w:r>
              <w:rPr>
                <w:rFonts w:hint="eastAsia" w:ascii="仿宋" w:hAnsi="仿宋" w:eastAsia="仿宋"/>
              </w:rPr>
              <w:t>目的（门诊、住院）。</w:t>
            </w:r>
          </w:p>
          <w:p w14:paraId="633D1935">
            <w:pPr>
              <w:pStyle w:val="30"/>
              <w:numPr>
                <w:ilvl w:val="0"/>
                <w:numId w:val="20"/>
              </w:numPr>
              <w:adjustRightInd w:val="0"/>
              <w:snapToGrid w:val="0"/>
              <w:ind w:firstLineChars="0"/>
              <w:rPr>
                <w:rFonts w:hint="eastAsia" w:ascii="仿宋" w:hAnsi="仿宋" w:eastAsia="仿宋"/>
              </w:rPr>
            </w:pPr>
            <w:r>
              <w:rPr>
                <w:rFonts w:hint="eastAsia" w:ascii="仿宋" w:hAnsi="仿宋" w:eastAsia="仿宋"/>
              </w:rPr>
              <w:t>支持建立</w:t>
            </w:r>
            <w:r>
              <w:rPr>
                <w:rFonts w:hint="eastAsia" w:ascii="仿宋" w:hAnsi="仿宋" w:eastAsia="仿宋"/>
                <w:lang w:eastAsia="zh-CN"/>
              </w:rPr>
              <w:t>科间转介</w:t>
            </w:r>
            <w:r>
              <w:rPr>
                <w:rFonts w:hint="eastAsia" w:ascii="仿宋" w:hAnsi="仿宋" w:eastAsia="仿宋"/>
              </w:rPr>
              <w:t>AI引擎，即依赖人工智能算法自动构建</w:t>
            </w:r>
            <w:r>
              <w:rPr>
                <w:rFonts w:hint="eastAsia" w:ascii="仿宋" w:hAnsi="仿宋" w:eastAsia="仿宋"/>
                <w:lang w:eastAsia="zh-CN"/>
              </w:rPr>
              <w:t>科间转介</w:t>
            </w:r>
            <w:r>
              <w:rPr>
                <w:rFonts w:hint="eastAsia" w:ascii="仿宋" w:hAnsi="仿宋" w:eastAsia="仿宋"/>
              </w:rPr>
              <w:t>规则，输出为</w:t>
            </w:r>
            <w:r>
              <w:rPr>
                <w:rFonts w:hint="eastAsia" w:ascii="仿宋" w:hAnsi="仿宋" w:eastAsia="仿宋"/>
                <w:lang w:eastAsia="zh-CN"/>
              </w:rPr>
              <w:t>科间转介</w:t>
            </w:r>
            <w:r>
              <w:rPr>
                <w:rFonts w:hint="eastAsia" w:ascii="仿宋" w:hAnsi="仿宋" w:eastAsia="仿宋"/>
              </w:rPr>
              <w:t>的目标门诊专科或专家号、</w:t>
            </w:r>
            <w:r>
              <w:rPr>
                <w:rFonts w:hint="eastAsia" w:ascii="仿宋" w:hAnsi="仿宋" w:eastAsia="仿宋"/>
                <w:lang w:eastAsia="zh-CN"/>
              </w:rPr>
              <w:t>科间转介</w:t>
            </w:r>
            <w:r>
              <w:rPr>
                <w:rFonts w:hint="eastAsia" w:ascii="仿宋" w:hAnsi="仿宋" w:eastAsia="仿宋"/>
              </w:rPr>
              <w:t>目的（门诊、住院），以及转诊依据。</w:t>
            </w:r>
          </w:p>
          <w:p w14:paraId="5C3D218F">
            <w:pPr>
              <w:pStyle w:val="30"/>
              <w:numPr>
                <w:ilvl w:val="0"/>
                <w:numId w:val="20"/>
              </w:numPr>
              <w:adjustRightInd w:val="0"/>
              <w:snapToGrid w:val="0"/>
              <w:ind w:firstLineChars="0"/>
              <w:rPr>
                <w:rFonts w:hint="eastAsia" w:ascii="仿宋" w:hAnsi="仿宋" w:eastAsia="仿宋"/>
              </w:rPr>
            </w:pPr>
            <w:r>
              <w:rPr>
                <w:rFonts w:hint="eastAsia" w:ascii="仿宋" w:hAnsi="仿宋" w:eastAsia="仿宋"/>
              </w:rPr>
              <w:t>支持同时给出多条</w:t>
            </w:r>
            <w:r>
              <w:rPr>
                <w:rFonts w:hint="eastAsia" w:ascii="仿宋" w:hAnsi="仿宋" w:eastAsia="仿宋"/>
                <w:lang w:eastAsia="zh-CN"/>
              </w:rPr>
              <w:t>科间转介</w:t>
            </w:r>
            <w:r>
              <w:rPr>
                <w:rFonts w:hint="eastAsia" w:ascii="仿宋" w:hAnsi="仿宋" w:eastAsia="仿宋"/>
              </w:rPr>
              <w:t>建议。</w:t>
            </w:r>
          </w:p>
          <w:p w14:paraId="754A59D5">
            <w:pPr>
              <w:pStyle w:val="30"/>
              <w:numPr>
                <w:ilvl w:val="0"/>
                <w:numId w:val="20"/>
              </w:numPr>
              <w:adjustRightInd w:val="0"/>
              <w:snapToGrid w:val="0"/>
              <w:ind w:firstLineChars="0"/>
              <w:rPr>
                <w:rFonts w:hint="eastAsia" w:ascii="仿宋" w:hAnsi="仿宋" w:eastAsia="仿宋"/>
                <w:lang w:val="en-US" w:eastAsia="zh-CN"/>
              </w:rPr>
            </w:pPr>
            <w:r>
              <w:rPr>
                <w:rFonts w:hint="eastAsia" w:ascii="仿宋" w:hAnsi="仿宋" w:eastAsia="仿宋"/>
              </w:rPr>
              <w:t>支持基于医生反馈和患者实际就诊体验持续优化</w:t>
            </w:r>
            <w:r>
              <w:rPr>
                <w:rFonts w:hint="eastAsia" w:ascii="仿宋" w:hAnsi="仿宋" w:eastAsia="仿宋"/>
                <w:lang w:eastAsia="zh-CN"/>
              </w:rPr>
              <w:t>科间转介</w:t>
            </w:r>
            <w:r>
              <w:rPr>
                <w:rFonts w:hint="eastAsia" w:ascii="仿宋" w:hAnsi="仿宋" w:eastAsia="仿宋"/>
              </w:rPr>
              <w:t>AI模型。</w:t>
            </w:r>
          </w:p>
        </w:tc>
      </w:tr>
      <w:tr w14:paraId="021E7C06">
        <w:tblPrEx>
          <w:tblCellMar>
            <w:top w:w="0" w:type="dxa"/>
            <w:left w:w="108" w:type="dxa"/>
            <w:bottom w:w="0" w:type="dxa"/>
            <w:right w:w="108" w:type="dxa"/>
          </w:tblCellMar>
        </w:tblPrEx>
        <w:trPr>
          <w:trHeight w:val="540" w:hRule="atLeast"/>
        </w:trPr>
        <w:tc>
          <w:tcPr>
            <w:tcW w:w="999" w:type="dxa"/>
            <w:vMerge w:val="continue"/>
            <w:tcBorders>
              <w:left w:val="single" w:color="auto" w:sz="4" w:space="0"/>
              <w:right w:val="single" w:color="auto" w:sz="4" w:space="0"/>
            </w:tcBorders>
          </w:tcPr>
          <w:p w14:paraId="4FAC0F5B">
            <w:pPr>
              <w:widowControl/>
              <w:jc w:val="left"/>
              <w:rPr>
                <w:rFonts w:ascii="仿宋" w:hAnsi="仿宋" w:eastAsia="仿宋" w:cs="宋体"/>
                <w:color w:val="000000"/>
                <w:kern w:val="0"/>
                <w:szCs w:val="21"/>
              </w:rPr>
            </w:pPr>
          </w:p>
        </w:tc>
        <w:tc>
          <w:tcPr>
            <w:tcW w:w="1417" w:type="dxa"/>
            <w:tcBorders>
              <w:top w:val="single" w:color="auto" w:sz="4" w:space="0"/>
              <w:left w:val="single" w:color="auto" w:sz="4" w:space="0"/>
              <w:bottom w:val="single" w:color="auto" w:sz="4" w:space="0"/>
            </w:tcBorders>
            <w:shd w:val="clear" w:color="auto" w:fill="auto"/>
            <w:vAlign w:val="center"/>
          </w:tcPr>
          <w:p w14:paraId="1BD7E18B">
            <w:pPr>
              <w:spacing w:before="120" w:after="120"/>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科间转介</w:t>
            </w:r>
            <w:r>
              <w:rPr>
                <w:rFonts w:hint="eastAsia" w:ascii="仿宋" w:hAnsi="仿宋" w:eastAsia="仿宋" w:cs="仿宋"/>
                <w:sz w:val="21"/>
                <w:szCs w:val="21"/>
              </w:rPr>
              <w:t>前端​​</w:t>
            </w:r>
          </w:p>
        </w:tc>
        <w:tc>
          <w:tcPr>
            <w:tcW w:w="5939" w:type="dxa"/>
            <w:tcBorders>
              <w:top w:val="single" w:color="auto" w:sz="4" w:space="0"/>
              <w:bottom w:val="single" w:color="auto" w:sz="4" w:space="0"/>
              <w:right w:val="single" w:color="auto" w:sz="4" w:space="0"/>
            </w:tcBorders>
            <w:shd w:val="clear" w:color="auto" w:fill="auto"/>
            <w:vAlign w:val="center"/>
          </w:tcPr>
          <w:p w14:paraId="6EACB05D">
            <w:pPr>
              <w:pStyle w:val="30"/>
              <w:numPr>
                <w:ilvl w:val="0"/>
                <w:numId w:val="21"/>
              </w:numPr>
              <w:adjustRightInd w:val="0"/>
              <w:snapToGrid w:val="0"/>
              <w:ind w:firstLineChars="0"/>
              <w:rPr>
                <w:rFonts w:hint="eastAsia" w:ascii="仿宋" w:hAnsi="仿宋" w:eastAsia="仿宋"/>
              </w:rPr>
            </w:pPr>
            <w:r>
              <w:rPr>
                <w:rFonts w:hint="eastAsia" w:ascii="仿宋" w:hAnsi="仿宋" w:eastAsia="仿宋"/>
              </w:rPr>
              <w:t>医生端，支持以短信、微信服务号消息（前提，医院已有医生注册的微信服务号平台）告知目前待</w:t>
            </w:r>
            <w:r>
              <w:rPr>
                <w:rFonts w:hint="eastAsia" w:ascii="仿宋" w:hAnsi="仿宋" w:eastAsia="仿宋"/>
                <w:lang w:eastAsia="zh-CN"/>
              </w:rPr>
              <w:t>科间转介</w:t>
            </w:r>
            <w:r>
              <w:rPr>
                <w:rFonts w:hint="eastAsia" w:ascii="仿宋" w:hAnsi="仿宋" w:eastAsia="仿宋"/>
              </w:rPr>
              <w:t>的患者；支持以H5页面嵌入医生工作站的方式，医生可按日期查询当天待</w:t>
            </w:r>
            <w:r>
              <w:rPr>
                <w:rFonts w:hint="eastAsia" w:ascii="仿宋" w:hAnsi="仿宋" w:eastAsia="仿宋"/>
                <w:lang w:eastAsia="zh-CN"/>
              </w:rPr>
              <w:t>科间转介</w:t>
            </w:r>
            <w:r>
              <w:rPr>
                <w:rFonts w:hint="eastAsia" w:ascii="仿宋" w:hAnsi="仿宋" w:eastAsia="仿宋"/>
              </w:rPr>
              <w:t>患者，可查看患者手机号、患者姓名、转诊依据等；医生可立即评价该</w:t>
            </w:r>
            <w:r>
              <w:rPr>
                <w:rFonts w:hint="eastAsia" w:ascii="仿宋" w:hAnsi="仿宋" w:eastAsia="仿宋"/>
                <w:lang w:eastAsia="zh-CN"/>
              </w:rPr>
              <w:t>科间转介</w:t>
            </w:r>
            <w:r>
              <w:rPr>
                <w:rFonts w:hint="eastAsia" w:ascii="仿宋" w:hAnsi="仿宋" w:eastAsia="仿宋"/>
              </w:rPr>
              <w:t>推荐是否合理，如不合理，医生可备注不合理的原因。</w:t>
            </w:r>
          </w:p>
          <w:p w14:paraId="24F003DC">
            <w:pPr>
              <w:pStyle w:val="30"/>
              <w:numPr>
                <w:ilvl w:val="0"/>
                <w:numId w:val="21"/>
              </w:numPr>
              <w:adjustRightInd w:val="0"/>
              <w:snapToGrid w:val="0"/>
              <w:ind w:firstLineChars="0"/>
              <w:rPr>
                <w:rFonts w:hint="eastAsia" w:ascii="仿宋" w:hAnsi="仿宋" w:eastAsia="仿宋"/>
              </w:rPr>
            </w:pPr>
            <w:r>
              <w:rPr>
                <w:rFonts w:hint="eastAsia" w:ascii="仿宋" w:hAnsi="仿宋" w:eastAsia="仿宋"/>
              </w:rPr>
              <w:t>患者端：支持以短信、微信服务号消息（基于医院现有微信）告知患者</w:t>
            </w:r>
            <w:r>
              <w:rPr>
                <w:rFonts w:hint="eastAsia" w:ascii="仿宋" w:hAnsi="仿宋" w:eastAsia="仿宋"/>
                <w:lang w:eastAsia="zh-CN"/>
              </w:rPr>
              <w:t>科间转介</w:t>
            </w:r>
            <w:r>
              <w:rPr>
                <w:rFonts w:hint="eastAsia" w:ascii="仿宋" w:hAnsi="仿宋" w:eastAsia="仿宋"/>
              </w:rPr>
              <w:t>消息，支持链接全流程陪诊智能体，挂号</w:t>
            </w:r>
            <w:r>
              <w:rPr>
                <w:rFonts w:hint="eastAsia" w:ascii="仿宋" w:hAnsi="仿宋" w:eastAsia="仿宋"/>
                <w:lang w:eastAsia="zh-CN"/>
              </w:rPr>
              <w:t>科间转介</w:t>
            </w:r>
            <w:r>
              <w:rPr>
                <w:rFonts w:hint="eastAsia" w:ascii="仿宋" w:hAnsi="仿宋" w:eastAsia="仿宋"/>
              </w:rPr>
              <w:t>目标科室。</w:t>
            </w:r>
          </w:p>
          <w:p w14:paraId="6220BD35">
            <w:pPr>
              <w:pStyle w:val="30"/>
              <w:numPr>
                <w:ilvl w:val="0"/>
                <w:numId w:val="21"/>
              </w:numPr>
              <w:adjustRightInd w:val="0"/>
              <w:snapToGrid w:val="0"/>
              <w:ind w:firstLineChars="0"/>
              <w:rPr>
                <w:rFonts w:hint="eastAsia" w:ascii="仿宋" w:hAnsi="仿宋" w:eastAsia="仿宋" w:cs="仿宋"/>
                <w:kern w:val="2"/>
                <w:sz w:val="21"/>
                <w:szCs w:val="21"/>
                <w:lang w:val="en-US" w:eastAsia="zh-CN" w:bidi="ar-SA"/>
              </w:rPr>
            </w:pPr>
            <w:r>
              <w:rPr>
                <w:rFonts w:hint="eastAsia" w:ascii="仿宋" w:hAnsi="仿宋" w:eastAsia="仿宋"/>
              </w:rPr>
              <w:t>管理端：支持以PC web的方式查询</w:t>
            </w:r>
            <w:r>
              <w:rPr>
                <w:rFonts w:hint="eastAsia" w:ascii="仿宋" w:hAnsi="仿宋" w:eastAsia="仿宋"/>
                <w:lang w:eastAsia="zh-CN"/>
              </w:rPr>
              <w:t>科间转介</w:t>
            </w:r>
            <w:r>
              <w:rPr>
                <w:rFonts w:hint="eastAsia" w:ascii="仿宋" w:hAnsi="仿宋" w:eastAsia="仿宋"/>
              </w:rPr>
              <w:t>信息，包括源科室、目标科室、转诊依据、推荐时间、建议就诊日期，实际就诊日期、就诊间隔（实际就诊日期和建议就诊日期间隔）。</w:t>
            </w:r>
          </w:p>
        </w:tc>
      </w:tr>
      <w:tr w14:paraId="4DD3C130">
        <w:tblPrEx>
          <w:tblCellMar>
            <w:top w:w="0" w:type="dxa"/>
            <w:left w:w="108" w:type="dxa"/>
            <w:bottom w:w="0" w:type="dxa"/>
            <w:right w:w="108" w:type="dxa"/>
          </w:tblCellMar>
        </w:tblPrEx>
        <w:trPr>
          <w:trHeight w:val="1037" w:hRule="atLeast"/>
        </w:trPr>
        <w:tc>
          <w:tcPr>
            <w:tcW w:w="999" w:type="dxa"/>
            <w:vMerge w:val="continue"/>
            <w:tcBorders>
              <w:left w:val="single" w:color="auto" w:sz="4" w:space="0"/>
              <w:bottom w:val="single" w:color="auto" w:sz="4" w:space="0"/>
              <w:right w:val="single" w:color="auto" w:sz="4" w:space="0"/>
            </w:tcBorders>
          </w:tcPr>
          <w:p w14:paraId="6374A10B">
            <w:pPr>
              <w:widowControl/>
              <w:jc w:val="left"/>
              <w:rPr>
                <w:rFonts w:ascii="仿宋" w:hAnsi="仿宋" w:eastAsia="仿宋" w:cs="宋体"/>
                <w:color w:val="000000"/>
                <w:kern w:val="0"/>
                <w:szCs w:val="21"/>
              </w:rPr>
            </w:pPr>
          </w:p>
        </w:tc>
        <w:tc>
          <w:tcPr>
            <w:tcW w:w="1417" w:type="dxa"/>
            <w:tcBorders>
              <w:top w:val="single" w:color="auto" w:sz="4" w:space="0"/>
              <w:bottom w:val="single" w:color="auto" w:sz="4" w:space="0"/>
            </w:tcBorders>
            <w:shd w:val="clear" w:color="auto" w:fill="auto"/>
            <w:vAlign w:val="center"/>
          </w:tcPr>
          <w:p w14:paraId="4ED99562">
            <w:pPr>
              <w:pStyle w:val="10"/>
              <w:spacing w:before="120" w:after="120"/>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sz w:val="21"/>
                <w:szCs w:val="21"/>
              </w:rPr>
              <w:t>统计分析</w:t>
            </w:r>
          </w:p>
        </w:tc>
        <w:tc>
          <w:tcPr>
            <w:tcW w:w="5939" w:type="dxa"/>
            <w:tcBorders>
              <w:top w:val="single" w:color="auto" w:sz="4" w:space="0"/>
              <w:bottom w:val="single" w:color="auto" w:sz="4" w:space="0"/>
              <w:right w:val="single" w:color="auto" w:sz="4" w:space="0"/>
            </w:tcBorders>
            <w:shd w:val="clear" w:color="auto" w:fill="auto"/>
            <w:vAlign w:val="center"/>
          </w:tcPr>
          <w:p w14:paraId="5DC008AA">
            <w:pPr>
              <w:pStyle w:val="30"/>
              <w:numPr>
                <w:ilvl w:val="0"/>
                <w:numId w:val="22"/>
              </w:numPr>
              <w:adjustRightInd w:val="0"/>
              <w:snapToGrid w:val="0"/>
              <w:ind w:firstLineChars="0"/>
              <w:rPr>
                <w:rFonts w:hint="eastAsia" w:ascii="仿宋" w:hAnsi="仿宋" w:eastAsia="仿宋" w:cs="仿宋"/>
                <w:kern w:val="2"/>
                <w:sz w:val="21"/>
                <w:szCs w:val="21"/>
                <w:lang w:val="en-US" w:eastAsia="zh-CN" w:bidi="ar-SA"/>
              </w:rPr>
            </w:pPr>
            <w:r>
              <w:rPr>
                <w:rFonts w:hint="eastAsia" w:ascii="仿宋" w:hAnsi="仿宋" w:eastAsia="仿宋"/>
                <w:lang w:val="en-US" w:eastAsia="zh-CN"/>
              </w:rPr>
              <w:t>支持可视化展示各科室的科间转介数据（即科间转介人次、就诊费用或住院费用）。</w:t>
            </w:r>
          </w:p>
        </w:tc>
      </w:tr>
    </w:tbl>
    <w:p w14:paraId="188FD168">
      <w:pPr>
        <w:pStyle w:val="4"/>
        <w:numPr>
          <w:ilvl w:val="2"/>
          <w:numId w:val="0"/>
        </w:numPr>
        <w:ind w:leftChars="0"/>
        <w:rPr>
          <w:rFonts w:hint="eastAsia" w:ascii="仿宋" w:hAnsi="仿宋" w:eastAsia="仿宋" w:cs="仿宋"/>
          <w:b/>
          <w:kern w:val="2"/>
          <w:sz w:val="28"/>
          <w:szCs w:val="28"/>
          <w:lang w:val="en-US" w:eastAsia="zh-CN" w:bidi="ar-SA"/>
        </w:rPr>
      </w:pPr>
      <w:bookmarkStart w:id="2" w:name="_Toc2060"/>
      <w:bookmarkStart w:id="3" w:name="_Toc12867"/>
      <w:r>
        <w:rPr>
          <w:rFonts w:hint="eastAsia" w:ascii="仿宋" w:hAnsi="仿宋" w:eastAsia="仿宋" w:cs="仿宋"/>
          <w:b/>
          <w:kern w:val="2"/>
          <w:sz w:val="28"/>
          <w:szCs w:val="28"/>
          <w:lang w:val="en-US" w:eastAsia="zh-CN" w:bidi="ar-SA"/>
        </w:rPr>
        <w:t>4.2 通用型专病库构建</w:t>
      </w:r>
      <w:bookmarkEnd w:id="2"/>
      <w:bookmarkEnd w:id="3"/>
    </w:p>
    <w:p w14:paraId="7BB89FF9">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支持临床学科根据临床科研、医疗质量提升、医疗服务改善等学科建设和发展要求，自定义快速构建专病库，包括病例报告表定义、专病数据库生成、病例数据纳排、病例报告表字段与医院电子病历数据集的映射、数据采集、数据治理等环节。</w:t>
      </w:r>
    </w:p>
    <w:p w14:paraId="606133EF">
      <w:pPr>
        <w:ind w:firstLine="560" w:firstLineChars="200"/>
        <w:rPr>
          <w:rFonts w:hint="eastAsia" w:ascii="仿宋" w:hAnsi="仿宋" w:eastAsia="仿宋"/>
          <w:sz w:val="28"/>
          <w:szCs w:val="28"/>
        </w:rPr>
      </w:pPr>
      <w:r>
        <w:rPr>
          <w:rFonts w:hint="eastAsia" w:ascii="仿宋" w:hAnsi="仿宋" w:eastAsia="仿宋"/>
          <w:sz w:val="28"/>
          <w:szCs w:val="28"/>
          <w:lang w:val="en-US" w:eastAsia="zh-CN"/>
        </w:rPr>
        <w:t>专病库应具备创建和应用支撑的开放性，临床研究和数据应用的一体化，技术架构支持从单中心向多中心的平滑演进。</w:t>
      </w:r>
    </w:p>
    <w:p w14:paraId="24730B78">
      <w:pPr>
        <w:pStyle w:val="4"/>
        <w:numPr>
          <w:ilvl w:val="2"/>
          <w:numId w:val="0"/>
        </w:numPr>
        <w:ind w:leftChars="0"/>
        <w:rPr>
          <w:rFonts w:hint="eastAsia" w:ascii="仿宋" w:hAnsi="仿宋" w:eastAsia="仿宋" w:cs="仿宋"/>
          <w:b/>
          <w:kern w:val="2"/>
          <w:sz w:val="28"/>
          <w:szCs w:val="28"/>
          <w:lang w:val="en-US" w:eastAsia="zh-CN" w:bidi="ar-SA"/>
        </w:rPr>
      </w:pPr>
      <w:bookmarkStart w:id="4" w:name="_Toc17981"/>
      <w:bookmarkStart w:id="5" w:name="_Toc12389"/>
      <w:r>
        <w:rPr>
          <w:rFonts w:hint="eastAsia" w:ascii="仿宋" w:hAnsi="仿宋" w:eastAsia="仿宋" w:cs="仿宋"/>
          <w:b/>
          <w:kern w:val="2"/>
          <w:sz w:val="28"/>
          <w:szCs w:val="28"/>
          <w:lang w:val="en-US" w:eastAsia="zh-CN" w:bidi="ar-SA"/>
        </w:rPr>
        <w:t>4.3 通用型专病库应用</w:t>
      </w:r>
      <w:bookmarkEnd w:id="4"/>
      <w:bookmarkEnd w:id="5"/>
    </w:p>
    <w:p w14:paraId="6C8BAFDE">
      <w:pPr>
        <w:pStyle w:val="5"/>
        <w:numPr>
          <w:ilvl w:val="3"/>
          <w:numId w:val="0"/>
        </w:numPr>
        <w:spacing w:before="120" w:after="120"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4.3.1 专病数据驾驶舱</w:t>
      </w:r>
    </w:p>
    <w:p w14:paraId="0BBADA41">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依托于</w:t>
      </w:r>
      <w:r>
        <w:rPr>
          <w:rFonts w:hint="eastAsia" w:ascii="仿宋" w:hAnsi="仿宋" w:eastAsia="仿宋"/>
          <w:sz w:val="28"/>
          <w:szCs w:val="28"/>
          <w:lang w:val="en-US" w:eastAsia="zh-CN"/>
        </w:rPr>
        <w:t>专病库病例数据</w:t>
      </w:r>
      <w:r>
        <w:rPr>
          <w:rFonts w:hint="eastAsia" w:ascii="仿宋" w:hAnsi="仿宋" w:eastAsia="仿宋"/>
          <w:sz w:val="28"/>
          <w:szCs w:val="28"/>
          <w:lang w:eastAsia="zh-CN"/>
        </w:rPr>
        <w:t>，构建科研数据驾驶舱，为临床医生和科室主任提供核心指标的可视化展示。通过此平台，用户能够实时监控关键指标，包括但不限于入组数量、时间跨度以及纳排条件等。这些数据的可视化呈现有助于科室管理者更准确地</w:t>
      </w:r>
      <w:r>
        <w:rPr>
          <w:rFonts w:hint="eastAsia" w:ascii="仿宋" w:hAnsi="仿宋" w:eastAsia="仿宋"/>
          <w:sz w:val="28"/>
          <w:szCs w:val="28"/>
          <w:lang w:val="en-US" w:eastAsia="zh-CN"/>
        </w:rPr>
        <w:t>了解专病库入组病例数量、病例构成、数据填充度等</w:t>
      </w:r>
      <w:r>
        <w:rPr>
          <w:rFonts w:hint="eastAsia" w:ascii="仿宋" w:hAnsi="仿宋" w:eastAsia="仿宋"/>
          <w:sz w:val="28"/>
          <w:szCs w:val="28"/>
          <w:lang w:eastAsia="zh-CN"/>
        </w:rPr>
        <w:t>。</w:t>
      </w:r>
    </w:p>
    <w:p w14:paraId="1A53996D">
      <w:pPr>
        <w:pStyle w:val="5"/>
        <w:numPr>
          <w:ilvl w:val="3"/>
          <w:numId w:val="0"/>
        </w:numPr>
        <w:spacing w:before="120" w:after="120" w:line="360" w:lineRule="auto"/>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4.3.2 数据导出管理</w:t>
      </w:r>
    </w:p>
    <w:p w14:paraId="3027BDA4">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为确保数据的安全性和合规性，将对数据导出进行严格的审批，只有在经过授权人员审核批准后，符合条件的病例数据才能被导出。</w:t>
      </w:r>
    </w:p>
    <w:p w14:paraId="7C4E0885">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支持用户灵活设定导出病例数据条件。过滤条件的设置将充分利用病例报告表中数据字典值域字段的取值组合，以便精确地定位到特定的病例群体。</w:t>
      </w:r>
    </w:p>
    <w:p w14:paraId="048E2EE1">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允许用户自定义病例报告表的导出字段。</w:t>
      </w:r>
    </w:p>
    <w:p w14:paraId="39BA8437">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支持住院记录和门诊记录的分别导出。</w:t>
      </w:r>
    </w:p>
    <w:p w14:paraId="436EF1F8">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在导出过程中，患者的身份信息如姓名、手机号、身份证号和详细家庭住址等敏感信息将得到严格保护，不得包含在导出的数据中，以防止隐私泄露和数据滥用。</w:t>
      </w:r>
    </w:p>
    <w:p w14:paraId="12459595">
      <w:pPr>
        <w:pStyle w:val="5"/>
        <w:numPr>
          <w:ilvl w:val="3"/>
          <w:numId w:val="0"/>
        </w:numPr>
        <w:spacing w:before="120" w:after="120" w:line="360" w:lineRule="auto"/>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4.3.3 数据检索服务</w:t>
      </w:r>
    </w:p>
    <w:p w14:paraId="12882A7B">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支持对专病患者进行在线查询检索，检索方式需支持包括简单关键词检索、纳排条件组合检索、条件树组合检索、复杂事件检索等。</w:t>
      </w:r>
    </w:p>
    <w:p w14:paraId="78D58916">
      <w:pPr>
        <w:pStyle w:val="5"/>
        <w:numPr>
          <w:ilvl w:val="3"/>
          <w:numId w:val="0"/>
        </w:numPr>
        <w:spacing w:before="120" w:after="120" w:line="360" w:lineRule="auto"/>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4.3.4 统计分析工具集</w:t>
      </w:r>
    </w:p>
    <w:p w14:paraId="2461463D">
      <w:pPr>
        <w:ind w:firstLine="560" w:firstLineChars="200"/>
        <w:jc w:val="left"/>
        <w:rPr>
          <w:rFonts w:hint="default"/>
          <w:lang w:val="en-US" w:eastAsia="zh-CN"/>
        </w:rPr>
      </w:pPr>
      <w:r>
        <w:rPr>
          <w:rFonts w:hint="eastAsia" w:ascii="仿宋" w:hAnsi="仿宋" w:eastAsia="仿宋"/>
          <w:sz w:val="28"/>
          <w:szCs w:val="28"/>
          <w:lang w:eastAsia="zh-CN"/>
        </w:rPr>
        <w:t>系统提供</w:t>
      </w:r>
      <w:r>
        <w:rPr>
          <w:rFonts w:hint="eastAsia" w:ascii="仿宋" w:hAnsi="仿宋" w:eastAsia="仿宋"/>
          <w:sz w:val="28"/>
          <w:szCs w:val="28"/>
          <w:lang w:val="en-US" w:eastAsia="zh-CN"/>
        </w:rPr>
        <w:t>多</w:t>
      </w:r>
      <w:r>
        <w:rPr>
          <w:rFonts w:hint="eastAsia" w:ascii="仿宋" w:hAnsi="仿宋" w:eastAsia="仿宋"/>
          <w:sz w:val="28"/>
          <w:szCs w:val="28"/>
          <w:lang w:eastAsia="zh-CN"/>
        </w:rPr>
        <w:t>种科研统计分析算法，</w:t>
      </w:r>
      <w:r>
        <w:rPr>
          <w:rFonts w:hint="eastAsia" w:ascii="仿宋" w:hAnsi="仿宋" w:eastAsia="仿宋"/>
          <w:sz w:val="28"/>
          <w:szCs w:val="28"/>
          <w:lang w:val="en-US" w:eastAsia="zh-CN"/>
        </w:rPr>
        <w:t>如</w:t>
      </w:r>
      <w:r>
        <w:rPr>
          <w:rFonts w:hint="eastAsia" w:ascii="仿宋" w:hAnsi="仿宋" w:eastAsia="仿宋"/>
          <w:sz w:val="28"/>
          <w:szCs w:val="28"/>
          <w:lang w:eastAsia="zh-CN"/>
        </w:rPr>
        <w:t>：描述性分析、相关性分析、差异性分析、卡方检验、聚类分析、回归、生存分析及诊断性分析</w:t>
      </w:r>
      <w:r>
        <w:rPr>
          <w:rFonts w:hint="eastAsia" w:ascii="仿宋" w:hAnsi="仿宋" w:eastAsia="仿宋"/>
          <w:sz w:val="28"/>
          <w:szCs w:val="28"/>
          <w:lang w:val="en-US" w:eastAsia="zh-CN"/>
        </w:rPr>
        <w:t>等</w:t>
      </w:r>
    </w:p>
    <w:p w14:paraId="7694BF7A">
      <w:pPr>
        <w:pStyle w:val="4"/>
        <w:numPr>
          <w:ilvl w:val="2"/>
          <w:numId w:val="0"/>
        </w:numPr>
        <w:rPr>
          <w:rFonts w:hint="eastAsia" w:ascii="仿宋" w:hAnsi="仿宋" w:eastAsia="仿宋" w:cs="仿宋"/>
          <w:szCs w:val="28"/>
          <w:lang w:val="en-US" w:eastAsia="zh-CN"/>
        </w:rPr>
      </w:pPr>
      <w:bookmarkStart w:id="6" w:name="_Toc22658"/>
      <w:bookmarkStart w:id="7" w:name="_Toc11104"/>
      <w:r>
        <w:rPr>
          <w:rFonts w:hint="eastAsia" w:ascii="仿宋" w:hAnsi="仿宋" w:eastAsia="仿宋" w:cs="仿宋"/>
          <w:szCs w:val="28"/>
          <w:lang w:val="en-US" w:eastAsia="zh-CN"/>
        </w:rPr>
        <w:t>4.4智慧科研服务</w:t>
      </w:r>
      <w:bookmarkEnd w:id="6"/>
      <w:bookmarkEnd w:id="7"/>
    </w:p>
    <w:p w14:paraId="43829BF0">
      <w:pPr>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辅助科研人员在</w:t>
      </w:r>
      <w:r>
        <w:rPr>
          <w:rFonts w:hint="eastAsia" w:ascii="仿宋" w:hAnsi="仿宋" w:eastAsia="仿宋"/>
          <w:sz w:val="28"/>
          <w:szCs w:val="28"/>
          <w:lang w:val="en-US" w:eastAsia="zh-CN"/>
        </w:rPr>
        <w:t>专病</w:t>
      </w:r>
      <w:r>
        <w:rPr>
          <w:rFonts w:hint="eastAsia" w:ascii="仿宋" w:hAnsi="仿宋" w:eastAsia="仿宋"/>
          <w:sz w:val="28"/>
          <w:szCs w:val="28"/>
          <w:lang w:eastAsia="zh-CN"/>
        </w:rPr>
        <w:t>领域开展课题研究，提供</w:t>
      </w:r>
      <w:r>
        <w:rPr>
          <w:rFonts w:hint="eastAsia" w:ascii="仿宋" w:hAnsi="仿宋" w:eastAsia="仿宋"/>
          <w:sz w:val="28"/>
          <w:szCs w:val="28"/>
          <w:lang w:val="en-US" w:eastAsia="zh-CN"/>
        </w:rPr>
        <w:t>临床科研专病数据</w:t>
      </w:r>
      <w:r>
        <w:rPr>
          <w:rFonts w:hint="eastAsia" w:ascii="仿宋" w:hAnsi="仿宋" w:eastAsia="仿宋"/>
          <w:sz w:val="28"/>
          <w:szCs w:val="28"/>
          <w:lang w:eastAsia="zh-CN"/>
        </w:rPr>
        <w:t>全流程管理服务支持，</w:t>
      </w:r>
      <w:r>
        <w:rPr>
          <w:rFonts w:hint="eastAsia" w:ascii="仿宋" w:hAnsi="仿宋" w:eastAsia="仿宋"/>
          <w:sz w:val="28"/>
          <w:szCs w:val="28"/>
          <w:lang w:val="en-US" w:eastAsia="zh-CN"/>
        </w:rPr>
        <w:t>支持用户做探索性数据分析、按照临床科研设计快速完成研究目标的定性或定量验证，</w:t>
      </w:r>
      <w:r>
        <w:rPr>
          <w:rFonts w:hint="eastAsia" w:ascii="仿宋" w:hAnsi="仿宋" w:eastAsia="仿宋"/>
          <w:sz w:val="28"/>
          <w:szCs w:val="28"/>
          <w:lang w:eastAsia="zh-CN"/>
        </w:rPr>
        <w:t>提升科研效率，</w:t>
      </w:r>
      <w:r>
        <w:rPr>
          <w:rFonts w:hint="eastAsia" w:ascii="仿宋" w:hAnsi="仿宋" w:eastAsia="仿宋"/>
          <w:sz w:val="28"/>
          <w:szCs w:val="28"/>
          <w:lang w:val="en-US" w:eastAsia="zh-CN"/>
        </w:rPr>
        <w:t>具体</w:t>
      </w:r>
      <w:r>
        <w:rPr>
          <w:rFonts w:hint="eastAsia" w:ascii="仿宋" w:hAnsi="仿宋" w:eastAsia="仿宋"/>
          <w:sz w:val="28"/>
          <w:szCs w:val="28"/>
          <w:lang w:eastAsia="zh-CN"/>
        </w:rPr>
        <w:t>包括实现</w:t>
      </w:r>
      <w:r>
        <w:rPr>
          <w:rFonts w:hint="eastAsia" w:ascii="仿宋" w:hAnsi="仿宋" w:eastAsia="仿宋"/>
          <w:sz w:val="28"/>
          <w:szCs w:val="28"/>
          <w:lang w:val="en-US" w:eastAsia="zh-CN"/>
        </w:rPr>
        <w:t>课题</w:t>
      </w:r>
      <w:r>
        <w:rPr>
          <w:rFonts w:hint="eastAsia" w:ascii="仿宋" w:hAnsi="仿宋" w:eastAsia="仿宋"/>
          <w:sz w:val="28"/>
          <w:szCs w:val="28"/>
          <w:lang w:eastAsia="zh-CN"/>
        </w:rPr>
        <w:t>项目创建、队列研究纳排、研究指标（</w:t>
      </w:r>
      <w:r>
        <w:rPr>
          <w:rFonts w:hint="eastAsia" w:ascii="仿宋" w:hAnsi="仿宋" w:eastAsia="仿宋"/>
          <w:sz w:val="28"/>
          <w:szCs w:val="28"/>
          <w:lang w:val="en-US" w:eastAsia="zh-CN"/>
        </w:rPr>
        <w:t>数据集</w:t>
      </w:r>
      <w:r>
        <w:rPr>
          <w:rFonts w:hint="eastAsia" w:ascii="仿宋" w:hAnsi="仿宋" w:eastAsia="仿宋"/>
          <w:sz w:val="28"/>
          <w:szCs w:val="28"/>
          <w:lang w:eastAsia="zh-CN"/>
        </w:rPr>
        <w:t>）设置、</w:t>
      </w:r>
      <w:r>
        <w:rPr>
          <w:rFonts w:hint="eastAsia" w:ascii="仿宋" w:hAnsi="仿宋" w:eastAsia="仿宋"/>
          <w:sz w:val="28"/>
          <w:szCs w:val="28"/>
          <w:lang w:val="en-US" w:eastAsia="zh-CN"/>
        </w:rPr>
        <w:t>病例入组、数据</w:t>
      </w:r>
      <w:r>
        <w:rPr>
          <w:rFonts w:hint="eastAsia" w:ascii="仿宋" w:hAnsi="仿宋" w:eastAsia="仿宋"/>
          <w:sz w:val="28"/>
          <w:szCs w:val="28"/>
          <w:lang w:eastAsia="zh-CN"/>
        </w:rPr>
        <w:t>抽取、</w:t>
      </w:r>
      <w:r>
        <w:rPr>
          <w:rFonts w:hint="eastAsia" w:ascii="仿宋" w:hAnsi="仿宋" w:eastAsia="仿宋"/>
          <w:sz w:val="28"/>
          <w:szCs w:val="28"/>
          <w:lang w:val="en-US" w:eastAsia="zh-CN"/>
        </w:rPr>
        <w:t>数据治理</w:t>
      </w:r>
      <w:r>
        <w:rPr>
          <w:rFonts w:hint="eastAsia" w:ascii="仿宋" w:hAnsi="仿宋" w:eastAsia="仿宋"/>
          <w:sz w:val="28"/>
          <w:szCs w:val="28"/>
          <w:lang w:eastAsia="zh-CN"/>
        </w:rPr>
        <w:t>等一系列流程。</w:t>
      </w:r>
    </w:p>
    <w:p w14:paraId="04A52055">
      <w:pPr>
        <w:pStyle w:val="5"/>
        <w:numPr>
          <w:ilvl w:val="3"/>
          <w:numId w:val="0"/>
        </w:numPr>
        <w:spacing w:before="120" w:after="120" w:line="360" w:lineRule="auto"/>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4.4.1 课题项目创建</w:t>
      </w:r>
    </w:p>
    <w:p w14:paraId="4DD5FDB2">
      <w:pPr>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辅助研究项目设置，支持研究者创建相关的研究项目。创建研究项目时，研究人员需要对相关的研究项目信息进行录入，包括项目名称、项目标签、项目描述等等。</w:t>
      </w:r>
    </w:p>
    <w:p w14:paraId="21E9A2E4">
      <w:pPr>
        <w:pStyle w:val="5"/>
        <w:numPr>
          <w:ilvl w:val="3"/>
          <w:numId w:val="0"/>
        </w:numPr>
        <w:spacing w:before="120" w:after="120" w:line="360" w:lineRule="auto"/>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4.4.2 队列研究纳排</w:t>
      </w:r>
    </w:p>
    <w:p w14:paraId="1B1ACB1D">
      <w:pPr>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提供研究队列</w:t>
      </w:r>
      <w:r>
        <w:rPr>
          <w:rFonts w:hint="eastAsia" w:ascii="仿宋" w:hAnsi="仿宋" w:eastAsia="仿宋"/>
          <w:sz w:val="28"/>
          <w:szCs w:val="28"/>
          <w:lang w:val="en-US" w:eastAsia="zh-CN"/>
        </w:rPr>
        <w:t>构建，及病例</w:t>
      </w:r>
      <w:r>
        <w:rPr>
          <w:rFonts w:hint="eastAsia" w:ascii="仿宋" w:hAnsi="仿宋" w:eastAsia="仿宋"/>
          <w:sz w:val="28"/>
          <w:szCs w:val="28"/>
          <w:lang w:eastAsia="zh-CN"/>
        </w:rPr>
        <w:t>纳排功能，对于每个研究项目，可以根据研究目的对</w:t>
      </w:r>
      <w:r>
        <w:rPr>
          <w:rFonts w:hint="eastAsia" w:ascii="仿宋" w:hAnsi="仿宋" w:eastAsia="仿宋"/>
          <w:sz w:val="28"/>
          <w:szCs w:val="28"/>
          <w:lang w:val="en-US" w:eastAsia="zh-CN"/>
        </w:rPr>
        <w:t>专病库病例患者做二次</w:t>
      </w:r>
      <w:r>
        <w:rPr>
          <w:rFonts w:hint="eastAsia" w:ascii="仿宋" w:hAnsi="仿宋" w:eastAsia="仿宋"/>
          <w:sz w:val="28"/>
          <w:szCs w:val="28"/>
          <w:lang w:eastAsia="zh-CN"/>
        </w:rPr>
        <w:t>纳排操作，</w:t>
      </w:r>
      <w:r>
        <w:rPr>
          <w:rFonts w:hint="eastAsia" w:ascii="仿宋" w:hAnsi="仿宋" w:eastAsia="仿宋"/>
          <w:sz w:val="28"/>
          <w:szCs w:val="28"/>
          <w:lang w:val="en-US" w:eastAsia="zh-CN"/>
        </w:rPr>
        <w:t>其中纳排可基于CRF病例报告表的全结构化数据集字段做组合条件设置，</w:t>
      </w:r>
      <w:r>
        <w:rPr>
          <w:rFonts w:hint="eastAsia" w:ascii="仿宋" w:hAnsi="仿宋" w:eastAsia="仿宋"/>
          <w:sz w:val="28"/>
          <w:szCs w:val="28"/>
          <w:lang w:eastAsia="zh-CN"/>
        </w:rPr>
        <w:t>将符合条件的患者纳入研究项目的队列当中。</w:t>
      </w:r>
    </w:p>
    <w:p w14:paraId="6DEED98B">
      <w:pPr>
        <w:pStyle w:val="5"/>
        <w:numPr>
          <w:ilvl w:val="3"/>
          <w:numId w:val="0"/>
        </w:numPr>
        <w:spacing w:before="120" w:after="120" w:line="360" w:lineRule="auto"/>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4.4.3 研究指标设置</w:t>
      </w:r>
    </w:p>
    <w:p w14:paraId="7F1CAAAB">
      <w:pPr>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提供研究指标的设置功能，支持研究者对于具体要用于研究分析的专病指标进行选取。选取指标时，可以对选取指标的条件进行设置，设置的条件可以包括时序相关逻辑，例如可以抽取就诊人ICU科室后7天以内的检验指标。</w:t>
      </w:r>
    </w:p>
    <w:p w14:paraId="09CC6806">
      <w:pPr>
        <w:pStyle w:val="5"/>
        <w:numPr>
          <w:ilvl w:val="3"/>
          <w:numId w:val="0"/>
        </w:numPr>
        <w:spacing w:before="120" w:after="120" w:line="360" w:lineRule="auto"/>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4.4.4 研究指标抽取和预览</w:t>
      </w:r>
    </w:p>
    <w:p w14:paraId="01BF5213">
      <w:pPr>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提供研究指标的抽取预览功能，指标设置完成后，系统可以自动根据设置条件对相关指标进行抽取，形成独立的研究项目数据库，并且支持预览填充率热点图以及研究数据</w:t>
      </w:r>
      <w:r>
        <w:rPr>
          <w:rFonts w:hint="eastAsia" w:ascii="仿宋" w:hAnsi="仿宋" w:eastAsia="仿宋"/>
          <w:sz w:val="28"/>
          <w:szCs w:val="28"/>
          <w:lang w:val="en-US" w:eastAsia="zh-CN"/>
        </w:rPr>
        <w:t>集</w:t>
      </w:r>
      <w:r>
        <w:rPr>
          <w:rFonts w:hint="eastAsia" w:ascii="仿宋" w:hAnsi="仿宋" w:eastAsia="仿宋"/>
          <w:sz w:val="28"/>
          <w:szCs w:val="28"/>
          <w:lang w:eastAsia="zh-CN"/>
        </w:rPr>
        <w:t>的全部字段等信息。</w:t>
      </w:r>
    </w:p>
    <w:p w14:paraId="23BC569B">
      <w:pPr>
        <w:pStyle w:val="5"/>
        <w:numPr>
          <w:ilvl w:val="3"/>
          <w:numId w:val="0"/>
        </w:numPr>
        <w:spacing w:before="120" w:after="120" w:line="360" w:lineRule="auto"/>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4.4.5 项目数据录入</w:t>
      </w:r>
    </w:p>
    <w:p w14:paraId="0B533887">
      <w:pPr>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在研究项目开展的过程中，研究者可以根据需要对研究队列内患者的研究用指标进行手动编辑和补录。</w:t>
      </w:r>
    </w:p>
    <w:p w14:paraId="12AC50B6">
      <w:pPr>
        <w:pStyle w:val="5"/>
        <w:numPr>
          <w:ilvl w:val="3"/>
          <w:numId w:val="0"/>
        </w:numPr>
        <w:spacing w:before="120" w:after="120" w:line="360" w:lineRule="auto"/>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4.4.6 项目数据导出</w:t>
      </w:r>
    </w:p>
    <w:p w14:paraId="77A11C66">
      <w:pPr>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提供项目数据导出功能，支持将独立的研究项目数据库进行导出操作，导出格式包括至少支持常用的excel格式，便于研究者线下对研究数据表进行进一步编辑和分析。</w:t>
      </w:r>
    </w:p>
    <w:p w14:paraId="7ACB5D6D">
      <w:pPr>
        <w:pStyle w:val="4"/>
        <w:numPr>
          <w:ilvl w:val="2"/>
          <w:numId w:val="0"/>
        </w:numPr>
        <w:rPr>
          <w:rFonts w:hint="eastAsia" w:ascii="仿宋" w:hAnsi="仿宋" w:eastAsia="仿宋" w:cs="仿宋"/>
          <w:szCs w:val="28"/>
          <w:lang w:val="en-US" w:eastAsia="zh-CN"/>
        </w:rPr>
      </w:pPr>
      <w:r>
        <w:rPr>
          <w:rFonts w:hint="eastAsia" w:ascii="仿宋" w:hAnsi="仿宋" w:eastAsia="仿宋" w:cs="仿宋"/>
          <w:szCs w:val="28"/>
          <w:lang w:val="en-US" w:eastAsia="zh-CN"/>
        </w:rPr>
        <w:t>4.5 基于智能体的共病科间转介</w:t>
      </w:r>
    </w:p>
    <w:p w14:paraId="4A538798">
      <w:pPr>
        <w:pStyle w:val="14"/>
        <w:keepNext w:val="0"/>
        <w:keepLines w:val="0"/>
        <w:pageBreakBefore w:val="0"/>
        <w:widowControl/>
        <w:suppressLineNumbers w:val="0"/>
        <w:kinsoku/>
        <w:wordWrap/>
        <w:overflowPunct/>
        <w:topLinePunct w:val="0"/>
        <w:autoSpaceDE/>
        <w:autoSpaceDN/>
        <w:bidi w:val="0"/>
        <w:adjustRightInd/>
        <w:snapToGrid/>
        <w:spacing w:before="167" w:beforeLines="50" w:beforeAutospacing="0" w:afterAutospacing="0" w:line="360" w:lineRule="auto"/>
        <w:ind w:firstLine="560" w:firstLineChars="200"/>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基于大语言模型和智能体的共病科间转介，通过机器学习智能分析患者电子病历、检查检验报告结果、挂号科室或专家、指南共识等关键信息，快速生成患者共病诊疗画像，实现科间转介的精准决策支持，实时识别患者共病风险，精准匹配患者病情和院内诊治资源，减少患者多次往返医院奔波，推动疾病诊治关口前移，减少医患误配，</w:t>
      </w:r>
      <w:r>
        <w:rPr>
          <w:rFonts w:hint="eastAsia" w:ascii="仿宋" w:hAnsi="仿宋" w:eastAsia="仿宋" w:cs="仿宋"/>
          <w:sz w:val="28"/>
          <w:szCs w:val="28"/>
          <w:lang w:val="en-US" w:eastAsia="zh-CN"/>
        </w:rPr>
        <w:t>改善就医感受，提升患者体验</w:t>
      </w:r>
      <w:r>
        <w:rPr>
          <w:rFonts w:hint="eastAsia" w:ascii="仿宋" w:hAnsi="仿宋" w:eastAsia="仿宋" w:cstheme="minorBidi"/>
          <w:kern w:val="2"/>
          <w:sz w:val="28"/>
          <w:szCs w:val="28"/>
          <w:lang w:val="en-US" w:eastAsia="zh-CN" w:bidi="ar-SA"/>
        </w:rPr>
        <w:t>。</w:t>
      </w:r>
    </w:p>
    <w:p w14:paraId="3296D087">
      <w:pPr>
        <w:pStyle w:val="14"/>
        <w:keepNext w:val="0"/>
        <w:keepLines w:val="0"/>
        <w:pageBreakBefore w:val="0"/>
        <w:widowControl/>
        <w:suppressLineNumbers w:val="0"/>
        <w:kinsoku/>
        <w:wordWrap/>
        <w:overflowPunct/>
        <w:topLinePunct w:val="0"/>
        <w:autoSpaceDE/>
        <w:autoSpaceDN/>
        <w:bidi w:val="0"/>
        <w:adjustRightInd/>
        <w:snapToGrid/>
        <w:spacing w:before="167" w:beforeLines="50" w:beforeAutospacing="0" w:afterAutospacing="0" w:line="360" w:lineRule="auto"/>
        <w:ind w:firstLine="560" w:firstLineChars="200"/>
        <w:textAlignment w:val="auto"/>
        <w:rPr>
          <w:rFonts w:hint="default"/>
          <w:lang w:val="en-US" w:eastAsia="zh-CN"/>
        </w:rPr>
      </w:pPr>
      <w:r>
        <w:rPr>
          <w:rFonts w:hint="eastAsia" w:ascii="仿宋" w:hAnsi="仿宋" w:eastAsia="仿宋" w:cstheme="minorBidi"/>
          <w:kern w:val="2"/>
          <w:sz w:val="28"/>
          <w:szCs w:val="28"/>
          <w:lang w:val="en-US" w:eastAsia="zh-CN" w:bidi="ar-SA"/>
        </w:rPr>
        <w:t>相较于传统静态规则驱动的分诊系统，该智能体应具备自主学习能力，不断优化科间转介策略，提高转介的准确度、就诊人次和患者满意度。实际应用中，其应可显著降低患者因科室误配导致的重复就诊，提高跨科协作效率，同时通过闭环反馈机制持续提升推荐准确性，推动医疗资源从“被动响应”向“主动适配”升级，为多病种患者提供精准连贯的诊疗服务。</w:t>
      </w:r>
    </w:p>
    <w:p w14:paraId="4D8561E7">
      <w:pPr>
        <w:pStyle w:val="3"/>
      </w:pPr>
      <w:r>
        <w:rPr>
          <w:rFonts w:ascii="仿宋" w:hAnsi="仿宋" w:eastAsia="仿宋"/>
          <w:szCs w:val="28"/>
        </w:rPr>
        <w:t xml:space="preserve"> </w:t>
      </w:r>
      <w:r>
        <w:rPr>
          <w:rFonts w:hint="eastAsia"/>
        </w:rPr>
        <w:t>运维服务响应要求</w:t>
      </w:r>
    </w:p>
    <w:p w14:paraId="1109BCDA">
      <w:pPr>
        <w:ind w:firstLine="560" w:firstLineChars="200"/>
        <w:rPr>
          <w:rFonts w:ascii="仿宋" w:hAnsi="仿宋" w:eastAsia="仿宋"/>
          <w:sz w:val="28"/>
          <w:szCs w:val="28"/>
        </w:rPr>
      </w:pPr>
      <w:r>
        <w:rPr>
          <w:rFonts w:ascii="仿宋" w:hAnsi="仿宋" w:eastAsia="仿宋"/>
          <w:sz w:val="28"/>
          <w:szCs w:val="28"/>
        </w:rPr>
        <w:t>1、服务方式包括：热线电话服务、远程服务和现场服务等。</w:t>
      </w:r>
    </w:p>
    <w:p w14:paraId="3D9EBA2F">
      <w:pPr>
        <w:ind w:firstLine="560" w:firstLineChars="200"/>
        <w:rPr>
          <w:rFonts w:ascii="仿宋" w:hAnsi="仿宋" w:eastAsia="仿宋"/>
          <w:sz w:val="28"/>
          <w:szCs w:val="28"/>
        </w:rPr>
      </w:pPr>
      <w:r>
        <w:rPr>
          <w:rFonts w:ascii="仿宋" w:hAnsi="仿宋" w:eastAsia="仿宋"/>
          <w:sz w:val="28"/>
          <w:szCs w:val="28"/>
        </w:rPr>
        <w:t>2、服务响应：提供7×24小时的呼叫响应服务，包括对所有技术支持、服务请求、问题解决的电话、邮件、即时通讯服务，对用户提出的要求进行记录、分派、跟踪、管理和分析；若故障发生时，要求快速响应，提供远程故障诊断，不能通过远程方式解决的，要求在2小时内到达故障现场，对问题进行诊断、分析及处理。服务次数不限。</w:t>
      </w:r>
    </w:p>
    <w:p w14:paraId="0D595F64">
      <w:pPr>
        <w:ind w:firstLine="560" w:firstLineChars="200"/>
        <w:rPr>
          <w:rFonts w:ascii="仿宋" w:hAnsi="仿宋" w:eastAsia="仿宋"/>
          <w:sz w:val="28"/>
          <w:szCs w:val="28"/>
        </w:rPr>
      </w:pPr>
      <w:r>
        <w:rPr>
          <w:rFonts w:ascii="仿宋" w:hAnsi="仿宋" w:eastAsia="仿宋"/>
          <w:sz w:val="28"/>
          <w:szCs w:val="28"/>
        </w:rPr>
        <w:t>3、中标人需承诺，本项目在终验后需免费提供1年的运维服务,在</w:t>
      </w:r>
      <w:r>
        <w:rPr>
          <w:rFonts w:hint="eastAsia" w:ascii="仿宋" w:hAnsi="仿宋" w:eastAsia="仿宋"/>
          <w:sz w:val="28"/>
          <w:szCs w:val="28"/>
        </w:rPr>
        <w:t>1年免费</w:t>
      </w:r>
      <w:r>
        <w:rPr>
          <w:rFonts w:ascii="仿宋" w:hAnsi="仿宋" w:eastAsia="仿宋"/>
          <w:sz w:val="28"/>
          <w:szCs w:val="28"/>
        </w:rPr>
        <w:t>运维期间根据政策调整要求对接口进行免费改造适配开发，对医院变更HIS、EMR等系统时对接口适配改造。</w:t>
      </w:r>
    </w:p>
    <w:p w14:paraId="6D16FE80">
      <w:pPr>
        <w:pStyle w:val="3"/>
      </w:pPr>
      <w:r>
        <w:rPr>
          <w:rFonts w:hint="eastAsia"/>
        </w:rPr>
        <w:t>培训要求</w:t>
      </w:r>
    </w:p>
    <w:p w14:paraId="262E5FE0">
      <w:pPr>
        <w:ind w:firstLine="560" w:firstLineChars="200"/>
        <w:rPr>
          <w:rFonts w:ascii="仿宋" w:hAnsi="仿宋" w:eastAsia="仿宋"/>
          <w:sz w:val="28"/>
          <w:szCs w:val="28"/>
        </w:rPr>
      </w:pPr>
      <w:r>
        <w:rPr>
          <w:rFonts w:hint="eastAsia" w:ascii="仿宋" w:hAnsi="仿宋" w:eastAsia="仿宋"/>
          <w:sz w:val="28"/>
          <w:szCs w:val="28"/>
        </w:rPr>
        <w:t>中标人需根据本项目的招标要求和实施经验，按照实施进度提供完整的、切实可行的技术培训方案，使系统管理人员和系统使用人员能够熟练管理、维护系统。</w:t>
      </w:r>
    </w:p>
    <w:p w14:paraId="724EF477">
      <w:pPr>
        <w:pStyle w:val="3"/>
      </w:pPr>
      <w:r>
        <w:rPr>
          <w:rFonts w:hint="eastAsia"/>
        </w:rPr>
        <w:t>保密要求</w:t>
      </w:r>
    </w:p>
    <w:p w14:paraId="5A0574A3">
      <w:pPr>
        <w:ind w:firstLine="560" w:firstLineChars="200"/>
        <w:rPr>
          <w:rFonts w:ascii="仿宋" w:hAnsi="仿宋" w:eastAsia="仿宋"/>
          <w:sz w:val="28"/>
          <w:szCs w:val="28"/>
        </w:rPr>
      </w:pPr>
      <w:r>
        <w:rPr>
          <w:rFonts w:ascii="仿宋" w:hAnsi="仿宋" w:eastAsia="仿宋"/>
          <w:sz w:val="28"/>
          <w:szCs w:val="28"/>
        </w:rPr>
        <w:t>1、中标人应签订保密协议，对其因身份、职务、职业或技术关系而知悉的采购人商业秘密和党政机关保密信息应严格保守，未经建设单位书面许可，中标人不得以任何形式向第三方透露本项目标书、本项目内容，保证不被披露或使用，包括意外或过失。</w:t>
      </w:r>
    </w:p>
    <w:p w14:paraId="1E58715A">
      <w:pPr>
        <w:ind w:firstLine="560" w:firstLineChars="200"/>
        <w:rPr>
          <w:rFonts w:ascii="仿宋" w:hAnsi="仿宋" w:eastAsia="仿宋"/>
          <w:sz w:val="28"/>
          <w:szCs w:val="28"/>
        </w:rPr>
      </w:pPr>
      <w:r>
        <w:rPr>
          <w:rFonts w:ascii="仿宋" w:hAnsi="仿宋" w:eastAsia="仿宋"/>
          <w:sz w:val="28"/>
          <w:szCs w:val="28"/>
        </w:rPr>
        <w:t>2、中标人不得以竞争为目的、或出于私利、或为第三人谋利而擅自保存、披露、使用采购人商业秘密和党政机关保密、项目信息（包含内部资料、技术文档、数据和信息等）；不得直接或间接地向无关人员泄露采购人的商业秘密和党政机关保密信息项目信息（包含内部资料、技术文档、数据和信息等）；不得向不承担保密义务的任何第三人披露采购人的商业秘密和党政机关保密信息、项目信息（包含内部资料、技术文档、数据和信息等）。中标人在从事政府项目时，不得擅自记录、复制、拍摄、摘抄、收藏在工作中涉及的保密信息，严禁将涉及政府项目的任何资料、数据透</w:t>
      </w:r>
      <w:r>
        <w:rPr>
          <w:rFonts w:hint="eastAsia" w:ascii="仿宋" w:hAnsi="仿宋" w:eastAsia="仿宋"/>
          <w:sz w:val="28"/>
          <w:szCs w:val="28"/>
        </w:rPr>
        <w:t>露或以其他方式提供给项目以外的其他方或中标人内部与该项目无关的任何人员。</w:t>
      </w:r>
      <w:r>
        <w:rPr>
          <w:rFonts w:ascii="仿宋" w:hAnsi="仿宋" w:eastAsia="仿宋"/>
          <w:sz w:val="28"/>
          <w:szCs w:val="28"/>
        </w:rPr>
        <w:t xml:space="preserve"> </w:t>
      </w:r>
    </w:p>
    <w:p w14:paraId="42013EE5">
      <w:pPr>
        <w:ind w:firstLine="560" w:firstLineChars="200"/>
        <w:rPr>
          <w:rFonts w:ascii="仿宋" w:hAnsi="仿宋" w:eastAsia="仿宋"/>
          <w:sz w:val="28"/>
          <w:szCs w:val="28"/>
        </w:rPr>
      </w:pPr>
      <w:r>
        <w:rPr>
          <w:rFonts w:ascii="仿宋" w:hAnsi="仿宋" w:eastAsia="仿宋"/>
          <w:sz w:val="28"/>
          <w:szCs w:val="28"/>
        </w:rPr>
        <w:t>3、中标人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14:paraId="7B1E93E7">
      <w:pPr>
        <w:pStyle w:val="3"/>
      </w:pPr>
      <w:r>
        <w:rPr>
          <w:rFonts w:hint="eastAsia"/>
        </w:rPr>
        <w:t>监理要求</w:t>
      </w:r>
    </w:p>
    <w:p w14:paraId="5F1D021F">
      <w:pPr>
        <w:ind w:firstLine="560" w:firstLineChars="200"/>
        <w:rPr>
          <w:rFonts w:ascii="仿宋" w:hAnsi="仿宋" w:eastAsia="仿宋"/>
          <w:sz w:val="28"/>
          <w:szCs w:val="28"/>
        </w:rPr>
      </w:pPr>
      <w:r>
        <w:rPr>
          <w:rFonts w:hint="eastAsia" w:ascii="仿宋" w:hAnsi="仿宋" w:eastAsia="仿宋"/>
          <w:sz w:val="28"/>
          <w:szCs w:val="28"/>
        </w:rPr>
        <w:t>中标人须承诺，在项目开展过程中接受采购人指定的咨询监理机构的监理。</w:t>
      </w:r>
    </w:p>
    <w:p w14:paraId="76E74D2E">
      <w:pPr>
        <w:pStyle w:val="3"/>
      </w:pPr>
      <w:r>
        <w:rPr>
          <w:rFonts w:hint="eastAsia"/>
        </w:rPr>
        <w:t>验收标准</w:t>
      </w:r>
    </w:p>
    <w:p w14:paraId="2288C976">
      <w:pPr>
        <w:ind w:firstLine="560" w:firstLineChars="200"/>
        <w:rPr>
          <w:rFonts w:ascii="仿宋" w:hAnsi="仿宋" w:eastAsia="仿宋"/>
          <w:sz w:val="28"/>
          <w:szCs w:val="28"/>
        </w:rPr>
      </w:pPr>
      <w:r>
        <w:rPr>
          <w:rFonts w:hint="eastAsia" w:ascii="仿宋" w:hAnsi="仿宋" w:eastAsia="仿宋"/>
          <w:sz w:val="28"/>
          <w:szCs w:val="28"/>
        </w:rPr>
        <w:t>本项目的验收应遵循下列标准：</w:t>
      </w:r>
    </w:p>
    <w:p w14:paraId="74A56F22">
      <w:pPr>
        <w:ind w:firstLine="560" w:firstLineChars="200"/>
        <w:rPr>
          <w:rFonts w:ascii="仿宋" w:hAnsi="仿宋" w:eastAsia="仿宋"/>
          <w:sz w:val="28"/>
          <w:szCs w:val="28"/>
        </w:rPr>
      </w:pPr>
      <w:r>
        <w:rPr>
          <w:rFonts w:ascii="仿宋" w:hAnsi="仿宋" w:eastAsia="仿宋"/>
          <w:sz w:val="28"/>
          <w:szCs w:val="28"/>
        </w:rPr>
        <w:t>1.完成合同和招标文件、投标文件中列举的全部平台功能，并符合设计要求；</w:t>
      </w:r>
    </w:p>
    <w:p w14:paraId="09A55F32">
      <w:pPr>
        <w:ind w:firstLine="560" w:firstLineChars="200"/>
        <w:rPr>
          <w:rFonts w:ascii="仿宋" w:hAnsi="仿宋" w:eastAsia="仿宋"/>
          <w:sz w:val="28"/>
          <w:szCs w:val="28"/>
        </w:rPr>
      </w:pPr>
      <w:r>
        <w:rPr>
          <w:rFonts w:ascii="仿宋" w:hAnsi="仿宋" w:eastAsia="仿宋"/>
          <w:sz w:val="28"/>
          <w:szCs w:val="28"/>
        </w:rPr>
        <w:t>2.完成所投系统的测试，具备可上线运行的条件；</w:t>
      </w:r>
    </w:p>
    <w:p w14:paraId="2841ADC0">
      <w:pPr>
        <w:ind w:firstLine="560" w:firstLineChars="200"/>
        <w:rPr>
          <w:rFonts w:ascii="仿宋" w:hAnsi="仿宋" w:eastAsia="仿宋"/>
          <w:sz w:val="28"/>
          <w:szCs w:val="28"/>
        </w:rPr>
      </w:pPr>
      <w:r>
        <w:rPr>
          <w:rFonts w:ascii="仿宋" w:hAnsi="仿宋" w:eastAsia="仿宋"/>
          <w:sz w:val="28"/>
          <w:szCs w:val="28"/>
        </w:rPr>
        <w:t>3.提交了合同规定的文档；</w:t>
      </w:r>
    </w:p>
    <w:p w14:paraId="7AB35525">
      <w:pPr>
        <w:ind w:firstLine="560" w:firstLineChars="200"/>
        <w:rPr>
          <w:rFonts w:ascii="仿宋" w:hAnsi="仿宋" w:eastAsia="仿宋"/>
          <w:sz w:val="28"/>
          <w:szCs w:val="28"/>
        </w:rPr>
      </w:pPr>
      <w:r>
        <w:rPr>
          <w:rFonts w:ascii="仿宋" w:hAnsi="仿宋" w:eastAsia="仿宋"/>
          <w:sz w:val="28"/>
          <w:szCs w:val="28"/>
        </w:rPr>
        <w:t>4.完成系统业务培训工作，用户意见书均达到基本满意或以上。</w:t>
      </w:r>
    </w:p>
    <w:p w14:paraId="22630A8D">
      <w:pPr>
        <w:pStyle w:val="3"/>
      </w:pPr>
      <w:r>
        <w:rPr>
          <w:rFonts w:hint="eastAsia"/>
        </w:rPr>
        <w:t>付款方式</w:t>
      </w:r>
    </w:p>
    <w:p w14:paraId="4C9884C9">
      <w:pPr>
        <w:ind w:firstLine="560" w:firstLineChars="200"/>
        <w:rPr>
          <w:rFonts w:ascii="仿宋" w:hAnsi="仿宋" w:eastAsia="仿宋"/>
          <w:sz w:val="28"/>
          <w:szCs w:val="28"/>
        </w:rPr>
      </w:pPr>
      <w:r>
        <w:rPr>
          <w:rFonts w:hint="eastAsia" w:ascii="仿宋" w:hAnsi="仿宋" w:eastAsia="仿宋"/>
          <w:sz w:val="28"/>
          <w:szCs w:val="28"/>
        </w:rPr>
        <w:t>本项目计划分</w:t>
      </w:r>
      <w:r>
        <w:rPr>
          <w:rFonts w:ascii="仿宋" w:hAnsi="仿宋" w:eastAsia="仿宋"/>
          <w:sz w:val="28"/>
          <w:szCs w:val="28"/>
        </w:rPr>
        <w:t>3期支付，具体支付方式和时间如下：</w:t>
      </w:r>
    </w:p>
    <w:p w14:paraId="122AEA64">
      <w:pPr>
        <w:ind w:firstLine="560" w:firstLineChars="200"/>
        <w:rPr>
          <w:rFonts w:ascii="仿宋" w:hAnsi="仿宋" w:eastAsia="仿宋"/>
          <w:sz w:val="28"/>
          <w:szCs w:val="28"/>
        </w:rPr>
      </w:pPr>
      <w:r>
        <w:rPr>
          <w:rFonts w:ascii="仿宋" w:hAnsi="仿宋" w:eastAsia="仿宋"/>
          <w:sz w:val="28"/>
          <w:szCs w:val="28"/>
        </w:rPr>
        <w:t>1、首期款：签订合同后10个工作日内，乙方书面提出支付申</w:t>
      </w:r>
      <w:bookmarkStart w:id="8" w:name="_GoBack"/>
      <w:bookmarkEnd w:id="8"/>
      <w:r>
        <w:rPr>
          <w:rFonts w:ascii="仿宋" w:hAnsi="仿宋" w:eastAsia="仿宋"/>
          <w:sz w:val="28"/>
          <w:szCs w:val="28"/>
        </w:rPr>
        <w:t>请函及拟支付金额等额的符合甲方财务管理要求的相应发票，甲方确认后启动首期款支付流程，约占合同总金额的30%。</w:t>
      </w:r>
    </w:p>
    <w:p w14:paraId="136EA9DD">
      <w:pPr>
        <w:ind w:firstLine="560" w:firstLineChars="200"/>
        <w:rPr>
          <w:rFonts w:ascii="仿宋" w:hAnsi="仿宋" w:eastAsia="仿宋"/>
          <w:sz w:val="28"/>
          <w:szCs w:val="28"/>
        </w:rPr>
      </w:pPr>
      <w:r>
        <w:rPr>
          <w:rFonts w:ascii="仿宋" w:hAnsi="仿宋" w:eastAsia="仿宋"/>
          <w:sz w:val="28"/>
          <w:szCs w:val="28"/>
        </w:rPr>
        <w:t>2、初验款：项目初验后的10个工作日内，乙方书面提出支付申请函及拟支付金额等额的符合甲方财务管理要求的相应发票，甲方确认后启动进度款支付流程，约占合同总金额的</w:t>
      </w:r>
      <w:r>
        <w:rPr>
          <w:rFonts w:hint="eastAsia" w:ascii="仿宋" w:hAnsi="仿宋" w:eastAsia="仿宋"/>
          <w:sz w:val="28"/>
          <w:szCs w:val="28"/>
          <w:lang w:val="en-US" w:eastAsia="zh-CN"/>
        </w:rPr>
        <w:t>6</w:t>
      </w:r>
      <w:r>
        <w:rPr>
          <w:rFonts w:ascii="仿宋" w:hAnsi="仿宋" w:eastAsia="仿宋"/>
          <w:sz w:val="28"/>
          <w:szCs w:val="28"/>
        </w:rPr>
        <w:t>0%。</w:t>
      </w:r>
    </w:p>
    <w:p w14:paraId="17774B38">
      <w:pPr>
        <w:ind w:firstLine="560" w:firstLineChars="200"/>
        <w:rPr>
          <w:rFonts w:ascii="仿宋" w:hAnsi="仿宋" w:eastAsia="仿宋"/>
          <w:sz w:val="28"/>
          <w:szCs w:val="28"/>
        </w:rPr>
      </w:pPr>
      <w:r>
        <w:rPr>
          <w:rFonts w:ascii="仿宋" w:hAnsi="仿宋" w:eastAsia="仿宋"/>
          <w:sz w:val="28"/>
          <w:szCs w:val="28"/>
        </w:rPr>
        <w:t>3、终验款：项目验收后10个工作日内，乙方书面提出支付申请函及拟支付金额等额的符合甲方财务管理要求的相应发票，甲方确认后启动尾款支付流程，约占合同总金额的</w:t>
      </w:r>
      <w:r>
        <w:rPr>
          <w:rFonts w:hint="eastAsia" w:ascii="仿宋" w:hAnsi="仿宋" w:eastAsia="仿宋"/>
          <w:sz w:val="28"/>
          <w:szCs w:val="28"/>
          <w:lang w:val="en-US" w:eastAsia="zh-CN"/>
        </w:rPr>
        <w:t>1</w:t>
      </w:r>
      <w:r>
        <w:rPr>
          <w:rFonts w:ascii="仿宋" w:hAnsi="仿宋" w:eastAsia="仿宋"/>
          <w:sz w:val="28"/>
          <w:szCs w:val="28"/>
        </w:rPr>
        <w:t>0%。</w:t>
      </w:r>
    </w:p>
    <w:p w14:paraId="09706F22">
      <w:pPr>
        <w:pStyle w:val="3"/>
      </w:pPr>
      <w:r>
        <w:rPr>
          <w:rFonts w:hint="eastAsia"/>
        </w:rPr>
        <w:t>其它说明</w:t>
      </w:r>
    </w:p>
    <w:p w14:paraId="38D54069">
      <w:pPr>
        <w:ind w:firstLine="560" w:firstLineChars="200"/>
        <w:rPr>
          <w:rFonts w:ascii="仿宋" w:hAnsi="仿宋" w:eastAsia="仿宋"/>
          <w:sz w:val="28"/>
          <w:szCs w:val="28"/>
        </w:rPr>
      </w:pPr>
      <w:r>
        <w:rPr>
          <w:rFonts w:ascii="仿宋" w:hAnsi="仿宋" w:eastAsia="仿宋"/>
          <w:sz w:val="28"/>
          <w:szCs w:val="28"/>
        </w:rPr>
        <w:t>1.中标人应按计划完工交付验收，如在合同预定的工期内，无法达成规定的技术指标，中标人应负责无条件返工。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1350543"/>
      <w:docPartObj>
        <w:docPartGallery w:val="autotext"/>
      </w:docPartObj>
    </w:sdtPr>
    <w:sdtContent>
      <w:p w14:paraId="1E8622B2">
        <w:pPr>
          <w:pStyle w:val="12"/>
          <w:jc w:val="center"/>
        </w:pPr>
        <w:r>
          <w:fldChar w:fldCharType="begin"/>
        </w:r>
        <w:r>
          <w:instrText xml:space="preserve">PAGE   \* MERGEFORMAT</w:instrText>
        </w:r>
        <w:r>
          <w:fldChar w:fldCharType="separate"/>
        </w:r>
        <w:r>
          <w:rPr>
            <w:lang w:val="zh-CN"/>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240F0"/>
    <w:multiLevelType w:val="singleLevel"/>
    <w:tmpl w:val="89B240F0"/>
    <w:lvl w:ilvl="0" w:tentative="0">
      <w:start w:val="1"/>
      <w:numFmt w:val="decimal"/>
      <w:suff w:val="space"/>
      <w:lvlText w:val="%1."/>
      <w:lvlJc w:val="left"/>
    </w:lvl>
  </w:abstractNum>
  <w:abstractNum w:abstractNumId="1">
    <w:nsid w:val="98AD25E1"/>
    <w:multiLevelType w:val="multilevel"/>
    <w:tmpl w:val="98AD25E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BF614DF2"/>
    <w:multiLevelType w:val="multilevel"/>
    <w:tmpl w:val="BF614DF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FFBE92D7"/>
    <w:multiLevelType w:val="singleLevel"/>
    <w:tmpl w:val="FFBE92D7"/>
    <w:lvl w:ilvl="0" w:tentative="0">
      <w:start w:val="1"/>
      <w:numFmt w:val="lowerLetter"/>
      <w:pStyle w:val="29"/>
      <w:lvlText w:val="（%1）"/>
      <w:lvlJc w:val="left"/>
      <w:pPr>
        <w:tabs>
          <w:tab w:val="left" w:pos="420"/>
        </w:tabs>
        <w:ind w:left="425" w:hanging="425"/>
      </w:pPr>
      <w:rPr>
        <w:rFonts w:hint="default" w:ascii="Times New Roman" w:hAnsi="Times New Roman" w:eastAsia="仿宋" w:cs="Times New Roman"/>
        <w:sz w:val="28"/>
        <w:szCs w:val="28"/>
      </w:rPr>
    </w:lvl>
  </w:abstractNum>
  <w:abstractNum w:abstractNumId="4">
    <w:nsid w:val="01AC2663"/>
    <w:multiLevelType w:val="multilevel"/>
    <w:tmpl w:val="01AC266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7835E06"/>
    <w:multiLevelType w:val="multilevel"/>
    <w:tmpl w:val="07835E06"/>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0440A32"/>
    <w:multiLevelType w:val="singleLevel"/>
    <w:tmpl w:val="10440A32"/>
    <w:lvl w:ilvl="0" w:tentative="0">
      <w:start w:val="1"/>
      <w:numFmt w:val="decimal"/>
      <w:suff w:val="space"/>
      <w:lvlText w:val="%1."/>
      <w:lvlJc w:val="left"/>
    </w:lvl>
  </w:abstractNum>
  <w:abstractNum w:abstractNumId="7">
    <w:nsid w:val="14147450"/>
    <w:multiLevelType w:val="multilevel"/>
    <w:tmpl w:val="1414745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2BA92906"/>
    <w:multiLevelType w:val="multilevel"/>
    <w:tmpl w:val="2BA92906"/>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34A1D6C7"/>
    <w:multiLevelType w:val="multilevel"/>
    <w:tmpl w:val="34A1D6C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370D33A2"/>
    <w:multiLevelType w:val="multilevel"/>
    <w:tmpl w:val="370D33A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37991F2D"/>
    <w:multiLevelType w:val="multilevel"/>
    <w:tmpl w:val="37991F2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45133286"/>
    <w:multiLevelType w:val="multilevel"/>
    <w:tmpl w:val="45133286"/>
    <w:lvl w:ilvl="0" w:tentative="0">
      <w:start w:val="1"/>
      <w:numFmt w:val="chineseCountingThousand"/>
      <w:pStyle w:val="2"/>
      <w:lvlText w:val="%1."/>
      <w:lvlJc w:val="left"/>
      <w:pPr>
        <w:ind w:left="0" w:firstLine="0"/>
      </w:pPr>
      <w:rPr>
        <w:rFonts w:hint="eastAsia" w:ascii="宋体" w:hAnsi="宋体" w:eastAsia="宋体"/>
        <w:b/>
        <w:i w:val="0"/>
        <w:sz w:val="32"/>
        <w:szCs w:val="21"/>
      </w:rPr>
    </w:lvl>
    <w:lvl w:ilvl="1" w:tentative="0">
      <w:start w:val="1"/>
      <w:numFmt w:val="decimal"/>
      <w:pStyle w:val="3"/>
      <w:lvlText w:val="%2."/>
      <w:lvlJc w:val="left"/>
      <w:pPr>
        <w:ind w:left="0" w:firstLine="0"/>
      </w:pPr>
      <w:rPr>
        <w:rFonts w:hint="eastAsia"/>
      </w:rPr>
    </w:lvl>
    <w:lvl w:ilvl="2" w:tentative="0">
      <w:start w:val="1"/>
      <w:numFmt w:val="decimal"/>
      <w:pStyle w:val="4"/>
      <w:isLgl/>
      <w:lvlText w:val="%2.%3."/>
      <w:lvlJc w:val="left"/>
      <w:pPr>
        <w:ind w:left="0" w:firstLine="0"/>
      </w:pPr>
      <w:rPr>
        <w:rFonts w:hint="eastAsia"/>
      </w:rPr>
    </w:lvl>
    <w:lvl w:ilvl="3" w:tentative="0">
      <w:start w:val="1"/>
      <w:numFmt w:val="decimal"/>
      <w:pStyle w:val="5"/>
      <w:lvlText w:val="%2.%3.%4."/>
      <w:lvlJc w:val="left"/>
      <w:pPr>
        <w:ind w:left="0" w:firstLine="0"/>
      </w:pPr>
      <w:rPr>
        <w:rFonts w:hint="eastAsia"/>
      </w:rPr>
    </w:lvl>
    <w:lvl w:ilvl="4" w:tentative="0">
      <w:start w:val="1"/>
      <w:numFmt w:val="decimal"/>
      <w:pStyle w:val="6"/>
      <w:lvlText w:val="%2.%3.%4.%5."/>
      <w:lvlJc w:val="left"/>
      <w:pPr>
        <w:ind w:left="0" w:firstLine="0"/>
      </w:pPr>
      <w:rPr>
        <w:rFonts w:hint="eastAsia"/>
      </w:rPr>
    </w:lvl>
    <w:lvl w:ilvl="5" w:tentative="0">
      <w:start w:val="1"/>
      <w:numFmt w:val="decimal"/>
      <w:pStyle w:val="7"/>
      <w:isLgl/>
      <w:lvlText w:val="%2.%3.%4.%5.%6."/>
      <w:lvlJc w:val="left"/>
      <w:pPr>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isLgl/>
      <w:lvlText w:val="%2.%3.%4.%5.%6.%7."/>
      <w:lvlJc w:val="left"/>
      <w:pPr>
        <w:ind w:left="0" w:firstLine="0"/>
      </w:pPr>
      <w:rPr>
        <w:rFonts w:hint="default" w:ascii="Times New Roman" w:hAnsi="Times New Roman" w:eastAsia="宋体"/>
        <w:b/>
        <w:i w:val="0"/>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3">
    <w:nsid w:val="45E94498"/>
    <w:multiLevelType w:val="multilevel"/>
    <w:tmpl w:val="45E9449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475C5254"/>
    <w:multiLevelType w:val="multilevel"/>
    <w:tmpl w:val="475C525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49300B21"/>
    <w:multiLevelType w:val="multilevel"/>
    <w:tmpl w:val="49300B2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66941921"/>
    <w:multiLevelType w:val="multilevel"/>
    <w:tmpl w:val="6694192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70D033C0"/>
    <w:multiLevelType w:val="multilevel"/>
    <w:tmpl w:val="70D033C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75064AC2"/>
    <w:multiLevelType w:val="multilevel"/>
    <w:tmpl w:val="75064AC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7D585580"/>
    <w:multiLevelType w:val="multilevel"/>
    <w:tmpl w:val="7D58558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7D6569FE"/>
    <w:multiLevelType w:val="multilevel"/>
    <w:tmpl w:val="7D6569F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7FBB7EBC"/>
    <w:multiLevelType w:val="multilevel"/>
    <w:tmpl w:val="7FBB7EB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2"/>
  </w:num>
  <w:num w:numId="2">
    <w:abstractNumId w:val="3"/>
  </w:num>
  <w:num w:numId="3">
    <w:abstractNumId w:val="16"/>
  </w:num>
  <w:num w:numId="4">
    <w:abstractNumId w:val="10"/>
  </w:num>
  <w:num w:numId="5">
    <w:abstractNumId w:val="14"/>
  </w:num>
  <w:num w:numId="6">
    <w:abstractNumId w:val="7"/>
  </w:num>
  <w:num w:numId="7">
    <w:abstractNumId w:val="18"/>
  </w:num>
  <w:num w:numId="8">
    <w:abstractNumId w:val="6"/>
  </w:num>
  <w:num w:numId="9">
    <w:abstractNumId w:val="13"/>
  </w:num>
  <w:num w:numId="10">
    <w:abstractNumId w:val="17"/>
  </w:num>
  <w:num w:numId="11">
    <w:abstractNumId w:val="11"/>
  </w:num>
  <w:num w:numId="12">
    <w:abstractNumId w:val="5"/>
  </w:num>
  <w:num w:numId="13">
    <w:abstractNumId w:val="21"/>
  </w:num>
  <w:num w:numId="14">
    <w:abstractNumId w:val="20"/>
  </w:num>
  <w:num w:numId="15">
    <w:abstractNumId w:val="15"/>
  </w:num>
  <w:num w:numId="16">
    <w:abstractNumId w:val="0"/>
  </w:num>
  <w:num w:numId="17">
    <w:abstractNumId w:val="8"/>
  </w:num>
  <w:num w:numId="18">
    <w:abstractNumId w:val="4"/>
  </w:num>
  <w:num w:numId="19">
    <w:abstractNumId w:val="1"/>
  </w:num>
  <w:num w:numId="20">
    <w:abstractNumId w:val="2"/>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5E"/>
    <w:rsid w:val="0027136C"/>
    <w:rsid w:val="003536A5"/>
    <w:rsid w:val="0057118B"/>
    <w:rsid w:val="005F3E5E"/>
    <w:rsid w:val="005F4FEF"/>
    <w:rsid w:val="009922A6"/>
    <w:rsid w:val="00A53332"/>
    <w:rsid w:val="00C00595"/>
    <w:rsid w:val="00C664FC"/>
    <w:rsid w:val="00CC7EF9"/>
    <w:rsid w:val="00CE4DFD"/>
    <w:rsid w:val="00D27431"/>
    <w:rsid w:val="00EF7795"/>
    <w:rsid w:val="00F34995"/>
    <w:rsid w:val="00F8278B"/>
    <w:rsid w:val="078220C8"/>
    <w:rsid w:val="0AA53284"/>
    <w:rsid w:val="34C07729"/>
    <w:rsid w:val="5D610FFC"/>
    <w:rsid w:val="6E055752"/>
    <w:rsid w:val="757B5EF4"/>
    <w:rsid w:val="77B10716"/>
    <w:rsid w:val="7B224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numPr>
        <w:ilvl w:val="0"/>
        <w:numId w:val="1"/>
      </w:numPr>
      <w:spacing w:before="163" w:beforeLines="50" w:after="163" w:line="360" w:lineRule="auto"/>
      <w:outlineLvl w:val="0"/>
    </w:pPr>
    <w:rPr>
      <w:rFonts w:ascii="Times New Roman" w:hAnsi="Times New Roman" w:eastAsia="宋体" w:cs="Times New Roman"/>
      <w:b/>
      <w:kern w:val="44"/>
      <w:sz w:val="32"/>
      <w:szCs w:val="24"/>
    </w:rPr>
  </w:style>
  <w:style w:type="paragraph" w:styleId="3">
    <w:name w:val="heading 2"/>
    <w:basedOn w:val="1"/>
    <w:next w:val="1"/>
    <w:link w:val="22"/>
    <w:qFormat/>
    <w:uiPriority w:val="0"/>
    <w:pPr>
      <w:keepNext/>
      <w:keepLines/>
      <w:numPr>
        <w:ilvl w:val="1"/>
        <w:numId w:val="1"/>
      </w:numPr>
      <w:spacing w:before="163" w:after="163" w:line="360" w:lineRule="auto"/>
      <w:outlineLvl w:val="1"/>
    </w:pPr>
    <w:rPr>
      <w:rFonts w:ascii="Times New Roman" w:hAnsi="Times New Roman" w:eastAsia="宋体" w:cs="Times New Roman"/>
      <w:b/>
      <w:sz w:val="28"/>
      <w:szCs w:val="20"/>
    </w:rPr>
  </w:style>
  <w:style w:type="paragraph" w:styleId="4">
    <w:name w:val="heading 3"/>
    <w:basedOn w:val="1"/>
    <w:link w:val="23"/>
    <w:qFormat/>
    <w:uiPriority w:val="0"/>
    <w:pPr>
      <w:keepNext/>
      <w:keepLines/>
      <w:numPr>
        <w:ilvl w:val="2"/>
        <w:numId w:val="1"/>
      </w:numPr>
      <w:spacing w:before="163" w:after="163" w:line="360" w:lineRule="auto"/>
      <w:outlineLvl w:val="2"/>
    </w:pPr>
    <w:rPr>
      <w:rFonts w:ascii="Times New Roman" w:hAnsi="Times New Roman" w:eastAsia="宋体" w:cs="Times New Roman"/>
      <w:b/>
      <w:sz w:val="28"/>
      <w:szCs w:val="20"/>
    </w:rPr>
  </w:style>
  <w:style w:type="paragraph" w:styleId="5">
    <w:name w:val="heading 4"/>
    <w:basedOn w:val="1"/>
    <w:next w:val="1"/>
    <w:link w:val="24"/>
    <w:qFormat/>
    <w:uiPriority w:val="0"/>
    <w:pPr>
      <w:keepNext/>
      <w:keepLines/>
      <w:numPr>
        <w:ilvl w:val="3"/>
        <w:numId w:val="1"/>
      </w:numPr>
      <w:spacing w:before="163" w:after="163" w:line="360" w:lineRule="auto"/>
      <w:outlineLvl w:val="3"/>
    </w:pPr>
    <w:rPr>
      <w:rFonts w:ascii="Times New Roman" w:hAnsi="Times New Roman" w:eastAsia="宋体" w:cs="Times New Roman"/>
      <w:b/>
      <w:sz w:val="28"/>
      <w:szCs w:val="20"/>
    </w:rPr>
  </w:style>
  <w:style w:type="paragraph" w:styleId="6">
    <w:name w:val="heading 5"/>
    <w:basedOn w:val="1"/>
    <w:next w:val="1"/>
    <w:link w:val="25"/>
    <w:qFormat/>
    <w:uiPriority w:val="0"/>
    <w:pPr>
      <w:keepNext/>
      <w:keepLines/>
      <w:numPr>
        <w:ilvl w:val="4"/>
        <w:numId w:val="1"/>
      </w:numPr>
      <w:spacing w:before="156" w:after="156" w:line="360" w:lineRule="auto"/>
      <w:outlineLvl w:val="4"/>
    </w:pPr>
    <w:rPr>
      <w:rFonts w:ascii="Times New Roman" w:hAnsi="Times New Roman" w:eastAsia="宋体" w:cs="Times New Roman"/>
      <w:b/>
      <w:sz w:val="28"/>
      <w:szCs w:val="20"/>
    </w:rPr>
  </w:style>
  <w:style w:type="paragraph" w:styleId="7">
    <w:name w:val="heading 6"/>
    <w:basedOn w:val="1"/>
    <w:next w:val="1"/>
    <w:link w:val="26"/>
    <w:unhideWhenUsed/>
    <w:qFormat/>
    <w:uiPriority w:val="9"/>
    <w:pPr>
      <w:keepNext/>
      <w:keepLines/>
      <w:numPr>
        <w:ilvl w:val="5"/>
        <w:numId w:val="1"/>
      </w:numPr>
      <w:spacing w:before="240" w:after="64" w:line="320" w:lineRule="auto"/>
      <w:outlineLvl w:val="5"/>
    </w:pPr>
    <w:rPr>
      <w:rFonts w:ascii="Calibri Light" w:hAnsi="Calibri Light" w:eastAsia="宋体" w:cs="Times New Roman"/>
      <w:b/>
      <w:bCs/>
      <w:sz w:val="24"/>
      <w:szCs w:val="24"/>
    </w:rPr>
  </w:style>
  <w:style w:type="paragraph" w:styleId="8">
    <w:name w:val="heading 7"/>
    <w:basedOn w:val="1"/>
    <w:next w:val="1"/>
    <w:link w:val="27"/>
    <w:unhideWhenUsed/>
    <w:qFormat/>
    <w:uiPriority w:val="9"/>
    <w:pPr>
      <w:keepNext/>
      <w:keepLines/>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28"/>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semiHidden/>
    <w:unhideWhenUsed/>
    <w:qFormat/>
    <w:uiPriority w:val="99"/>
    <w:pPr>
      <w:jc w:val="left"/>
    </w:pPr>
  </w:style>
  <w:style w:type="paragraph" w:styleId="11">
    <w:name w:val="Plain Text"/>
    <w:basedOn w:val="1"/>
    <w:qFormat/>
    <w:uiPriority w:val="0"/>
    <w:rPr>
      <w:rFonts w:ascii="宋体" w:hAnsi="Courier New"/>
      <w:szCs w:val="21"/>
    </w:rPr>
  </w:style>
  <w:style w:type="paragraph" w:styleId="12">
    <w:name w:val="footer"/>
    <w:basedOn w:val="1"/>
    <w:link w:val="20"/>
    <w:unhideWhenUsed/>
    <w:qFormat/>
    <w:uiPriority w:val="99"/>
    <w:pPr>
      <w:tabs>
        <w:tab w:val="center" w:pos="4153"/>
        <w:tab w:val="right" w:pos="8306"/>
      </w:tabs>
      <w:snapToGrid w:val="0"/>
      <w:jc w:val="left"/>
    </w:pPr>
    <w:rPr>
      <w:sz w:val="18"/>
      <w:szCs w:val="18"/>
    </w:rPr>
  </w:style>
  <w:style w:type="paragraph" w:styleId="1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pPr>
    <w:rPr>
      <w:rFonts w:cs="Times New Roman"/>
      <w:lang w:eastAsia="zh-CN"/>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qFormat/>
    <w:uiPriority w:val="22"/>
    <w:rPr>
      <w:b/>
    </w:rPr>
  </w:style>
  <w:style w:type="character" w:customStyle="1" w:styleId="19">
    <w:name w:val="页眉 字符"/>
    <w:basedOn w:val="17"/>
    <w:link w:val="13"/>
    <w:qFormat/>
    <w:uiPriority w:val="99"/>
    <w:rPr>
      <w:sz w:val="18"/>
      <w:szCs w:val="18"/>
    </w:rPr>
  </w:style>
  <w:style w:type="character" w:customStyle="1" w:styleId="20">
    <w:name w:val="页脚 字符"/>
    <w:basedOn w:val="17"/>
    <w:link w:val="12"/>
    <w:qFormat/>
    <w:uiPriority w:val="99"/>
    <w:rPr>
      <w:sz w:val="18"/>
      <w:szCs w:val="18"/>
    </w:rPr>
  </w:style>
  <w:style w:type="character" w:customStyle="1" w:styleId="21">
    <w:name w:val="标题 1 字符"/>
    <w:link w:val="2"/>
    <w:qFormat/>
    <w:uiPriority w:val="0"/>
    <w:rPr>
      <w:rFonts w:ascii="Times New Roman" w:hAnsi="Times New Roman" w:eastAsia="宋体" w:cs="Times New Roman"/>
      <w:b/>
      <w:kern w:val="44"/>
      <w:sz w:val="32"/>
      <w:szCs w:val="24"/>
    </w:rPr>
  </w:style>
  <w:style w:type="character" w:customStyle="1" w:styleId="22">
    <w:name w:val="标题 2 字符"/>
    <w:link w:val="3"/>
    <w:qFormat/>
    <w:uiPriority w:val="0"/>
    <w:rPr>
      <w:rFonts w:ascii="Times New Roman" w:hAnsi="Times New Roman" w:eastAsia="宋体" w:cs="Times New Roman"/>
      <w:b/>
      <w:sz w:val="28"/>
      <w:szCs w:val="20"/>
    </w:rPr>
  </w:style>
  <w:style w:type="character" w:customStyle="1" w:styleId="23">
    <w:name w:val="标题 3 字符"/>
    <w:link w:val="4"/>
    <w:qFormat/>
    <w:uiPriority w:val="0"/>
    <w:rPr>
      <w:rFonts w:ascii="Times New Roman" w:hAnsi="Times New Roman" w:eastAsia="宋体" w:cs="Times New Roman"/>
      <w:b/>
      <w:sz w:val="28"/>
      <w:szCs w:val="20"/>
    </w:rPr>
  </w:style>
  <w:style w:type="character" w:customStyle="1" w:styleId="24">
    <w:name w:val="标题 4 字符"/>
    <w:link w:val="5"/>
    <w:qFormat/>
    <w:uiPriority w:val="0"/>
    <w:rPr>
      <w:rFonts w:ascii="Times New Roman" w:hAnsi="Times New Roman" w:eastAsia="宋体" w:cs="Times New Roman"/>
      <w:b/>
      <w:sz w:val="28"/>
      <w:szCs w:val="20"/>
    </w:rPr>
  </w:style>
  <w:style w:type="character" w:customStyle="1" w:styleId="25">
    <w:name w:val="标题 5 字符"/>
    <w:link w:val="6"/>
    <w:qFormat/>
    <w:uiPriority w:val="0"/>
    <w:rPr>
      <w:rFonts w:ascii="Times New Roman" w:hAnsi="Times New Roman" w:eastAsia="宋体" w:cs="Times New Roman"/>
      <w:b/>
      <w:sz w:val="28"/>
      <w:szCs w:val="20"/>
    </w:rPr>
  </w:style>
  <w:style w:type="character" w:customStyle="1" w:styleId="26">
    <w:name w:val="标题 6 字符"/>
    <w:link w:val="7"/>
    <w:qFormat/>
    <w:uiPriority w:val="9"/>
    <w:rPr>
      <w:rFonts w:ascii="Calibri Light" w:hAnsi="Calibri Light" w:eastAsia="宋体" w:cs="Times New Roman"/>
      <w:b/>
      <w:bCs/>
      <w:sz w:val="24"/>
      <w:szCs w:val="24"/>
    </w:rPr>
  </w:style>
  <w:style w:type="character" w:customStyle="1" w:styleId="27">
    <w:name w:val="标题 7 字符"/>
    <w:link w:val="8"/>
    <w:qFormat/>
    <w:uiPriority w:val="9"/>
    <w:rPr>
      <w:rFonts w:ascii="Calibri" w:hAnsi="Calibri" w:eastAsia="宋体" w:cs="Times New Roman"/>
      <w:b/>
      <w:bCs/>
      <w:sz w:val="24"/>
      <w:szCs w:val="24"/>
    </w:rPr>
  </w:style>
  <w:style w:type="character" w:customStyle="1" w:styleId="28">
    <w:name w:val="标题 8 字符"/>
    <w:basedOn w:val="17"/>
    <w:link w:val="9"/>
    <w:qFormat/>
    <w:uiPriority w:val="9"/>
    <w:rPr>
      <w:rFonts w:asciiTheme="majorHAnsi" w:hAnsiTheme="majorHAnsi" w:eastAsiaTheme="majorEastAsia" w:cstheme="majorBidi"/>
      <w:sz w:val="24"/>
      <w:szCs w:val="24"/>
    </w:rPr>
  </w:style>
  <w:style w:type="paragraph" w:customStyle="1" w:styleId="29">
    <w:name w:val="正文3"/>
    <w:autoRedefine/>
    <w:qFormat/>
    <w:uiPriority w:val="0"/>
    <w:pPr>
      <w:numPr>
        <w:ilvl w:val="0"/>
        <w:numId w:val="2"/>
      </w:numPr>
      <w:spacing w:line="600" w:lineRule="exact"/>
      <w:ind w:left="0" w:firstLine="1040" w:firstLineChars="200"/>
      <w:jc w:val="both"/>
    </w:pPr>
    <w:rPr>
      <w:rFonts w:ascii="Times New Roman" w:hAnsi="Times New Roman" w:eastAsia="仿宋" w:cs="Times New Roman"/>
      <w:kern w:val="2"/>
      <w:sz w:val="28"/>
      <w:szCs w:val="28"/>
      <w:lang w:val="en-US" w:eastAsia="zh-CN" w:bidi="ar-SA"/>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PC</Company>
  <Pages>13</Pages>
  <Words>4346</Words>
  <Characters>4513</Characters>
  <Lines>35</Lines>
  <Paragraphs>10</Paragraphs>
  <TotalTime>39</TotalTime>
  <ScaleCrop>false</ScaleCrop>
  <LinksUpToDate>false</LinksUpToDate>
  <CharactersWithSpaces>4524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2024-06-20T07:37:00Z</dcterms:created>
  <dc:creator>PC</dc:creator>
  <cp:lastModifiedBy>mar</cp:lastModifiedBy>
  <dcterms:modified xsi:type="dcterms:W3CDTF">2025-05-09T01:40:08Z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eyJoZGlkIjoiNGU5NmUwZjQyOTQ3YzI3YWJmZDYzNmZkYTA3ZDNmMTMiLCJ1c2VySWQiOiI3NjE5Nzg1NTcifQ==</vt:lpwstr>
  </property>
  <property fmtid="{D5CDD505-2E9C-101B-9397-08002B2CF9AE}" pid="3" name="KSOProductBuildVer">
    <vt:lpwstr>2052-12.1.0.20784</vt:lpwstr>
  </property>
  <property fmtid="{D5CDD505-2E9C-101B-9397-08002B2CF9AE}" pid="4" name="ICV">
    <vt:lpwstr>9A42C064A4C94F2AB7533581E213F523_13</vt:lpwstr>
  </property>
</Properties>
</file>