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1DC" w:rsidRDefault="00F769DF">
      <w:pPr>
        <w:pStyle w:val="null3"/>
        <w:jc w:val="center"/>
        <w:outlineLvl w:val="1"/>
        <w:rPr>
          <w:rFonts w:hint="default"/>
        </w:rPr>
      </w:pPr>
      <w:bookmarkStart w:id="0" w:name="_GoBack"/>
      <w:bookmarkEnd w:id="0"/>
      <w:r>
        <w:rPr>
          <w:b/>
          <w:sz w:val="36"/>
        </w:rPr>
        <w:t>第二章</w:t>
      </w:r>
      <w:r>
        <w:rPr>
          <w:b/>
          <w:sz w:val="36"/>
        </w:rPr>
        <w:t xml:space="preserve"> </w:t>
      </w:r>
      <w:r>
        <w:rPr>
          <w:b/>
          <w:sz w:val="36"/>
        </w:rPr>
        <w:t>采购需求</w:t>
      </w:r>
    </w:p>
    <w:p w:rsidR="001F61DC" w:rsidRDefault="00F769DF">
      <w:pPr>
        <w:pStyle w:val="null3"/>
        <w:outlineLvl w:val="2"/>
        <w:rPr>
          <w:rFonts w:hint="default"/>
        </w:rPr>
      </w:pPr>
      <w:r>
        <w:rPr>
          <w:b/>
          <w:sz w:val="28"/>
        </w:rPr>
        <w:t>一、项目概况：</w:t>
      </w:r>
    </w:p>
    <w:p w:rsidR="001F61DC" w:rsidRDefault="00F769DF">
      <w:pPr>
        <w:pStyle w:val="null3"/>
        <w:numPr>
          <w:ilvl w:val="0"/>
          <w:numId w:val="1"/>
        </w:numPr>
        <w:rPr>
          <w:rFonts w:hint="default"/>
        </w:rPr>
      </w:pPr>
      <w:r>
        <w:t>一、项目概况</w:t>
      </w:r>
    </w:p>
    <w:tbl>
      <w:tblPr>
        <w:tblW w:w="0" w:type="auto"/>
        <w:tblInd w:w="135" w:type="dxa"/>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510"/>
        <w:gridCol w:w="1459"/>
        <w:gridCol w:w="1051"/>
        <w:gridCol w:w="656"/>
        <w:gridCol w:w="1196"/>
        <w:gridCol w:w="3401"/>
      </w:tblGrid>
      <w:tr w:rsidR="001F61DC">
        <w:tc>
          <w:tcPr>
            <w:tcW w:w="5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61DC" w:rsidRDefault="00F769DF">
            <w:pPr>
              <w:pStyle w:val="null3"/>
              <w:jc w:val="center"/>
              <w:rPr>
                <w:rFonts w:hint="default"/>
              </w:rPr>
            </w:pPr>
            <w:r>
              <w:rPr>
                <w:b/>
              </w:rPr>
              <w:t>序号</w:t>
            </w:r>
          </w:p>
        </w:tc>
        <w:tc>
          <w:tcPr>
            <w:tcW w:w="145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61DC" w:rsidRDefault="00F769DF">
            <w:pPr>
              <w:pStyle w:val="null3"/>
              <w:jc w:val="center"/>
              <w:rPr>
                <w:rFonts w:hint="default"/>
              </w:rPr>
            </w:pPr>
            <w:r>
              <w:rPr>
                <w:b/>
              </w:rPr>
              <w:t>服务名称</w:t>
            </w:r>
          </w:p>
        </w:tc>
        <w:tc>
          <w:tcPr>
            <w:tcW w:w="105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61DC" w:rsidRDefault="00F769DF">
            <w:pPr>
              <w:pStyle w:val="null3"/>
              <w:jc w:val="center"/>
              <w:rPr>
                <w:rFonts w:hint="default"/>
              </w:rPr>
            </w:pPr>
            <w:r>
              <w:rPr>
                <w:b/>
              </w:rPr>
              <w:t>预算单价（万元）</w:t>
            </w:r>
          </w:p>
        </w:tc>
        <w:tc>
          <w:tcPr>
            <w:tcW w:w="65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61DC" w:rsidRDefault="00F769DF">
            <w:pPr>
              <w:pStyle w:val="null3"/>
              <w:jc w:val="center"/>
              <w:rPr>
                <w:rFonts w:hint="default"/>
              </w:rPr>
            </w:pPr>
            <w:r>
              <w:rPr>
                <w:b/>
              </w:rPr>
              <w:t>数量</w:t>
            </w:r>
          </w:p>
        </w:tc>
        <w:tc>
          <w:tcPr>
            <w:tcW w:w="119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61DC" w:rsidRDefault="00F769DF">
            <w:pPr>
              <w:pStyle w:val="null3"/>
              <w:jc w:val="center"/>
              <w:rPr>
                <w:rFonts w:hint="default"/>
              </w:rPr>
            </w:pPr>
            <w:r>
              <w:rPr>
                <w:b/>
              </w:rPr>
              <w:t>预算金额（万元）</w:t>
            </w:r>
          </w:p>
        </w:tc>
        <w:tc>
          <w:tcPr>
            <w:tcW w:w="340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61DC" w:rsidRDefault="00F769DF">
            <w:pPr>
              <w:pStyle w:val="null3"/>
              <w:jc w:val="center"/>
              <w:rPr>
                <w:rFonts w:hint="default"/>
              </w:rPr>
            </w:pPr>
            <w:r>
              <w:rPr>
                <w:b/>
              </w:rPr>
              <w:t>备注</w:t>
            </w:r>
          </w:p>
        </w:tc>
      </w:tr>
      <w:tr w:rsidR="001F61DC">
        <w:tc>
          <w:tcPr>
            <w:tcW w:w="5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61DC" w:rsidRDefault="00F769DF">
            <w:pPr>
              <w:pStyle w:val="null3"/>
              <w:jc w:val="center"/>
              <w:rPr>
                <w:rFonts w:hint="default"/>
              </w:rPr>
            </w:pPr>
            <w:r>
              <w:t>1</w:t>
            </w:r>
          </w:p>
        </w:tc>
        <w:tc>
          <w:tcPr>
            <w:tcW w:w="145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61DC" w:rsidRDefault="00F769DF">
            <w:pPr>
              <w:pStyle w:val="null3"/>
              <w:jc w:val="center"/>
              <w:rPr>
                <w:rFonts w:hint="default"/>
              </w:rPr>
            </w:pPr>
            <w:r>
              <w:t>广州医科大学附属番禺中心医院医疗集团</w:t>
            </w:r>
            <w:r>
              <w:t>优生遗传</w:t>
            </w:r>
            <w:r>
              <w:t>外送项目</w:t>
            </w:r>
          </w:p>
        </w:tc>
        <w:tc>
          <w:tcPr>
            <w:tcW w:w="105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61DC" w:rsidRDefault="00F769DF">
            <w:pPr>
              <w:pStyle w:val="null3"/>
              <w:jc w:val="center"/>
              <w:rPr>
                <w:rFonts w:hint="default"/>
              </w:rPr>
            </w:pPr>
            <w:r>
              <w:t>33</w:t>
            </w:r>
          </w:p>
        </w:tc>
        <w:tc>
          <w:tcPr>
            <w:tcW w:w="65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61DC" w:rsidRDefault="00F769DF">
            <w:pPr>
              <w:pStyle w:val="null3"/>
              <w:jc w:val="center"/>
              <w:rPr>
                <w:rFonts w:hint="default"/>
              </w:rPr>
            </w:pPr>
            <w:r>
              <w:t>1</w:t>
            </w:r>
          </w:p>
        </w:tc>
        <w:tc>
          <w:tcPr>
            <w:tcW w:w="119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61DC" w:rsidRDefault="00F769DF">
            <w:pPr>
              <w:pStyle w:val="null3"/>
              <w:jc w:val="center"/>
              <w:rPr>
                <w:rFonts w:hint="default"/>
              </w:rPr>
            </w:pPr>
            <w:r>
              <w:t>33</w:t>
            </w:r>
          </w:p>
        </w:tc>
        <w:tc>
          <w:tcPr>
            <w:tcW w:w="340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61DC" w:rsidRDefault="00F769DF">
            <w:pPr>
              <w:pStyle w:val="null3"/>
              <w:jc w:val="center"/>
              <w:rPr>
                <w:rFonts w:hint="default"/>
              </w:rPr>
            </w:pPr>
            <w:r>
              <w:t>院本部：</w:t>
            </w:r>
            <w:r>
              <w:t>29</w:t>
            </w:r>
            <w:r>
              <w:t>万元；东院区：</w:t>
            </w:r>
            <w:r>
              <w:t>4</w:t>
            </w:r>
            <w:r>
              <w:t>万元</w:t>
            </w:r>
          </w:p>
        </w:tc>
      </w:tr>
    </w:tbl>
    <w:p w:rsidR="001F61DC" w:rsidRDefault="00F769DF">
      <w:pPr>
        <w:pStyle w:val="null3"/>
        <w:rPr>
          <w:rFonts w:hint="default"/>
        </w:rPr>
      </w:pPr>
      <w:r>
        <w:t>1.</w:t>
      </w:r>
      <w:r>
        <w:t>采购人简介：</w:t>
      </w:r>
    </w:p>
    <w:p w:rsidR="001F61DC" w:rsidRDefault="00F769DF">
      <w:pPr>
        <w:pStyle w:val="null3"/>
        <w:ind w:firstLine="400"/>
        <w:jc w:val="both"/>
        <w:rPr>
          <w:rFonts w:hint="default"/>
        </w:rPr>
      </w:pPr>
      <w:r>
        <w:t>广州医科大学附属番禺中心医院医疗集团成员包括广州医科大学附属番禺中心医院（包括院本部、区府机关门诊、药物治疗门诊）、广州市番禺区第七人民医院（东院区）。广州医科大学附属番禺中心医院始建于</w:t>
      </w:r>
      <w:r>
        <w:t>1929</w:t>
      </w:r>
      <w:r>
        <w:t>年</w:t>
      </w:r>
      <w:r>
        <w:t>，</w:t>
      </w:r>
      <w:r>
        <w:t>2011</w:t>
      </w:r>
      <w:r>
        <w:t>年通过三级甲等医院评审，成为广州地区首家区属“三甲”综合医院</w:t>
      </w:r>
      <w:r>
        <w:t>,</w:t>
      </w:r>
      <w:r>
        <w:t>目前已发展成为集医疗、教学、科研、康复、预防、保健于一体的现代化大型综合三级甲等医院。</w:t>
      </w:r>
    </w:p>
    <w:p w:rsidR="001F61DC" w:rsidRDefault="00F769DF">
      <w:pPr>
        <w:pStyle w:val="null3"/>
        <w:rPr>
          <w:rFonts w:hint="default"/>
        </w:rPr>
      </w:pPr>
      <w:r>
        <w:t>2.</w:t>
      </w:r>
      <w:r>
        <w:t>项目目的：</w:t>
      </w:r>
    </w:p>
    <w:p w:rsidR="001F61DC" w:rsidRDefault="00F769DF">
      <w:pPr>
        <w:pStyle w:val="null3"/>
        <w:ind w:firstLine="400"/>
        <w:jc w:val="both"/>
        <w:rPr>
          <w:rFonts w:hint="default"/>
        </w:rPr>
      </w:pPr>
      <w:r>
        <w:t>近年来，随着业务的增长，病源和病种越来越丰富，临床检验和病理检查项目要求的种类也不断增加，为满足医疗业务、科研等发展需要，医院将部分</w:t>
      </w:r>
      <w:r>
        <w:t>优生遗传</w:t>
      </w:r>
      <w:r>
        <w:t>项目外送至第三方实验室检测，委托投标人承接本集团部分</w:t>
      </w:r>
      <w:r>
        <w:t>优生遗传</w:t>
      </w:r>
      <w:r>
        <w:t>外送项目。</w:t>
      </w:r>
    </w:p>
    <w:p w:rsidR="001F61DC" w:rsidRDefault="00F769DF">
      <w:pPr>
        <w:pStyle w:val="null3"/>
        <w:jc w:val="both"/>
        <w:rPr>
          <w:rFonts w:hint="default"/>
        </w:rPr>
      </w:pPr>
      <w:r>
        <w:t>3.</w:t>
      </w:r>
      <w:r>
        <w:t>项目实施周期：项目履行期限自合同签订之日起</w:t>
      </w:r>
      <w:r>
        <w:t>2</w:t>
      </w:r>
      <w:r>
        <w:t>年或采购金额达到采购包预算时止，以两者先到者为准。</w:t>
      </w:r>
    </w:p>
    <w:p w:rsidR="001F61DC" w:rsidRDefault="00F769DF">
      <w:pPr>
        <w:pStyle w:val="null3"/>
        <w:jc w:val="both"/>
        <w:rPr>
          <w:rFonts w:hint="default"/>
        </w:rPr>
      </w:pPr>
      <w:r>
        <w:t>4.</w:t>
      </w:r>
      <w:r>
        <w:t>实施地址：广州医科大学</w:t>
      </w:r>
      <w:r>
        <w:t>附属番禺中心医院的</w:t>
      </w:r>
      <w:r>
        <w:t>检验</w:t>
      </w:r>
      <w:r>
        <w:t>科、中心实验室和广州市番禺区第七人民医院检验科。</w:t>
      </w:r>
    </w:p>
    <w:p w:rsidR="001F61DC" w:rsidRDefault="00F769DF">
      <w:pPr>
        <w:pStyle w:val="null3"/>
        <w:jc w:val="both"/>
        <w:rPr>
          <w:rFonts w:hint="default"/>
        </w:rPr>
      </w:pPr>
      <w:r>
        <w:t>5.</w:t>
      </w:r>
      <w:r>
        <w:t>基本要求：</w:t>
      </w:r>
    </w:p>
    <w:p w:rsidR="001F61DC" w:rsidRDefault="00F769DF">
      <w:pPr>
        <w:pStyle w:val="null3"/>
        <w:jc w:val="both"/>
        <w:rPr>
          <w:rFonts w:hint="default"/>
        </w:rPr>
      </w:pPr>
      <w:r>
        <w:t>5.1</w:t>
      </w:r>
      <w:r>
        <w:t>投标人负责完成对外送标本的接收、运输、检测、报告、临床意义解读等工作。</w:t>
      </w:r>
    </w:p>
    <w:p w:rsidR="001F61DC" w:rsidRDefault="00F769DF">
      <w:pPr>
        <w:pStyle w:val="null3"/>
        <w:jc w:val="both"/>
        <w:rPr>
          <w:rFonts w:hint="default"/>
        </w:rPr>
      </w:pPr>
      <w:r>
        <w:t>5.2</w:t>
      </w:r>
      <w:r>
        <w:t>当番禺区出现突发应急事件，需要开展大规模应急检验、检查情况下，投标人须承诺为广州医科大学附属番禺中心医院医疗集团提供相应的应急医疗检测服务。</w:t>
      </w:r>
    </w:p>
    <w:p w:rsidR="001F61DC" w:rsidRDefault="00F769DF">
      <w:pPr>
        <w:pStyle w:val="null3"/>
        <w:jc w:val="both"/>
        <w:rPr>
          <w:rFonts w:hint="default"/>
        </w:rPr>
      </w:pPr>
      <w:r>
        <w:t>5.3</w:t>
      </w:r>
      <w:r>
        <w:t>采购人目前使用杏和检验系统、百慧</w:t>
      </w:r>
      <w:r>
        <w:t>HIS</w:t>
      </w:r>
      <w:r>
        <w:t>系统和医惠医护工作站（</w:t>
      </w:r>
      <w:r>
        <w:t>EMR</w:t>
      </w:r>
      <w:r>
        <w:t>病历系统）。投标人应提供与采购人现有医疗系统相匹配而且可行的系统对接方案或案例。</w:t>
      </w:r>
    </w:p>
    <w:p w:rsidR="001F61DC" w:rsidRDefault="00F769DF">
      <w:pPr>
        <w:pStyle w:val="null3"/>
        <w:jc w:val="both"/>
        <w:rPr>
          <w:rFonts w:hint="default"/>
        </w:rPr>
      </w:pPr>
      <w:r>
        <w:t>注：可按需撰写项目背景、项目介绍、项目目标等。</w:t>
      </w:r>
    </w:p>
    <w:p w:rsidR="001F61DC" w:rsidRDefault="00F769DF">
      <w:pPr>
        <w:pStyle w:val="null3"/>
        <w:numPr>
          <w:ilvl w:val="0"/>
          <w:numId w:val="1"/>
        </w:numPr>
        <w:rPr>
          <w:rFonts w:hint="default"/>
        </w:rPr>
      </w:pPr>
      <w:r>
        <w:t>二、报价范围的定义</w:t>
      </w:r>
    </w:p>
    <w:p w:rsidR="001F61DC" w:rsidRDefault="00F769DF">
      <w:pPr>
        <w:pStyle w:val="null3"/>
        <w:ind w:firstLine="440"/>
        <w:rPr>
          <w:rFonts w:hint="default"/>
        </w:rPr>
      </w:pPr>
      <w:r>
        <w:t>本项目为最高</w:t>
      </w:r>
      <w:r>
        <w:t>33</w:t>
      </w:r>
      <w:r>
        <w:t>万元的采购限额。采购人负责向病人收取检验费，属于基本医疗服务价格项目的，采购人按照《广州地区公立医疗机构基本医疗服务价格项目》收费标准向病人收取检验费；属于市场调节价医疗服务价格项目的，采购人按照自主定价标准向病人收取检验费。合同执行期间，收费标准变动的随政策变动适时调整。投标人按照采购人的收费标准并根据本条第</w:t>
      </w:r>
      <w:r>
        <w:t>2</w:t>
      </w:r>
      <w:r>
        <w:t>款的结算比例向采购人收取委托检验服务费。</w:t>
      </w:r>
    </w:p>
    <w:p w:rsidR="001F61DC" w:rsidRDefault="00F769DF">
      <w:pPr>
        <w:pStyle w:val="null3"/>
        <w:jc w:val="both"/>
        <w:rPr>
          <w:rFonts w:hint="default"/>
        </w:rPr>
      </w:pPr>
      <w:r>
        <w:t>★</w:t>
      </w:r>
      <w:r>
        <w:t>1.</w:t>
      </w:r>
      <w:r>
        <w:t>投标人对项目整体报出结算折扣率；项目限定结算折扣率为</w:t>
      </w:r>
      <w:r>
        <w:t>43</w:t>
      </w:r>
      <w:r>
        <w:t>%</w:t>
      </w:r>
      <w:r>
        <w:t>；若投标</w:t>
      </w:r>
      <w:r>
        <w:t>人所报结算折扣率大于</w:t>
      </w:r>
      <w:r>
        <w:t>43</w:t>
      </w:r>
      <w:r>
        <w:t>%</w:t>
      </w:r>
      <w:r>
        <w:t>则为无效报价，投标无效。</w:t>
      </w:r>
    </w:p>
    <w:p w:rsidR="001F61DC" w:rsidRDefault="00F769DF">
      <w:pPr>
        <w:pStyle w:val="null3"/>
        <w:jc w:val="both"/>
        <w:rPr>
          <w:rFonts w:hint="default"/>
        </w:rPr>
      </w:pPr>
      <w:r>
        <w:t>2.</w:t>
      </w:r>
      <w:r>
        <w:t>收费标准×结算折扣率</w:t>
      </w:r>
      <w:r>
        <w:t>=</w:t>
      </w:r>
      <w:r>
        <w:t>委托检验服务费。</w:t>
      </w:r>
    </w:p>
    <w:p w:rsidR="001F61DC" w:rsidRDefault="00F769DF">
      <w:pPr>
        <w:pStyle w:val="null3"/>
        <w:jc w:val="both"/>
        <w:rPr>
          <w:rFonts w:hint="default"/>
        </w:rPr>
      </w:pPr>
      <w:r>
        <w:t>3.</w:t>
      </w:r>
      <w:r>
        <w:t>服务费包含投标人完成对委托检验项目的一切费用，包括标本的接收、运输、检测、试剂、耗材、报告、临床意义解读、售后服务、人力成本、保险等所有费用。</w:t>
      </w:r>
    </w:p>
    <w:p w:rsidR="001F61DC" w:rsidRDefault="00F769DF">
      <w:pPr>
        <w:pStyle w:val="null3"/>
        <w:numPr>
          <w:ilvl w:val="0"/>
          <w:numId w:val="1"/>
        </w:numPr>
        <w:rPr>
          <w:rFonts w:hint="default"/>
        </w:rPr>
      </w:pPr>
      <w:r>
        <w:lastRenderedPageBreak/>
        <w:t>三、技术</w:t>
      </w:r>
      <w:r>
        <w:t>/</w:t>
      </w:r>
      <w:r>
        <w:t>服务要求</w:t>
      </w:r>
    </w:p>
    <w:p w:rsidR="001F61DC" w:rsidRDefault="00F769DF">
      <w:pPr>
        <w:pStyle w:val="null3"/>
        <w:jc w:val="both"/>
        <w:rPr>
          <w:rFonts w:hint="default"/>
        </w:rPr>
      </w:pPr>
      <w:r>
        <w:rPr>
          <w:b/>
        </w:rPr>
        <w:t>（一）、外送项目服务需求：</w:t>
      </w:r>
    </w:p>
    <w:p w:rsidR="001F61DC" w:rsidRDefault="00F769DF">
      <w:pPr>
        <w:pStyle w:val="null3"/>
        <w:jc w:val="both"/>
        <w:rPr>
          <w:rFonts w:hint="default"/>
        </w:rPr>
      </w:pPr>
      <w:r>
        <w:rPr>
          <w:b/>
        </w:rPr>
        <w:t>★</w:t>
      </w:r>
      <w:r>
        <w:t>1</w:t>
      </w:r>
      <w:r>
        <w:t>、投标人必须全部响应以下</w:t>
      </w:r>
      <w:r>
        <w:t>5</w:t>
      </w:r>
      <w:r>
        <w:t>个检测项目。</w:t>
      </w:r>
    </w:p>
    <w:p w:rsidR="001F61DC" w:rsidRDefault="00F769DF">
      <w:pPr>
        <w:pStyle w:val="null3"/>
        <w:jc w:val="both"/>
        <w:rPr>
          <w:rFonts w:hint="default"/>
        </w:rPr>
      </w:pPr>
      <w:r>
        <w:t>2</w:t>
      </w:r>
      <w:r>
        <w:t>、外送项目服务清单（采购标的清单）如下，投标人需在清单中列明是否能响应采购人提供的检测方法学和报告时限，如不响应需列明使用的检测方法及报告时限（检测方法需满足国家及医学检验相关行业认可标准）。</w:t>
      </w:r>
    </w:p>
    <w:p w:rsidR="001F61DC" w:rsidRDefault="00F769DF">
      <w:pPr>
        <w:pStyle w:val="null3"/>
        <w:jc w:val="both"/>
        <w:rPr>
          <w:rFonts w:hint="default"/>
        </w:rPr>
      </w:pPr>
      <w:r>
        <w:t>3</w:t>
      </w:r>
      <w:r>
        <w:t>、外送项目服务清单（采购标的清单）如下：</w:t>
      </w:r>
    </w:p>
    <w:tbl>
      <w:tblPr>
        <w:tblW w:w="0" w:type="auto"/>
        <w:tblInd w:w="90" w:type="dxa"/>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751"/>
        <w:gridCol w:w="2271"/>
        <w:gridCol w:w="1180"/>
        <w:gridCol w:w="1045"/>
        <w:gridCol w:w="1059"/>
        <w:gridCol w:w="1060"/>
        <w:gridCol w:w="1060"/>
      </w:tblGrid>
      <w:tr w:rsidR="001F61DC">
        <w:tc>
          <w:tcPr>
            <w:tcW w:w="75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61DC" w:rsidRDefault="00F769DF">
            <w:pPr>
              <w:pStyle w:val="null3"/>
              <w:jc w:val="center"/>
              <w:rPr>
                <w:rFonts w:hint="default"/>
              </w:rPr>
            </w:pPr>
            <w:r>
              <w:t>序号</w:t>
            </w:r>
          </w:p>
        </w:tc>
        <w:tc>
          <w:tcPr>
            <w:tcW w:w="2271"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rsidR="001F61DC" w:rsidRDefault="00F769DF">
            <w:pPr>
              <w:pStyle w:val="null3"/>
              <w:jc w:val="center"/>
              <w:rPr>
                <w:rFonts w:hint="default"/>
              </w:rPr>
            </w:pPr>
            <w:r>
              <w:t>项目名称</w:t>
            </w:r>
          </w:p>
        </w:tc>
        <w:tc>
          <w:tcPr>
            <w:tcW w:w="1180"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rsidR="001F61DC" w:rsidRDefault="00F769DF">
            <w:pPr>
              <w:pStyle w:val="null3"/>
              <w:jc w:val="center"/>
              <w:rPr>
                <w:rFonts w:hint="default"/>
              </w:rPr>
            </w:pPr>
            <w:r>
              <w:t>检测方法学</w:t>
            </w:r>
          </w:p>
        </w:tc>
        <w:tc>
          <w:tcPr>
            <w:tcW w:w="1045"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rsidR="001F61DC" w:rsidRDefault="00F769DF">
            <w:pPr>
              <w:pStyle w:val="null3"/>
              <w:rPr>
                <w:rFonts w:hint="default"/>
              </w:rPr>
            </w:pPr>
            <w:r>
              <w:t>报告时限</w:t>
            </w:r>
          </w:p>
        </w:tc>
        <w:tc>
          <w:tcPr>
            <w:tcW w:w="1059"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rsidR="001F61DC" w:rsidRDefault="00F769DF">
            <w:pPr>
              <w:pStyle w:val="null3"/>
              <w:rPr>
                <w:rFonts w:hint="default"/>
              </w:rPr>
            </w:pPr>
            <w:r>
              <w:t>是否响应</w:t>
            </w:r>
          </w:p>
        </w:tc>
        <w:tc>
          <w:tcPr>
            <w:tcW w:w="1060"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rsidR="001F61DC" w:rsidRDefault="00F769DF">
            <w:pPr>
              <w:pStyle w:val="null3"/>
              <w:rPr>
                <w:rFonts w:hint="default"/>
              </w:rPr>
            </w:pPr>
            <w:r>
              <w:t>如不响应，请列明使用的检测方法及报告时限</w:t>
            </w:r>
          </w:p>
        </w:tc>
        <w:tc>
          <w:tcPr>
            <w:tcW w:w="1060"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rsidR="001F61DC" w:rsidRDefault="00F769DF">
            <w:pPr>
              <w:pStyle w:val="null3"/>
              <w:rPr>
                <w:rFonts w:hint="default"/>
              </w:rPr>
            </w:pPr>
            <w:r>
              <w:t>备注</w:t>
            </w:r>
          </w:p>
        </w:tc>
      </w:tr>
      <w:tr w:rsidR="001F61DC">
        <w:tc>
          <w:tcPr>
            <w:tcW w:w="75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F61DC" w:rsidRDefault="00F769DF">
            <w:pPr>
              <w:pStyle w:val="null3"/>
              <w:jc w:val="center"/>
              <w:rPr>
                <w:rFonts w:hint="default"/>
              </w:rPr>
            </w:pPr>
            <w:r>
              <w:t>1</w:t>
            </w:r>
          </w:p>
        </w:tc>
        <w:tc>
          <w:tcPr>
            <w:tcW w:w="2271" w:type="dxa"/>
            <w:tcBorders>
              <w:top w:val="nil"/>
              <w:left w:val="nil"/>
              <w:bottom w:val="single" w:sz="4" w:space="0" w:color="000000"/>
              <w:right w:val="single" w:sz="4" w:space="0" w:color="000000"/>
            </w:tcBorders>
            <w:tcMar>
              <w:top w:w="0" w:type="dxa"/>
              <w:left w:w="105" w:type="dxa"/>
              <w:bottom w:w="0" w:type="dxa"/>
              <w:right w:w="105" w:type="dxa"/>
            </w:tcMar>
            <w:vAlign w:val="center"/>
          </w:tcPr>
          <w:p w:rsidR="001F61DC" w:rsidRDefault="00F769DF">
            <w:pPr>
              <w:pStyle w:val="a9"/>
              <w:jc w:val="center"/>
            </w:pPr>
            <w:r>
              <w:rPr>
                <w:rFonts w:ascii="宋体" w:hAnsi="宋体" w:cs="宋体" w:hint="eastAsia"/>
                <w:bCs w:val="0"/>
                <w:sz w:val="21"/>
                <w:szCs w:val="22"/>
              </w:rPr>
              <w:t>CNV-seq-100K</w:t>
            </w:r>
            <w:r>
              <w:rPr>
                <w:rFonts w:ascii="宋体" w:hAnsi="宋体" w:cs="宋体" w:hint="eastAsia"/>
                <w:bCs w:val="0"/>
                <w:sz w:val="21"/>
                <w:szCs w:val="22"/>
              </w:rPr>
              <w:t>（检测</w:t>
            </w:r>
            <w:r>
              <w:rPr>
                <w:rFonts w:ascii="宋体" w:hAnsi="宋体" w:cs="宋体" w:hint="eastAsia"/>
                <w:bCs w:val="0"/>
                <w:sz w:val="21"/>
                <w:szCs w:val="22"/>
              </w:rPr>
              <w:t>100Kb</w:t>
            </w:r>
            <w:r>
              <w:rPr>
                <w:rFonts w:ascii="宋体" w:hAnsi="宋体" w:cs="宋体" w:hint="eastAsia"/>
                <w:bCs w:val="0"/>
                <w:sz w:val="21"/>
                <w:szCs w:val="22"/>
              </w:rPr>
              <w:t>以上基因拷贝数变异。提供脱敏检验报告复印件）</w:t>
            </w:r>
          </w:p>
        </w:tc>
        <w:tc>
          <w:tcPr>
            <w:tcW w:w="1180" w:type="dxa"/>
            <w:tcBorders>
              <w:top w:val="nil"/>
              <w:left w:val="nil"/>
              <w:bottom w:val="single" w:sz="4" w:space="0" w:color="000000"/>
              <w:right w:val="single" w:sz="4" w:space="0" w:color="000000"/>
            </w:tcBorders>
            <w:tcMar>
              <w:top w:w="0" w:type="dxa"/>
              <w:left w:w="105" w:type="dxa"/>
              <w:bottom w:w="0" w:type="dxa"/>
              <w:right w:w="105" w:type="dxa"/>
            </w:tcMar>
            <w:vAlign w:val="center"/>
          </w:tcPr>
          <w:p w:rsidR="001F61DC" w:rsidRDefault="00F769DF">
            <w:pPr>
              <w:spacing w:line="500" w:lineRule="exact"/>
            </w:pPr>
            <w:r>
              <w:rPr>
                <w:rFonts w:ascii="宋体" w:eastAsia="宋体" w:hAnsi="宋体"/>
                <w:color w:val="000000"/>
                <w:szCs w:val="21"/>
              </w:rPr>
              <w:t>NGS</w:t>
            </w:r>
          </w:p>
        </w:tc>
        <w:tc>
          <w:tcPr>
            <w:tcW w:w="1045" w:type="dxa"/>
            <w:tcBorders>
              <w:top w:val="nil"/>
              <w:left w:val="nil"/>
              <w:bottom w:val="single" w:sz="4" w:space="0" w:color="000000"/>
              <w:right w:val="single" w:sz="4" w:space="0" w:color="000000"/>
            </w:tcBorders>
            <w:tcMar>
              <w:top w:w="0" w:type="dxa"/>
              <w:left w:w="105" w:type="dxa"/>
              <w:bottom w:w="0" w:type="dxa"/>
              <w:right w:w="105" w:type="dxa"/>
            </w:tcMar>
            <w:vAlign w:val="center"/>
          </w:tcPr>
          <w:p w:rsidR="001F61DC" w:rsidRDefault="00F769DF">
            <w:pPr>
              <w:pStyle w:val="a9"/>
              <w:jc w:val="center"/>
            </w:pPr>
            <w:r>
              <w:rPr>
                <w:rFonts w:ascii="宋体" w:hAnsi="宋体" w:cs="宋体" w:hint="eastAsia"/>
                <w:bCs w:val="0"/>
                <w:sz w:val="21"/>
                <w:szCs w:val="22"/>
              </w:rPr>
              <w:t>≤</w:t>
            </w:r>
            <w:r>
              <w:rPr>
                <w:rFonts w:ascii="宋体" w:hAnsi="宋体" w:cs="宋体" w:hint="eastAsia"/>
                <w:bCs w:val="0"/>
                <w:sz w:val="21"/>
                <w:szCs w:val="22"/>
              </w:rPr>
              <w:t>12</w:t>
            </w:r>
            <w:r>
              <w:rPr>
                <w:rFonts w:ascii="宋体" w:hAnsi="宋体" w:cs="宋体" w:hint="eastAsia"/>
                <w:bCs w:val="0"/>
                <w:sz w:val="21"/>
                <w:szCs w:val="22"/>
              </w:rPr>
              <w:t>个工作日</w:t>
            </w:r>
          </w:p>
        </w:tc>
        <w:tc>
          <w:tcPr>
            <w:tcW w:w="1059" w:type="dxa"/>
            <w:tcBorders>
              <w:top w:val="nil"/>
              <w:left w:val="nil"/>
              <w:bottom w:val="single" w:sz="4" w:space="0" w:color="000000"/>
              <w:right w:val="single" w:sz="4" w:space="0" w:color="000000"/>
            </w:tcBorders>
            <w:tcMar>
              <w:top w:w="0" w:type="dxa"/>
              <w:left w:w="105" w:type="dxa"/>
              <w:bottom w:w="0" w:type="dxa"/>
              <w:right w:w="105" w:type="dxa"/>
            </w:tcMar>
          </w:tcPr>
          <w:p w:rsidR="001F61DC" w:rsidRDefault="001F61DC">
            <w:pPr>
              <w:pStyle w:val="null3"/>
              <w:jc w:val="both"/>
              <w:rPr>
                <w:rFonts w:hint="default"/>
              </w:rPr>
            </w:pPr>
          </w:p>
        </w:tc>
        <w:tc>
          <w:tcPr>
            <w:tcW w:w="1060" w:type="dxa"/>
            <w:tcBorders>
              <w:top w:val="nil"/>
              <w:left w:val="nil"/>
              <w:bottom w:val="single" w:sz="4" w:space="0" w:color="000000"/>
              <w:right w:val="single" w:sz="4" w:space="0" w:color="000000"/>
            </w:tcBorders>
            <w:tcMar>
              <w:top w:w="0" w:type="dxa"/>
              <w:left w:w="105" w:type="dxa"/>
              <w:bottom w:w="0" w:type="dxa"/>
              <w:right w:w="105" w:type="dxa"/>
            </w:tcMar>
          </w:tcPr>
          <w:p w:rsidR="001F61DC" w:rsidRDefault="001F61DC"/>
        </w:tc>
        <w:tc>
          <w:tcPr>
            <w:tcW w:w="1060" w:type="dxa"/>
            <w:tcBorders>
              <w:top w:val="nil"/>
              <w:left w:val="nil"/>
              <w:bottom w:val="single" w:sz="4" w:space="0" w:color="000000"/>
              <w:right w:val="single" w:sz="4" w:space="0" w:color="000000"/>
            </w:tcBorders>
            <w:tcMar>
              <w:top w:w="0" w:type="dxa"/>
              <w:left w:w="105" w:type="dxa"/>
              <w:bottom w:w="0" w:type="dxa"/>
              <w:right w:w="105" w:type="dxa"/>
            </w:tcMar>
          </w:tcPr>
          <w:p w:rsidR="001F61DC" w:rsidRDefault="001F61DC"/>
        </w:tc>
      </w:tr>
      <w:tr w:rsidR="001F61DC">
        <w:tc>
          <w:tcPr>
            <w:tcW w:w="75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F61DC" w:rsidRDefault="00F769DF">
            <w:pPr>
              <w:pStyle w:val="null3"/>
              <w:jc w:val="center"/>
              <w:rPr>
                <w:rFonts w:hint="default"/>
              </w:rPr>
            </w:pPr>
            <w:r>
              <w:t>2</w:t>
            </w:r>
          </w:p>
        </w:tc>
        <w:tc>
          <w:tcPr>
            <w:tcW w:w="2271" w:type="dxa"/>
            <w:tcBorders>
              <w:top w:val="nil"/>
              <w:left w:val="nil"/>
              <w:bottom w:val="single" w:sz="4" w:space="0" w:color="000000"/>
              <w:right w:val="single" w:sz="4" w:space="0" w:color="000000"/>
            </w:tcBorders>
            <w:tcMar>
              <w:top w:w="0" w:type="dxa"/>
              <w:left w:w="105" w:type="dxa"/>
              <w:bottom w:w="0" w:type="dxa"/>
              <w:right w:w="105" w:type="dxa"/>
            </w:tcMar>
            <w:vAlign w:val="center"/>
          </w:tcPr>
          <w:p w:rsidR="001F61DC" w:rsidRDefault="00F769DF">
            <w:pPr>
              <w:pStyle w:val="a9"/>
              <w:jc w:val="center"/>
            </w:pPr>
            <w:r>
              <w:rPr>
                <w:rFonts w:ascii="宋体" w:hAnsi="宋体" w:cs="宋体" w:hint="eastAsia"/>
                <w:bCs w:val="0"/>
                <w:sz w:val="21"/>
                <w:szCs w:val="22"/>
              </w:rPr>
              <w:t>CNV-seq-1M</w:t>
            </w:r>
            <w:r>
              <w:rPr>
                <w:rFonts w:ascii="宋体" w:hAnsi="宋体" w:cs="宋体" w:hint="eastAsia"/>
                <w:bCs w:val="0"/>
                <w:sz w:val="21"/>
                <w:szCs w:val="22"/>
              </w:rPr>
              <w:t>（检测</w:t>
            </w:r>
            <w:r>
              <w:rPr>
                <w:rFonts w:ascii="宋体" w:hAnsi="宋体" w:cs="宋体" w:hint="eastAsia"/>
                <w:bCs w:val="0"/>
                <w:sz w:val="21"/>
                <w:szCs w:val="22"/>
              </w:rPr>
              <w:t>1M</w:t>
            </w:r>
            <w:r>
              <w:rPr>
                <w:rFonts w:ascii="宋体" w:hAnsi="宋体" w:cs="宋体" w:hint="eastAsia"/>
                <w:bCs w:val="0"/>
                <w:sz w:val="21"/>
                <w:szCs w:val="22"/>
              </w:rPr>
              <w:t>以上基因拷贝数变异。提供脱敏检验报告复印件）</w:t>
            </w:r>
          </w:p>
        </w:tc>
        <w:tc>
          <w:tcPr>
            <w:tcW w:w="1180" w:type="dxa"/>
            <w:tcBorders>
              <w:top w:val="nil"/>
              <w:left w:val="nil"/>
              <w:bottom w:val="single" w:sz="4" w:space="0" w:color="000000"/>
              <w:right w:val="single" w:sz="4" w:space="0" w:color="000000"/>
            </w:tcBorders>
            <w:tcMar>
              <w:top w:w="0" w:type="dxa"/>
              <w:left w:w="105" w:type="dxa"/>
              <w:bottom w:w="0" w:type="dxa"/>
              <w:right w:w="105" w:type="dxa"/>
            </w:tcMar>
            <w:vAlign w:val="center"/>
          </w:tcPr>
          <w:p w:rsidR="001F61DC" w:rsidRDefault="00F769DF">
            <w:pPr>
              <w:spacing w:line="500" w:lineRule="exact"/>
            </w:pPr>
            <w:r>
              <w:rPr>
                <w:rFonts w:ascii="宋体" w:eastAsia="宋体" w:hAnsi="宋体"/>
                <w:color w:val="000000"/>
                <w:szCs w:val="21"/>
              </w:rPr>
              <w:t>NGS</w:t>
            </w:r>
          </w:p>
        </w:tc>
        <w:tc>
          <w:tcPr>
            <w:tcW w:w="1045" w:type="dxa"/>
            <w:tcBorders>
              <w:top w:val="nil"/>
              <w:left w:val="nil"/>
              <w:bottom w:val="single" w:sz="4" w:space="0" w:color="000000"/>
              <w:right w:val="single" w:sz="4" w:space="0" w:color="000000"/>
            </w:tcBorders>
            <w:tcMar>
              <w:top w:w="0" w:type="dxa"/>
              <w:left w:w="105" w:type="dxa"/>
              <w:bottom w:w="0" w:type="dxa"/>
              <w:right w:w="105" w:type="dxa"/>
            </w:tcMar>
            <w:vAlign w:val="center"/>
          </w:tcPr>
          <w:p w:rsidR="001F61DC" w:rsidRDefault="00F769DF">
            <w:pPr>
              <w:pStyle w:val="a9"/>
              <w:jc w:val="center"/>
            </w:pPr>
            <w:r>
              <w:rPr>
                <w:rFonts w:ascii="宋体" w:hAnsi="宋体" w:cs="宋体" w:hint="eastAsia"/>
                <w:bCs w:val="0"/>
                <w:sz w:val="21"/>
                <w:szCs w:val="22"/>
              </w:rPr>
              <w:t>≤</w:t>
            </w:r>
            <w:r>
              <w:rPr>
                <w:rFonts w:ascii="宋体" w:hAnsi="宋体" w:cs="宋体" w:hint="eastAsia"/>
                <w:bCs w:val="0"/>
                <w:sz w:val="21"/>
                <w:szCs w:val="22"/>
              </w:rPr>
              <w:t>10</w:t>
            </w:r>
            <w:r>
              <w:rPr>
                <w:rFonts w:ascii="宋体" w:hAnsi="宋体" w:cs="宋体" w:hint="eastAsia"/>
                <w:bCs w:val="0"/>
                <w:sz w:val="21"/>
                <w:szCs w:val="22"/>
              </w:rPr>
              <w:t>个工作日</w:t>
            </w:r>
          </w:p>
        </w:tc>
        <w:tc>
          <w:tcPr>
            <w:tcW w:w="1059" w:type="dxa"/>
            <w:tcBorders>
              <w:top w:val="nil"/>
              <w:left w:val="nil"/>
              <w:bottom w:val="single" w:sz="4" w:space="0" w:color="000000"/>
              <w:right w:val="single" w:sz="4" w:space="0" w:color="000000"/>
            </w:tcBorders>
            <w:tcMar>
              <w:top w:w="0" w:type="dxa"/>
              <w:left w:w="105" w:type="dxa"/>
              <w:bottom w:w="0" w:type="dxa"/>
              <w:right w:w="105" w:type="dxa"/>
            </w:tcMar>
          </w:tcPr>
          <w:p w:rsidR="001F61DC" w:rsidRDefault="001F61DC">
            <w:pPr>
              <w:pStyle w:val="null3"/>
              <w:jc w:val="both"/>
              <w:rPr>
                <w:rFonts w:hint="default"/>
              </w:rPr>
            </w:pPr>
          </w:p>
        </w:tc>
        <w:tc>
          <w:tcPr>
            <w:tcW w:w="1060" w:type="dxa"/>
            <w:tcBorders>
              <w:top w:val="nil"/>
              <w:left w:val="nil"/>
              <w:bottom w:val="single" w:sz="4" w:space="0" w:color="000000"/>
              <w:right w:val="single" w:sz="4" w:space="0" w:color="000000"/>
            </w:tcBorders>
            <w:tcMar>
              <w:top w:w="0" w:type="dxa"/>
              <w:left w:w="105" w:type="dxa"/>
              <w:bottom w:w="0" w:type="dxa"/>
              <w:right w:w="105" w:type="dxa"/>
            </w:tcMar>
          </w:tcPr>
          <w:p w:rsidR="001F61DC" w:rsidRDefault="001F61DC"/>
        </w:tc>
        <w:tc>
          <w:tcPr>
            <w:tcW w:w="1060" w:type="dxa"/>
            <w:tcBorders>
              <w:top w:val="nil"/>
              <w:left w:val="nil"/>
              <w:bottom w:val="single" w:sz="4" w:space="0" w:color="000000"/>
              <w:right w:val="single" w:sz="4" w:space="0" w:color="000000"/>
            </w:tcBorders>
            <w:tcMar>
              <w:top w:w="0" w:type="dxa"/>
              <w:left w:w="105" w:type="dxa"/>
              <w:bottom w:w="0" w:type="dxa"/>
              <w:right w:w="105" w:type="dxa"/>
            </w:tcMar>
          </w:tcPr>
          <w:p w:rsidR="001F61DC" w:rsidRDefault="001F61DC"/>
        </w:tc>
      </w:tr>
      <w:tr w:rsidR="001F61DC">
        <w:tc>
          <w:tcPr>
            <w:tcW w:w="75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F61DC" w:rsidRDefault="00F769DF">
            <w:pPr>
              <w:pStyle w:val="null3"/>
              <w:jc w:val="center"/>
              <w:rPr>
                <w:rFonts w:hint="default"/>
              </w:rPr>
            </w:pPr>
            <w:r>
              <w:t>3</w:t>
            </w:r>
          </w:p>
        </w:tc>
        <w:tc>
          <w:tcPr>
            <w:tcW w:w="2271" w:type="dxa"/>
            <w:tcBorders>
              <w:top w:val="nil"/>
              <w:left w:val="nil"/>
              <w:bottom w:val="single" w:sz="4" w:space="0" w:color="000000"/>
              <w:right w:val="single" w:sz="4" w:space="0" w:color="000000"/>
            </w:tcBorders>
            <w:tcMar>
              <w:top w:w="0" w:type="dxa"/>
              <w:left w:w="105" w:type="dxa"/>
              <w:bottom w:w="0" w:type="dxa"/>
              <w:right w:w="105" w:type="dxa"/>
            </w:tcMar>
            <w:vAlign w:val="center"/>
          </w:tcPr>
          <w:p w:rsidR="001F61DC" w:rsidRDefault="00F769DF">
            <w:pPr>
              <w:pStyle w:val="a9"/>
              <w:jc w:val="center"/>
            </w:pPr>
            <w:r>
              <w:rPr>
                <w:rFonts w:ascii="宋体" w:hAnsi="宋体" w:cs="宋体" w:hint="eastAsia"/>
                <w:bCs w:val="0"/>
                <w:sz w:val="21"/>
                <w:szCs w:val="22"/>
              </w:rPr>
              <w:t>遗传性耳聋</w:t>
            </w:r>
            <w:r>
              <w:rPr>
                <w:rFonts w:ascii="宋体" w:hAnsi="宋体" w:cs="宋体" w:hint="eastAsia"/>
                <w:bCs w:val="0"/>
                <w:sz w:val="21"/>
                <w:szCs w:val="22"/>
              </w:rPr>
              <w:t>4</w:t>
            </w:r>
            <w:r>
              <w:rPr>
                <w:rFonts w:ascii="宋体" w:hAnsi="宋体" w:cs="宋体" w:hint="eastAsia"/>
                <w:bCs w:val="0"/>
                <w:sz w:val="21"/>
                <w:szCs w:val="22"/>
              </w:rPr>
              <w:t>个基因检测（</w:t>
            </w:r>
            <w:r>
              <w:rPr>
                <w:rFonts w:ascii="宋体" w:hAnsi="宋体" w:cs="宋体" w:hint="eastAsia"/>
                <w:bCs w:val="0"/>
                <w:sz w:val="21"/>
                <w:szCs w:val="22"/>
              </w:rPr>
              <w:t>GJB2</w:t>
            </w:r>
            <w:r>
              <w:rPr>
                <w:rFonts w:ascii="宋体" w:hAnsi="宋体" w:cs="宋体" w:hint="eastAsia"/>
                <w:bCs w:val="0"/>
                <w:sz w:val="21"/>
                <w:szCs w:val="22"/>
              </w:rPr>
              <w:t>、</w:t>
            </w:r>
            <w:r>
              <w:rPr>
                <w:rFonts w:ascii="宋体" w:hAnsi="宋体" w:cs="宋体" w:hint="eastAsia"/>
                <w:bCs w:val="0"/>
                <w:sz w:val="21"/>
                <w:szCs w:val="22"/>
              </w:rPr>
              <w:t>GJB3</w:t>
            </w:r>
            <w:r>
              <w:rPr>
                <w:rFonts w:ascii="宋体" w:hAnsi="宋体" w:cs="宋体" w:hint="eastAsia"/>
                <w:bCs w:val="0"/>
                <w:sz w:val="21"/>
                <w:szCs w:val="22"/>
              </w:rPr>
              <w:t>、</w:t>
            </w:r>
            <w:r>
              <w:rPr>
                <w:rFonts w:ascii="宋体" w:hAnsi="宋体" w:cs="宋体" w:hint="eastAsia"/>
                <w:bCs w:val="0"/>
                <w:sz w:val="21"/>
                <w:szCs w:val="22"/>
              </w:rPr>
              <w:t>SLC26A4</w:t>
            </w:r>
            <w:r>
              <w:rPr>
                <w:rFonts w:ascii="宋体" w:hAnsi="宋体" w:cs="宋体" w:hint="eastAsia"/>
                <w:bCs w:val="0"/>
                <w:sz w:val="21"/>
                <w:szCs w:val="22"/>
              </w:rPr>
              <w:t>、</w:t>
            </w:r>
            <w:r>
              <w:rPr>
                <w:rFonts w:ascii="宋体" w:hAnsi="宋体" w:cs="宋体" w:hint="eastAsia"/>
                <w:bCs w:val="0"/>
                <w:sz w:val="21"/>
                <w:szCs w:val="22"/>
              </w:rPr>
              <w:t>MT-RNR1</w:t>
            </w:r>
            <w:r>
              <w:rPr>
                <w:rFonts w:ascii="宋体" w:hAnsi="宋体" w:cs="宋体" w:hint="eastAsia"/>
                <w:bCs w:val="0"/>
                <w:sz w:val="21"/>
                <w:szCs w:val="22"/>
              </w:rPr>
              <w:t>四个基因</w:t>
            </w:r>
            <w:r>
              <w:rPr>
                <w:rFonts w:ascii="宋体" w:hAnsi="宋体" w:cs="宋体" w:hint="eastAsia"/>
                <w:bCs w:val="0"/>
                <w:sz w:val="21"/>
                <w:szCs w:val="22"/>
              </w:rPr>
              <w:t>20</w:t>
            </w:r>
            <w:r>
              <w:rPr>
                <w:rFonts w:ascii="宋体" w:hAnsi="宋体" w:cs="宋体" w:hint="eastAsia"/>
                <w:bCs w:val="0"/>
                <w:sz w:val="21"/>
                <w:szCs w:val="22"/>
              </w:rPr>
              <w:t>个常见位点）</w:t>
            </w:r>
          </w:p>
        </w:tc>
        <w:tc>
          <w:tcPr>
            <w:tcW w:w="1180" w:type="dxa"/>
            <w:tcBorders>
              <w:top w:val="nil"/>
              <w:left w:val="nil"/>
              <w:bottom w:val="single" w:sz="4" w:space="0" w:color="000000"/>
              <w:right w:val="single" w:sz="4" w:space="0" w:color="000000"/>
            </w:tcBorders>
            <w:tcMar>
              <w:top w:w="0" w:type="dxa"/>
              <w:left w:w="105" w:type="dxa"/>
              <w:bottom w:w="0" w:type="dxa"/>
              <w:right w:w="105" w:type="dxa"/>
            </w:tcMar>
            <w:vAlign w:val="center"/>
          </w:tcPr>
          <w:p w:rsidR="001F61DC" w:rsidRDefault="00F769DF">
            <w:pPr>
              <w:spacing w:line="500" w:lineRule="exact"/>
            </w:pPr>
            <w:r>
              <w:rPr>
                <w:rFonts w:ascii="宋体" w:eastAsia="宋体" w:hAnsi="宋体"/>
                <w:color w:val="000000"/>
                <w:szCs w:val="21"/>
              </w:rPr>
              <w:t>NGS</w:t>
            </w:r>
          </w:p>
        </w:tc>
        <w:tc>
          <w:tcPr>
            <w:tcW w:w="1045" w:type="dxa"/>
            <w:tcBorders>
              <w:top w:val="nil"/>
              <w:left w:val="nil"/>
              <w:bottom w:val="single" w:sz="4" w:space="0" w:color="000000"/>
              <w:right w:val="single" w:sz="4" w:space="0" w:color="000000"/>
            </w:tcBorders>
            <w:tcMar>
              <w:top w:w="0" w:type="dxa"/>
              <w:left w:w="105" w:type="dxa"/>
              <w:bottom w:w="0" w:type="dxa"/>
              <w:right w:w="105" w:type="dxa"/>
            </w:tcMar>
            <w:vAlign w:val="center"/>
          </w:tcPr>
          <w:p w:rsidR="001F61DC" w:rsidRDefault="00F769DF">
            <w:pPr>
              <w:pStyle w:val="a9"/>
              <w:jc w:val="center"/>
            </w:pPr>
            <w:r>
              <w:rPr>
                <w:rFonts w:ascii="宋体" w:hAnsi="宋体" w:cs="宋体" w:hint="eastAsia"/>
                <w:bCs w:val="0"/>
                <w:sz w:val="21"/>
                <w:szCs w:val="22"/>
              </w:rPr>
              <w:t>≤</w:t>
            </w:r>
            <w:r>
              <w:rPr>
                <w:rFonts w:ascii="宋体" w:hAnsi="宋体" w:cs="宋体" w:hint="eastAsia"/>
                <w:bCs w:val="0"/>
                <w:sz w:val="21"/>
                <w:szCs w:val="22"/>
              </w:rPr>
              <w:t>7</w:t>
            </w:r>
            <w:r>
              <w:rPr>
                <w:rFonts w:ascii="宋体" w:hAnsi="宋体" w:cs="宋体" w:hint="eastAsia"/>
                <w:bCs w:val="0"/>
                <w:sz w:val="21"/>
                <w:szCs w:val="22"/>
              </w:rPr>
              <w:t>个工作日</w:t>
            </w:r>
          </w:p>
        </w:tc>
        <w:tc>
          <w:tcPr>
            <w:tcW w:w="1059" w:type="dxa"/>
            <w:tcBorders>
              <w:top w:val="nil"/>
              <w:left w:val="nil"/>
              <w:bottom w:val="single" w:sz="4" w:space="0" w:color="000000"/>
              <w:right w:val="single" w:sz="4" w:space="0" w:color="000000"/>
            </w:tcBorders>
            <w:tcMar>
              <w:top w:w="0" w:type="dxa"/>
              <w:left w:w="105" w:type="dxa"/>
              <w:bottom w:w="0" w:type="dxa"/>
              <w:right w:w="105" w:type="dxa"/>
            </w:tcMar>
          </w:tcPr>
          <w:p w:rsidR="001F61DC" w:rsidRDefault="001F61DC">
            <w:pPr>
              <w:pStyle w:val="null3"/>
              <w:jc w:val="both"/>
              <w:rPr>
                <w:rFonts w:hint="default"/>
              </w:rPr>
            </w:pPr>
          </w:p>
        </w:tc>
        <w:tc>
          <w:tcPr>
            <w:tcW w:w="1060" w:type="dxa"/>
            <w:tcBorders>
              <w:top w:val="nil"/>
              <w:left w:val="nil"/>
              <w:bottom w:val="single" w:sz="4" w:space="0" w:color="000000"/>
              <w:right w:val="single" w:sz="4" w:space="0" w:color="000000"/>
            </w:tcBorders>
            <w:tcMar>
              <w:top w:w="0" w:type="dxa"/>
              <w:left w:w="105" w:type="dxa"/>
              <w:bottom w:w="0" w:type="dxa"/>
              <w:right w:w="105" w:type="dxa"/>
            </w:tcMar>
          </w:tcPr>
          <w:p w:rsidR="001F61DC" w:rsidRDefault="001F61DC"/>
        </w:tc>
        <w:tc>
          <w:tcPr>
            <w:tcW w:w="1060" w:type="dxa"/>
            <w:tcBorders>
              <w:top w:val="nil"/>
              <w:left w:val="nil"/>
              <w:bottom w:val="single" w:sz="4" w:space="0" w:color="000000"/>
              <w:right w:val="single" w:sz="4" w:space="0" w:color="000000"/>
            </w:tcBorders>
            <w:tcMar>
              <w:top w:w="0" w:type="dxa"/>
              <w:left w:w="105" w:type="dxa"/>
              <w:bottom w:w="0" w:type="dxa"/>
              <w:right w:w="105" w:type="dxa"/>
            </w:tcMar>
          </w:tcPr>
          <w:p w:rsidR="001F61DC" w:rsidRDefault="001F61DC"/>
        </w:tc>
      </w:tr>
      <w:tr w:rsidR="001F61DC">
        <w:tc>
          <w:tcPr>
            <w:tcW w:w="75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F61DC" w:rsidRDefault="00F769DF">
            <w:pPr>
              <w:pStyle w:val="null3"/>
              <w:jc w:val="center"/>
              <w:rPr>
                <w:rFonts w:hint="default"/>
              </w:rPr>
            </w:pPr>
            <w:r>
              <w:t>4</w:t>
            </w:r>
          </w:p>
        </w:tc>
        <w:tc>
          <w:tcPr>
            <w:tcW w:w="2271" w:type="dxa"/>
            <w:tcBorders>
              <w:top w:val="nil"/>
              <w:left w:val="nil"/>
              <w:bottom w:val="single" w:sz="4" w:space="0" w:color="000000"/>
              <w:right w:val="single" w:sz="4" w:space="0" w:color="000000"/>
            </w:tcBorders>
            <w:tcMar>
              <w:top w:w="0" w:type="dxa"/>
              <w:left w:w="105" w:type="dxa"/>
              <w:bottom w:w="0" w:type="dxa"/>
              <w:right w:w="105" w:type="dxa"/>
            </w:tcMar>
            <w:vAlign w:val="center"/>
          </w:tcPr>
          <w:p w:rsidR="001F61DC" w:rsidRDefault="00F769DF">
            <w:pPr>
              <w:pStyle w:val="a9"/>
              <w:jc w:val="center"/>
            </w:pPr>
            <w:r>
              <w:rPr>
                <w:rFonts w:ascii="宋体" w:hAnsi="宋体" w:cs="宋体" w:hint="eastAsia"/>
                <w:bCs w:val="0"/>
                <w:sz w:val="21"/>
                <w:szCs w:val="22"/>
              </w:rPr>
              <w:t>遗传性耳聋</w:t>
            </w:r>
            <w:r>
              <w:rPr>
                <w:rFonts w:ascii="宋体" w:hAnsi="宋体" w:cs="宋体" w:hint="eastAsia"/>
                <w:bCs w:val="0"/>
                <w:sz w:val="21"/>
                <w:szCs w:val="22"/>
              </w:rPr>
              <w:t>NGS</w:t>
            </w:r>
            <w:r>
              <w:rPr>
                <w:rFonts w:ascii="宋体" w:hAnsi="宋体" w:cs="宋体" w:hint="eastAsia"/>
                <w:bCs w:val="0"/>
                <w:sz w:val="21"/>
                <w:szCs w:val="22"/>
              </w:rPr>
              <w:t>中</w:t>
            </w:r>
            <w:r>
              <w:rPr>
                <w:rFonts w:ascii="宋体" w:hAnsi="宋体" w:cs="宋体" w:hint="eastAsia"/>
                <w:bCs w:val="0"/>
                <w:sz w:val="21"/>
                <w:szCs w:val="22"/>
              </w:rPr>
              <w:t>Panel</w:t>
            </w:r>
            <w:r>
              <w:rPr>
                <w:rFonts w:ascii="宋体" w:hAnsi="宋体" w:cs="宋体" w:hint="eastAsia"/>
                <w:bCs w:val="0"/>
                <w:sz w:val="21"/>
                <w:szCs w:val="22"/>
              </w:rPr>
              <w:t>基因检测</w:t>
            </w:r>
            <w:r>
              <w:rPr>
                <w:rFonts w:ascii="宋体" w:hAnsi="宋体" w:cs="宋体" w:hint="eastAsia"/>
                <w:bCs w:val="0"/>
                <w:sz w:val="21"/>
                <w:szCs w:val="22"/>
              </w:rPr>
              <w:t>(</w:t>
            </w:r>
            <w:r>
              <w:rPr>
                <w:rFonts w:ascii="宋体" w:hAnsi="宋体" w:cs="宋体" w:hint="eastAsia"/>
                <w:bCs w:val="0"/>
                <w:sz w:val="21"/>
                <w:szCs w:val="22"/>
              </w:rPr>
              <w:t>检测不少于</w:t>
            </w:r>
            <w:r>
              <w:rPr>
                <w:rFonts w:ascii="宋体" w:hAnsi="宋体" w:cs="宋体" w:hint="eastAsia"/>
                <w:bCs w:val="0"/>
                <w:sz w:val="21"/>
                <w:szCs w:val="22"/>
              </w:rPr>
              <w:t>18</w:t>
            </w:r>
            <w:r>
              <w:rPr>
                <w:rFonts w:ascii="宋体" w:hAnsi="宋体" w:cs="宋体" w:hint="eastAsia"/>
                <w:bCs w:val="0"/>
                <w:sz w:val="21"/>
                <w:szCs w:val="22"/>
              </w:rPr>
              <w:t>个遗传性耳聋相关基因的</w:t>
            </w:r>
            <w:r>
              <w:rPr>
                <w:rFonts w:ascii="宋体" w:hAnsi="宋体" w:cs="宋体" w:hint="eastAsia"/>
                <w:bCs w:val="0"/>
                <w:sz w:val="21"/>
                <w:szCs w:val="22"/>
              </w:rPr>
              <w:t>108</w:t>
            </w:r>
            <w:r>
              <w:rPr>
                <w:rFonts w:ascii="宋体" w:hAnsi="宋体" w:cs="宋体" w:hint="eastAsia"/>
                <w:bCs w:val="0"/>
                <w:sz w:val="21"/>
                <w:szCs w:val="22"/>
              </w:rPr>
              <w:t>个位点。提供脱敏检验报告复印件</w:t>
            </w:r>
            <w:r>
              <w:rPr>
                <w:rFonts w:ascii="宋体" w:hAnsi="宋体" w:cs="宋体" w:hint="eastAsia"/>
                <w:bCs w:val="0"/>
                <w:sz w:val="21"/>
                <w:szCs w:val="22"/>
              </w:rPr>
              <w:t>)</w:t>
            </w:r>
          </w:p>
        </w:tc>
        <w:tc>
          <w:tcPr>
            <w:tcW w:w="1180" w:type="dxa"/>
            <w:tcBorders>
              <w:top w:val="nil"/>
              <w:left w:val="nil"/>
              <w:bottom w:val="single" w:sz="4" w:space="0" w:color="000000"/>
              <w:right w:val="single" w:sz="4" w:space="0" w:color="000000"/>
            </w:tcBorders>
            <w:tcMar>
              <w:top w:w="0" w:type="dxa"/>
              <w:left w:w="105" w:type="dxa"/>
              <w:bottom w:w="0" w:type="dxa"/>
              <w:right w:w="105" w:type="dxa"/>
            </w:tcMar>
            <w:vAlign w:val="center"/>
          </w:tcPr>
          <w:p w:rsidR="001F61DC" w:rsidRDefault="00F769DF">
            <w:pPr>
              <w:spacing w:line="500" w:lineRule="exact"/>
            </w:pPr>
            <w:r>
              <w:rPr>
                <w:rFonts w:ascii="宋体" w:eastAsia="宋体" w:hAnsi="宋体"/>
                <w:color w:val="000000"/>
                <w:szCs w:val="21"/>
              </w:rPr>
              <w:t>NGS</w:t>
            </w:r>
          </w:p>
        </w:tc>
        <w:tc>
          <w:tcPr>
            <w:tcW w:w="1045" w:type="dxa"/>
            <w:tcBorders>
              <w:top w:val="nil"/>
              <w:left w:val="nil"/>
              <w:bottom w:val="single" w:sz="4" w:space="0" w:color="000000"/>
              <w:right w:val="single" w:sz="4" w:space="0" w:color="000000"/>
            </w:tcBorders>
            <w:tcMar>
              <w:top w:w="0" w:type="dxa"/>
              <w:left w:w="105" w:type="dxa"/>
              <w:bottom w:w="0" w:type="dxa"/>
              <w:right w:w="105" w:type="dxa"/>
            </w:tcMar>
            <w:vAlign w:val="center"/>
          </w:tcPr>
          <w:p w:rsidR="001F61DC" w:rsidRDefault="00F769DF">
            <w:pPr>
              <w:pStyle w:val="a9"/>
              <w:jc w:val="center"/>
            </w:pPr>
            <w:r>
              <w:rPr>
                <w:rFonts w:ascii="宋体" w:hAnsi="宋体" w:cs="宋体" w:hint="eastAsia"/>
                <w:bCs w:val="0"/>
                <w:sz w:val="21"/>
                <w:szCs w:val="22"/>
              </w:rPr>
              <w:t>≤</w:t>
            </w:r>
            <w:r>
              <w:rPr>
                <w:rFonts w:ascii="宋体" w:hAnsi="宋体" w:cs="宋体" w:hint="eastAsia"/>
                <w:bCs w:val="0"/>
                <w:sz w:val="21"/>
                <w:szCs w:val="22"/>
              </w:rPr>
              <w:t>12</w:t>
            </w:r>
            <w:r>
              <w:rPr>
                <w:rFonts w:ascii="宋体" w:hAnsi="宋体" w:cs="宋体" w:hint="eastAsia"/>
                <w:bCs w:val="0"/>
                <w:sz w:val="21"/>
                <w:szCs w:val="22"/>
              </w:rPr>
              <w:t>个工作日</w:t>
            </w:r>
          </w:p>
        </w:tc>
        <w:tc>
          <w:tcPr>
            <w:tcW w:w="1059" w:type="dxa"/>
            <w:tcBorders>
              <w:top w:val="nil"/>
              <w:left w:val="nil"/>
              <w:bottom w:val="single" w:sz="4" w:space="0" w:color="000000"/>
              <w:right w:val="single" w:sz="4" w:space="0" w:color="000000"/>
            </w:tcBorders>
            <w:tcMar>
              <w:top w:w="0" w:type="dxa"/>
              <w:left w:w="105" w:type="dxa"/>
              <w:bottom w:w="0" w:type="dxa"/>
              <w:right w:w="105" w:type="dxa"/>
            </w:tcMar>
          </w:tcPr>
          <w:p w:rsidR="001F61DC" w:rsidRDefault="001F61DC">
            <w:pPr>
              <w:pStyle w:val="null3"/>
              <w:jc w:val="both"/>
              <w:rPr>
                <w:rFonts w:hint="default"/>
              </w:rPr>
            </w:pPr>
          </w:p>
        </w:tc>
        <w:tc>
          <w:tcPr>
            <w:tcW w:w="1060" w:type="dxa"/>
            <w:tcBorders>
              <w:top w:val="nil"/>
              <w:left w:val="nil"/>
              <w:bottom w:val="single" w:sz="4" w:space="0" w:color="000000"/>
              <w:right w:val="single" w:sz="4" w:space="0" w:color="000000"/>
            </w:tcBorders>
            <w:tcMar>
              <w:top w:w="0" w:type="dxa"/>
              <w:left w:w="105" w:type="dxa"/>
              <w:bottom w:w="0" w:type="dxa"/>
              <w:right w:w="105" w:type="dxa"/>
            </w:tcMar>
          </w:tcPr>
          <w:p w:rsidR="001F61DC" w:rsidRDefault="001F61DC"/>
        </w:tc>
        <w:tc>
          <w:tcPr>
            <w:tcW w:w="1060" w:type="dxa"/>
            <w:tcBorders>
              <w:top w:val="nil"/>
              <w:left w:val="nil"/>
              <w:bottom w:val="single" w:sz="4" w:space="0" w:color="000000"/>
              <w:right w:val="single" w:sz="4" w:space="0" w:color="000000"/>
            </w:tcBorders>
            <w:tcMar>
              <w:top w:w="0" w:type="dxa"/>
              <w:left w:w="105" w:type="dxa"/>
              <w:bottom w:w="0" w:type="dxa"/>
              <w:right w:w="105" w:type="dxa"/>
            </w:tcMar>
          </w:tcPr>
          <w:p w:rsidR="001F61DC" w:rsidRDefault="001F61DC"/>
        </w:tc>
      </w:tr>
      <w:tr w:rsidR="001F61DC">
        <w:tc>
          <w:tcPr>
            <w:tcW w:w="75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F61DC" w:rsidRDefault="00F769DF">
            <w:pPr>
              <w:pStyle w:val="null3"/>
              <w:jc w:val="center"/>
              <w:rPr>
                <w:rFonts w:hint="default"/>
              </w:rPr>
            </w:pPr>
            <w:r>
              <w:t>5</w:t>
            </w:r>
          </w:p>
        </w:tc>
        <w:tc>
          <w:tcPr>
            <w:tcW w:w="2271" w:type="dxa"/>
            <w:tcBorders>
              <w:top w:val="nil"/>
              <w:left w:val="nil"/>
              <w:bottom w:val="single" w:sz="4" w:space="0" w:color="000000"/>
              <w:right w:val="single" w:sz="4" w:space="0" w:color="000000"/>
            </w:tcBorders>
            <w:tcMar>
              <w:top w:w="0" w:type="dxa"/>
              <w:left w:w="105" w:type="dxa"/>
              <w:bottom w:w="0" w:type="dxa"/>
              <w:right w:w="105" w:type="dxa"/>
            </w:tcMar>
            <w:vAlign w:val="center"/>
          </w:tcPr>
          <w:p w:rsidR="001F61DC" w:rsidRDefault="00F769DF">
            <w:pPr>
              <w:pStyle w:val="a9"/>
              <w:jc w:val="center"/>
            </w:pPr>
            <w:r>
              <w:rPr>
                <w:rFonts w:ascii="宋体" w:hAnsi="宋体" w:cs="宋体" w:hint="eastAsia"/>
                <w:bCs w:val="0"/>
                <w:sz w:val="21"/>
                <w:szCs w:val="22"/>
              </w:rPr>
              <w:t>遗传性耳聋</w:t>
            </w:r>
            <w:r>
              <w:rPr>
                <w:rFonts w:ascii="宋体" w:hAnsi="宋体" w:cs="宋体" w:hint="eastAsia"/>
                <w:bCs w:val="0"/>
                <w:sz w:val="21"/>
                <w:szCs w:val="22"/>
              </w:rPr>
              <w:t>NGS</w:t>
            </w:r>
            <w:r>
              <w:rPr>
                <w:rFonts w:ascii="宋体" w:hAnsi="宋体" w:cs="宋体" w:hint="eastAsia"/>
                <w:bCs w:val="0"/>
                <w:sz w:val="21"/>
                <w:szCs w:val="22"/>
              </w:rPr>
              <w:t>大</w:t>
            </w:r>
            <w:r>
              <w:rPr>
                <w:rFonts w:ascii="宋体" w:hAnsi="宋体" w:cs="宋体" w:hint="eastAsia"/>
                <w:bCs w:val="0"/>
                <w:sz w:val="21"/>
                <w:szCs w:val="22"/>
              </w:rPr>
              <w:t>Panel</w:t>
            </w:r>
            <w:r>
              <w:rPr>
                <w:rFonts w:ascii="宋体" w:hAnsi="宋体" w:cs="宋体" w:hint="eastAsia"/>
                <w:bCs w:val="0"/>
                <w:sz w:val="21"/>
                <w:szCs w:val="22"/>
              </w:rPr>
              <w:t>基因检测（检测不少于</w:t>
            </w:r>
            <w:r>
              <w:rPr>
                <w:rFonts w:ascii="宋体" w:hAnsi="宋体" w:cs="宋体" w:hint="eastAsia"/>
                <w:bCs w:val="0"/>
                <w:sz w:val="21"/>
                <w:szCs w:val="22"/>
              </w:rPr>
              <w:t>218</w:t>
            </w:r>
            <w:r>
              <w:rPr>
                <w:rFonts w:ascii="宋体" w:hAnsi="宋体" w:cs="宋体" w:hint="eastAsia"/>
                <w:bCs w:val="0"/>
                <w:sz w:val="21"/>
                <w:szCs w:val="22"/>
              </w:rPr>
              <w:t>个遗传性耳聋相关的基因。提供脱敏检验报告复印件）</w:t>
            </w:r>
          </w:p>
        </w:tc>
        <w:tc>
          <w:tcPr>
            <w:tcW w:w="1180" w:type="dxa"/>
            <w:tcBorders>
              <w:top w:val="nil"/>
              <w:left w:val="nil"/>
              <w:bottom w:val="single" w:sz="4" w:space="0" w:color="000000"/>
              <w:right w:val="single" w:sz="4" w:space="0" w:color="000000"/>
            </w:tcBorders>
            <w:tcMar>
              <w:top w:w="0" w:type="dxa"/>
              <w:left w:w="105" w:type="dxa"/>
              <w:bottom w:w="0" w:type="dxa"/>
              <w:right w:w="105" w:type="dxa"/>
            </w:tcMar>
            <w:vAlign w:val="center"/>
          </w:tcPr>
          <w:p w:rsidR="001F61DC" w:rsidRDefault="00F769DF">
            <w:pPr>
              <w:spacing w:line="500" w:lineRule="exact"/>
            </w:pPr>
            <w:r>
              <w:rPr>
                <w:rFonts w:ascii="宋体" w:eastAsia="宋体" w:hAnsi="宋体"/>
                <w:color w:val="000000"/>
                <w:szCs w:val="21"/>
              </w:rPr>
              <w:t>NGS</w:t>
            </w:r>
          </w:p>
        </w:tc>
        <w:tc>
          <w:tcPr>
            <w:tcW w:w="1045" w:type="dxa"/>
            <w:tcBorders>
              <w:top w:val="nil"/>
              <w:left w:val="nil"/>
              <w:bottom w:val="single" w:sz="4" w:space="0" w:color="000000"/>
              <w:right w:val="single" w:sz="4" w:space="0" w:color="000000"/>
            </w:tcBorders>
            <w:tcMar>
              <w:top w:w="0" w:type="dxa"/>
              <w:left w:w="105" w:type="dxa"/>
              <w:bottom w:w="0" w:type="dxa"/>
              <w:right w:w="105" w:type="dxa"/>
            </w:tcMar>
            <w:vAlign w:val="center"/>
          </w:tcPr>
          <w:p w:rsidR="001F61DC" w:rsidRDefault="00F769DF">
            <w:pPr>
              <w:pStyle w:val="a9"/>
              <w:jc w:val="center"/>
            </w:pPr>
            <w:r>
              <w:rPr>
                <w:rFonts w:ascii="宋体" w:hAnsi="宋体" w:cs="宋体" w:hint="eastAsia"/>
                <w:bCs w:val="0"/>
                <w:sz w:val="21"/>
                <w:szCs w:val="22"/>
              </w:rPr>
              <w:t>≤</w:t>
            </w:r>
            <w:r>
              <w:rPr>
                <w:rFonts w:ascii="宋体" w:hAnsi="宋体" w:cs="宋体" w:hint="eastAsia"/>
                <w:bCs w:val="0"/>
                <w:sz w:val="21"/>
                <w:szCs w:val="22"/>
              </w:rPr>
              <w:t>30</w:t>
            </w:r>
            <w:r>
              <w:rPr>
                <w:rFonts w:ascii="宋体" w:hAnsi="宋体" w:cs="宋体" w:hint="eastAsia"/>
                <w:bCs w:val="0"/>
                <w:sz w:val="21"/>
                <w:szCs w:val="22"/>
              </w:rPr>
              <w:t>个工作日</w:t>
            </w:r>
          </w:p>
        </w:tc>
        <w:tc>
          <w:tcPr>
            <w:tcW w:w="1059" w:type="dxa"/>
            <w:tcBorders>
              <w:top w:val="nil"/>
              <w:left w:val="nil"/>
              <w:bottom w:val="single" w:sz="4" w:space="0" w:color="000000"/>
              <w:right w:val="single" w:sz="4" w:space="0" w:color="000000"/>
            </w:tcBorders>
            <w:tcMar>
              <w:top w:w="0" w:type="dxa"/>
              <w:left w:w="105" w:type="dxa"/>
              <w:bottom w:w="0" w:type="dxa"/>
              <w:right w:w="105" w:type="dxa"/>
            </w:tcMar>
          </w:tcPr>
          <w:p w:rsidR="001F61DC" w:rsidRDefault="001F61DC">
            <w:pPr>
              <w:pStyle w:val="null3"/>
              <w:jc w:val="both"/>
              <w:rPr>
                <w:rFonts w:hint="default"/>
              </w:rPr>
            </w:pPr>
          </w:p>
        </w:tc>
        <w:tc>
          <w:tcPr>
            <w:tcW w:w="1060" w:type="dxa"/>
            <w:tcBorders>
              <w:top w:val="nil"/>
              <w:left w:val="nil"/>
              <w:bottom w:val="single" w:sz="4" w:space="0" w:color="000000"/>
              <w:right w:val="single" w:sz="4" w:space="0" w:color="000000"/>
            </w:tcBorders>
            <w:tcMar>
              <w:top w:w="0" w:type="dxa"/>
              <w:left w:w="105" w:type="dxa"/>
              <w:bottom w:w="0" w:type="dxa"/>
              <w:right w:w="105" w:type="dxa"/>
            </w:tcMar>
          </w:tcPr>
          <w:p w:rsidR="001F61DC" w:rsidRDefault="001F61DC"/>
        </w:tc>
        <w:tc>
          <w:tcPr>
            <w:tcW w:w="1060" w:type="dxa"/>
            <w:tcBorders>
              <w:top w:val="nil"/>
              <w:left w:val="nil"/>
              <w:bottom w:val="single" w:sz="4" w:space="0" w:color="000000"/>
              <w:right w:val="single" w:sz="4" w:space="0" w:color="000000"/>
            </w:tcBorders>
            <w:tcMar>
              <w:top w:w="0" w:type="dxa"/>
              <w:left w:w="105" w:type="dxa"/>
              <w:bottom w:w="0" w:type="dxa"/>
              <w:right w:w="105" w:type="dxa"/>
            </w:tcMar>
          </w:tcPr>
          <w:p w:rsidR="001F61DC" w:rsidRDefault="001F61DC"/>
        </w:tc>
      </w:tr>
    </w:tbl>
    <w:p w:rsidR="001F61DC" w:rsidRDefault="00F769DF">
      <w:pPr>
        <w:pStyle w:val="null3"/>
        <w:jc w:val="both"/>
        <w:rPr>
          <w:rFonts w:hint="default"/>
        </w:rPr>
      </w:pPr>
      <w:r>
        <w:rPr>
          <w:b/>
        </w:rPr>
        <w:t>备注：外送项目清单是指采购人因客观因素暂时不能开展的检验检查项目，包括但不限于以上项目，以委托方实际外送项目为准。</w:t>
      </w:r>
    </w:p>
    <w:p w:rsidR="001F61DC" w:rsidRDefault="00F769DF">
      <w:pPr>
        <w:pStyle w:val="null3"/>
        <w:jc w:val="both"/>
        <w:rPr>
          <w:rFonts w:hint="default"/>
        </w:rPr>
      </w:pPr>
      <w:r>
        <w:rPr>
          <w:b/>
        </w:rPr>
        <w:t>（二）、委托检验服务特殊要求：</w:t>
      </w:r>
    </w:p>
    <w:p w:rsidR="001F61DC" w:rsidRDefault="00F769DF">
      <w:pPr>
        <w:pStyle w:val="null3"/>
        <w:ind w:left="75" w:right="165"/>
        <w:rPr>
          <w:rFonts w:hint="default"/>
        </w:rPr>
      </w:pPr>
      <w:r>
        <w:t>1.</w:t>
      </w:r>
      <w:r>
        <w:t>为满足合同期内临床检验业务的新增需求，采购人可根据临床需求在现有清单基础上增加项目数量。</w:t>
      </w:r>
    </w:p>
    <w:p w:rsidR="001F61DC" w:rsidRDefault="00F769DF">
      <w:pPr>
        <w:pStyle w:val="null3"/>
        <w:ind w:left="75" w:right="165"/>
        <w:rPr>
          <w:rFonts w:hint="default"/>
        </w:rPr>
      </w:pPr>
      <w:r>
        <w:lastRenderedPageBreak/>
        <w:t>2.</w:t>
      </w:r>
      <w:r>
        <w:t>某些项目检测技术成熟及标本量达到可采购人院内自检后，采购人有权决定是否继续外送。</w:t>
      </w:r>
    </w:p>
    <w:p w:rsidR="001F61DC" w:rsidRDefault="00F769DF">
      <w:pPr>
        <w:pStyle w:val="null3"/>
        <w:ind w:left="75" w:right="165"/>
        <w:rPr>
          <w:rFonts w:hint="default"/>
        </w:rPr>
      </w:pPr>
      <w:r>
        <w:t>3.</w:t>
      </w:r>
      <w:r>
        <w:t>相关收费标准物价部门作出调整的必须进行相应调整。</w:t>
      </w:r>
    </w:p>
    <w:p w:rsidR="001F61DC" w:rsidRDefault="00F769DF">
      <w:pPr>
        <w:pStyle w:val="null3"/>
        <w:ind w:left="75" w:right="165"/>
        <w:rPr>
          <w:rFonts w:hint="default"/>
        </w:rPr>
      </w:pPr>
      <w:r>
        <w:t>4.</w:t>
      </w:r>
      <w:r>
        <w:t>对以上要求因存在不确定性，投标人需充分考虑经营风险。</w:t>
      </w:r>
    </w:p>
    <w:p w:rsidR="001F61DC" w:rsidRDefault="00F769DF">
      <w:pPr>
        <w:pStyle w:val="null3"/>
        <w:ind w:left="75" w:right="165"/>
        <w:rPr>
          <w:rFonts w:hint="default"/>
        </w:rPr>
      </w:pPr>
      <w:r>
        <w:t>5.</w:t>
      </w:r>
      <w:r>
        <w:t>本包组要求投标人做好质量保证、环境影响、安全生产、信息安全等内控管理，应具有质量管理体系认证、环境管理体系认证、职业健康安全管理体系认证、信息安全管理体系认证，以确保投标人具有对生产经营全过程管控的能力，以及在品质控制、环境保护、安全生产、信息安全等方面管理的规范性。</w:t>
      </w:r>
    </w:p>
    <w:p w:rsidR="001F61DC" w:rsidRDefault="00F769DF">
      <w:pPr>
        <w:pStyle w:val="null3"/>
        <w:ind w:left="75" w:right="165"/>
        <w:rPr>
          <w:rFonts w:hint="default"/>
        </w:rPr>
      </w:pPr>
      <w:r>
        <w:t>6</w:t>
      </w:r>
      <w:r>
        <w:t>.</w:t>
      </w:r>
      <w:r>
        <w:t>投标人拥有完善的检测平台，设备配置齐全，设备应至少包含高通量测序仪</w:t>
      </w:r>
      <w:r>
        <w:t>、串联质谱仪</w:t>
      </w:r>
      <w:r>
        <w:t>、应能充分满足本检测包组的检测项目以及增加项目的潜在需求。</w:t>
      </w:r>
    </w:p>
    <w:p w:rsidR="001F61DC" w:rsidRDefault="00F769DF">
      <w:pPr>
        <w:pStyle w:val="null3"/>
        <w:jc w:val="both"/>
        <w:rPr>
          <w:rFonts w:hint="default"/>
        </w:rPr>
      </w:pPr>
      <w:r>
        <w:rPr>
          <w:b/>
        </w:rPr>
        <w:t>（三）、投标人技术要求：</w:t>
      </w:r>
    </w:p>
    <w:p w:rsidR="001F61DC" w:rsidRDefault="00F769DF">
      <w:pPr>
        <w:pStyle w:val="null3"/>
        <w:rPr>
          <w:rFonts w:hint="default"/>
        </w:rPr>
      </w:pPr>
      <w:r>
        <w:rPr>
          <w:b/>
        </w:rPr>
        <w:t>1.</w:t>
      </w:r>
      <w:r>
        <w:rPr>
          <w:b/>
        </w:rPr>
        <w:t>实验室要求：</w:t>
      </w:r>
    </w:p>
    <w:p w:rsidR="001F61DC" w:rsidRDefault="00F769DF">
      <w:pPr>
        <w:pStyle w:val="null3"/>
        <w:jc w:val="both"/>
        <w:rPr>
          <w:rFonts w:hint="default"/>
        </w:rPr>
      </w:pPr>
      <w:r>
        <w:t>▲</w:t>
      </w:r>
      <w:r>
        <w:t>1.1</w:t>
      </w:r>
      <w:r>
        <w:t>投标人拥有自己的医学检测实验室，实验室有完善的质量管理体系，提供</w:t>
      </w:r>
      <w:r>
        <w:t>IS015189</w:t>
      </w:r>
      <w:r>
        <w:t>认证证书作为辅证（提供证明文件复印件）。</w:t>
      </w:r>
    </w:p>
    <w:p w:rsidR="001F61DC" w:rsidRDefault="00F769DF">
      <w:pPr>
        <w:pStyle w:val="null3"/>
        <w:jc w:val="both"/>
        <w:rPr>
          <w:rFonts w:hint="default"/>
        </w:rPr>
      </w:pPr>
      <w:r>
        <w:t>▲</w:t>
      </w:r>
      <w:r>
        <w:t>1.2</w:t>
      </w:r>
      <w:r>
        <w:t>投标人实验室须拥有完善的分子诊断技术平台，包括定性</w:t>
      </w:r>
      <w:r>
        <w:t>PCR</w:t>
      </w:r>
      <w:r>
        <w:t>、定量</w:t>
      </w:r>
      <w:r>
        <w:t>PCR</w:t>
      </w:r>
      <w:r>
        <w:t>、高通量测序</w:t>
      </w:r>
      <w:r>
        <w:t>、串联质谱</w:t>
      </w:r>
      <w:r>
        <w:t>等相关技术平台。</w:t>
      </w:r>
    </w:p>
    <w:p w:rsidR="001F61DC" w:rsidRDefault="00F769DF">
      <w:pPr>
        <w:pStyle w:val="null3"/>
        <w:jc w:val="both"/>
        <w:rPr>
          <w:rFonts w:hint="default"/>
        </w:rPr>
      </w:pPr>
      <w:r>
        <w:t xml:space="preserve">1.3 </w:t>
      </w:r>
      <w:r>
        <w:t>投标人保证按国家检验检查规范进行操作，按照规范流程进行标本保存、运输与检查诊断，并对标本的诊断报告承担相应的责任。</w:t>
      </w:r>
    </w:p>
    <w:p w:rsidR="001F61DC" w:rsidRDefault="00F769DF">
      <w:pPr>
        <w:pStyle w:val="null3"/>
        <w:jc w:val="both"/>
        <w:rPr>
          <w:rFonts w:hint="default"/>
        </w:rPr>
      </w:pPr>
      <w:r>
        <w:rPr>
          <w:b/>
        </w:rPr>
        <w:t>2.</w:t>
      </w:r>
      <w:r>
        <w:rPr>
          <w:b/>
        </w:rPr>
        <w:t>技术队伍要求：</w:t>
      </w:r>
    </w:p>
    <w:p w:rsidR="001F61DC" w:rsidRDefault="00F769DF">
      <w:pPr>
        <w:pStyle w:val="null3"/>
        <w:rPr>
          <w:rFonts w:hint="default"/>
        </w:rPr>
      </w:pPr>
      <w:r>
        <w:rPr>
          <w:rFonts w:ascii="宋体" w:eastAsia="宋体" w:hAnsi="宋体"/>
          <w:kern w:val="2"/>
          <w:sz w:val="24"/>
          <w:szCs w:val="24"/>
        </w:rPr>
        <w:t xml:space="preserve">2.1 </w:t>
      </w:r>
      <w:r>
        <w:rPr>
          <w:rFonts w:ascii="宋体" w:hAnsi="宋体"/>
          <w:kern w:val="2"/>
          <w:szCs w:val="24"/>
        </w:rPr>
        <w:t>投标人实验室检验人员配备应符合国家相关要求，包括但不限于检验师、病理医师，人员数量、职称、专业可满足检测需求。具备</w:t>
      </w:r>
      <w:r>
        <w:rPr>
          <w:rFonts w:ascii="宋体" w:hAnsi="宋体"/>
          <w:kern w:val="2"/>
          <w:szCs w:val="24"/>
        </w:rPr>
        <w:t>医疗卫生专业技术人员不少于</w:t>
      </w:r>
      <w:r>
        <w:rPr>
          <w:rFonts w:ascii="宋体" w:hAnsi="宋体"/>
          <w:kern w:val="2"/>
          <w:szCs w:val="24"/>
        </w:rPr>
        <w:t>9</w:t>
      </w:r>
      <w:r>
        <w:rPr>
          <w:rFonts w:ascii="宋体" w:hAnsi="宋体"/>
          <w:kern w:val="2"/>
          <w:szCs w:val="24"/>
        </w:rPr>
        <w:t>名，其中至少有</w:t>
      </w:r>
      <w:r>
        <w:rPr>
          <w:rFonts w:ascii="宋体" w:hAnsi="宋体"/>
          <w:kern w:val="2"/>
          <w:szCs w:val="24"/>
        </w:rPr>
        <w:t>4</w:t>
      </w:r>
      <w:r>
        <w:rPr>
          <w:rFonts w:ascii="宋体" w:hAnsi="宋体"/>
          <w:kern w:val="2"/>
          <w:szCs w:val="24"/>
        </w:rPr>
        <w:t>名具有中级职称，</w:t>
      </w:r>
      <w:r>
        <w:rPr>
          <w:rFonts w:ascii="宋体" w:hAnsi="宋体"/>
          <w:kern w:val="2"/>
          <w:szCs w:val="24"/>
        </w:rPr>
        <w:t>2</w:t>
      </w:r>
      <w:r>
        <w:rPr>
          <w:rFonts w:ascii="宋体" w:hAnsi="宋体"/>
          <w:kern w:val="2"/>
          <w:szCs w:val="24"/>
        </w:rPr>
        <w:t>名具有高级职称，投标人实验室检验人员配备有遗传咨询师，《检测报告》审签人员必须具有高级职称（提供检验人员一览表、人员资格证复印件、投标截止日前六个月内任意一个月在投标人单位缴纳社保的证明）</w:t>
      </w:r>
      <w:r>
        <w:rPr>
          <w:rFonts w:ascii="宋体" w:eastAsia="宋体" w:hAnsi="宋体"/>
          <w:kern w:val="2"/>
          <w:sz w:val="24"/>
          <w:szCs w:val="24"/>
        </w:rPr>
        <w:t>。</w:t>
      </w:r>
    </w:p>
    <w:p w:rsidR="001F61DC" w:rsidRDefault="00F769DF">
      <w:pPr>
        <w:pStyle w:val="null3"/>
        <w:rPr>
          <w:rFonts w:hint="default"/>
        </w:rPr>
      </w:pPr>
      <w:r>
        <w:t>★</w:t>
      </w:r>
      <w:r>
        <w:t xml:space="preserve">2.2 </w:t>
      </w:r>
      <w:r>
        <w:t>投标人在采购人指定的标本交接地点设置专职驻点技术员</w:t>
      </w:r>
      <w:r>
        <w:t>1</w:t>
      </w:r>
      <w:r>
        <w:t>名，负责项目采样规范化培训，标本交接、登记、前处理、意外情况处理，报告分发，与采购人对接等工作；驻点岗服务时间按医院工作时间每周</w:t>
      </w:r>
      <w:r>
        <w:t>5.5</w:t>
      </w:r>
      <w:r>
        <w:t>天工作制度要求，驻点技术员服从科室排班，与科室现有工作人员的工</w:t>
      </w:r>
      <w:r>
        <w:t>作融合调度。合同执行期间，若中标人未按要求提供人员，专职驻点技术员每缺岗</w:t>
      </w:r>
      <w:r>
        <w:t>1</w:t>
      </w:r>
      <w:r>
        <w:t>个工作日，扣罚</w:t>
      </w:r>
      <w:r>
        <w:t>250</w:t>
      </w:r>
      <w:r>
        <w:t>元，纳入每月考核。</w:t>
      </w:r>
    </w:p>
    <w:p w:rsidR="001F61DC" w:rsidRDefault="00F769DF">
      <w:pPr>
        <w:pStyle w:val="null3"/>
        <w:rPr>
          <w:rFonts w:hint="default"/>
        </w:rPr>
      </w:pPr>
      <w:r>
        <w:t>2.3</w:t>
      </w:r>
      <w:r>
        <w:t>有专人负责用户业务及质量、技术、培训等工作。</w:t>
      </w:r>
    </w:p>
    <w:p w:rsidR="001F61DC" w:rsidRDefault="00F769DF">
      <w:pPr>
        <w:pStyle w:val="null3"/>
        <w:rPr>
          <w:rFonts w:hint="default"/>
        </w:rPr>
      </w:pPr>
      <w:r>
        <w:t>2.</w:t>
      </w:r>
      <w:r>
        <w:t>4</w:t>
      </w:r>
      <w:r>
        <w:t>常规设有客服人员负责采购方反馈信息的受理、传达、跟踪处理等工作，以满足售后服务。</w:t>
      </w:r>
    </w:p>
    <w:p w:rsidR="001F61DC" w:rsidRDefault="00F769DF">
      <w:pPr>
        <w:pStyle w:val="null3"/>
        <w:jc w:val="both"/>
        <w:rPr>
          <w:rFonts w:hint="default"/>
        </w:rPr>
      </w:pPr>
      <w:r>
        <w:rPr>
          <w:b/>
        </w:rPr>
        <w:t>3.</w:t>
      </w:r>
      <w:r>
        <w:rPr>
          <w:b/>
        </w:rPr>
        <w:t>信息系统支持：</w:t>
      </w:r>
    </w:p>
    <w:p w:rsidR="001F61DC" w:rsidRDefault="00F769DF">
      <w:pPr>
        <w:pStyle w:val="null3"/>
        <w:rPr>
          <w:rFonts w:hint="default"/>
        </w:rPr>
      </w:pPr>
      <w:r>
        <w:t>★</w:t>
      </w:r>
      <w:r>
        <w:t>3.1</w:t>
      </w:r>
      <w:r>
        <w:t>投标人有</w:t>
      </w:r>
      <w:r>
        <w:t>LIS</w:t>
      </w:r>
      <w:r>
        <w:t>系统可与采购人的</w:t>
      </w:r>
      <w:r>
        <w:t>LIS</w:t>
      </w:r>
      <w:r>
        <w:t>系统对接，对接费用全部由投标人负责，实现检验项目结果传输，方便检验项目的统一管理。投标人负责信息系统对接费用、后期维护、故障处理等，信息系统故障处理响应时间不超过</w:t>
      </w:r>
      <w:r>
        <w:t>2</w:t>
      </w:r>
      <w:r>
        <w:t>小时。</w:t>
      </w:r>
    </w:p>
    <w:p w:rsidR="001F61DC" w:rsidRDefault="00F769DF">
      <w:pPr>
        <w:pStyle w:val="null3"/>
        <w:rPr>
          <w:rFonts w:hint="default"/>
        </w:rPr>
      </w:pPr>
      <w:r>
        <w:t>3.2</w:t>
      </w:r>
      <w:r>
        <w:t>投标人完成检测后</w:t>
      </w:r>
      <w:r>
        <w:t>数据需与采购人检验系统及</w:t>
      </w:r>
      <w:r>
        <w:t>HIS</w:t>
      </w:r>
      <w:r>
        <w:t>系统对接，医务人员在</w:t>
      </w:r>
      <w:r>
        <w:t>HIS</w:t>
      </w:r>
      <w:r>
        <w:t>系统可以随时调阅外送检验结果；投标人须保证病人的资料的准确性、检验结果的及时性和信息系统数据传输的安全性，并提供系统使用的必要培训与技术支持（提供承诺函）。</w:t>
      </w:r>
    </w:p>
    <w:p w:rsidR="001F61DC" w:rsidRDefault="00F769DF">
      <w:pPr>
        <w:pStyle w:val="null3"/>
        <w:rPr>
          <w:rFonts w:hint="default"/>
        </w:rPr>
      </w:pPr>
      <w:r>
        <w:t>3.3</w:t>
      </w:r>
      <w:r>
        <w:t>在提供电子形式的检测结果的同时还需要负责完成与采购人自助打印系统对接。</w:t>
      </w:r>
    </w:p>
    <w:p w:rsidR="001F61DC" w:rsidRDefault="00F769DF">
      <w:pPr>
        <w:pStyle w:val="null3"/>
        <w:rPr>
          <w:rFonts w:hint="default"/>
        </w:rPr>
      </w:pPr>
      <w:r>
        <w:t xml:space="preserve">3.4 </w:t>
      </w:r>
      <w:r>
        <w:t>投标人的物流管理系统、信息传输系统、双向对接系统等应该具备安全可靠性，确保采购人送检项目标本及医疗数据在检验前、中、后的生物安全。</w:t>
      </w:r>
    </w:p>
    <w:p w:rsidR="001F61DC" w:rsidRDefault="00F769DF">
      <w:pPr>
        <w:pStyle w:val="null3"/>
        <w:jc w:val="both"/>
        <w:rPr>
          <w:rFonts w:hint="default"/>
        </w:rPr>
      </w:pPr>
      <w:r>
        <w:rPr>
          <w:b/>
        </w:rPr>
        <w:t>4.</w:t>
      </w:r>
      <w:r>
        <w:rPr>
          <w:b/>
        </w:rPr>
        <w:t>标本管理与物流系统</w:t>
      </w:r>
    </w:p>
    <w:p w:rsidR="001F61DC" w:rsidRDefault="00F769DF">
      <w:pPr>
        <w:pStyle w:val="null3"/>
        <w:rPr>
          <w:rFonts w:hint="default"/>
        </w:rPr>
      </w:pPr>
      <w:r>
        <w:t>4.1</w:t>
      </w:r>
      <w:r>
        <w:t>投标人有医疗物流系统，物流系统应符合《</w:t>
      </w:r>
      <w:r>
        <w:t>GB/T 4</w:t>
      </w:r>
      <w:r>
        <w:t>2186-2022</w:t>
      </w:r>
      <w:r>
        <w:t>医学检验生物样本冷链物流运作规范》，有安全可靠的标本运输流程，保证标本接收、送检运输过程的安全与规范，保证标本的检测前质量，确保运输过程的样品质量和环境安全。</w:t>
      </w:r>
    </w:p>
    <w:p w:rsidR="001F61DC" w:rsidRDefault="00F769DF">
      <w:pPr>
        <w:pStyle w:val="null3"/>
        <w:rPr>
          <w:rFonts w:hint="default"/>
        </w:rPr>
      </w:pPr>
      <w:r>
        <w:lastRenderedPageBreak/>
        <w:t>4.2</w:t>
      </w:r>
      <w:r>
        <w:t>投标人有能力提供物流服务，投标人负责在采购人指定的标本交接地点配备标本接收工作站、特殊标本采样管、标本暂存冰箱。相关费用由投标人承担。严禁投标人在采购人进行非合同项目标本的线下交易。</w:t>
      </w:r>
    </w:p>
    <w:p w:rsidR="001F61DC" w:rsidRDefault="00F769DF">
      <w:pPr>
        <w:pStyle w:val="null3"/>
        <w:rPr>
          <w:rFonts w:hint="default"/>
        </w:rPr>
      </w:pPr>
      <w:r>
        <w:t>4.3</w:t>
      </w:r>
      <w:r>
        <w:t>投标人应在满足标本检测报告时限要求的前提下，及时前往采购人指定标本交接地点收取标本，并运输到投标人检测实验室。</w:t>
      </w:r>
      <w:r>
        <w:t>因投标人物流因素导致标本质量</w:t>
      </w:r>
      <w:r>
        <w:t>问题，责任由投标人承担。</w:t>
      </w:r>
    </w:p>
    <w:p w:rsidR="001F61DC" w:rsidRDefault="00F769DF">
      <w:pPr>
        <w:pStyle w:val="null3"/>
        <w:rPr>
          <w:rFonts w:hint="default"/>
        </w:rPr>
      </w:pPr>
      <w:r>
        <w:t>4.4</w:t>
      </w:r>
      <w:r>
        <w:t>样本运输要求直立、冷藏、封闭，确保运输过程的样品质量和环境安全。对于需低温冷冻或有特殊要求的样本视具体项目与采购人商定。提供相关方案的介绍说明，提供运输专用容器实物图片、提供全程电子监控系统的系统截图及介绍。</w:t>
      </w:r>
    </w:p>
    <w:p w:rsidR="001F61DC" w:rsidRDefault="00F769DF">
      <w:pPr>
        <w:pStyle w:val="null3"/>
        <w:rPr>
          <w:rFonts w:hint="default"/>
        </w:rPr>
      </w:pPr>
      <w:r>
        <w:t>4.5</w:t>
      </w:r>
      <w:r>
        <w:t>标本在送检过程中出现延迟、遗漏、丢失等情况，投标人应有完善的应急预案予以妥善解决，否则投标人应承担相应责任（提供应急预案方案）。</w:t>
      </w:r>
    </w:p>
    <w:p w:rsidR="001F61DC" w:rsidRDefault="00F769DF">
      <w:pPr>
        <w:pStyle w:val="null3"/>
        <w:rPr>
          <w:rFonts w:hint="default"/>
        </w:rPr>
      </w:pPr>
      <w:r>
        <w:t>4.6</w:t>
      </w:r>
      <w:r>
        <w:t>能够按用户要求妥善保存及销毁检验后样本。</w:t>
      </w:r>
    </w:p>
    <w:p w:rsidR="001F61DC" w:rsidRDefault="00F769DF">
      <w:pPr>
        <w:pStyle w:val="null3"/>
        <w:rPr>
          <w:rFonts w:hint="default"/>
        </w:rPr>
      </w:pPr>
      <w:r>
        <w:rPr>
          <w:b/>
        </w:rPr>
        <w:t>5.</w:t>
      </w:r>
      <w:r>
        <w:rPr>
          <w:b/>
        </w:rPr>
        <w:t>其他技术服务要求：</w:t>
      </w:r>
    </w:p>
    <w:p w:rsidR="001F61DC" w:rsidRDefault="00F769DF">
      <w:pPr>
        <w:pStyle w:val="null3"/>
        <w:jc w:val="both"/>
        <w:rPr>
          <w:rFonts w:hint="default"/>
        </w:rPr>
      </w:pPr>
      <w:r>
        <w:t>5.1</w:t>
      </w:r>
      <w:r>
        <w:t>投标人按国家检验规范进行操作，并对标本的检验报告承担相应</w:t>
      </w:r>
      <w:r>
        <w:t>的责任；并保证检验结果的公正性，不受任何诱使或压力的干扰。</w:t>
      </w:r>
    </w:p>
    <w:p w:rsidR="001F61DC" w:rsidRDefault="00F769DF">
      <w:pPr>
        <w:pStyle w:val="null3"/>
        <w:jc w:val="both"/>
        <w:rPr>
          <w:rFonts w:hint="default"/>
        </w:rPr>
      </w:pPr>
      <w:r>
        <w:t>5.2</w:t>
      </w:r>
      <w:r>
        <w:t>投标人按卫生部临检中心质量要求进行操作，按照规范流程进行标本保存、运输与检查诊断，并对标本的检验报告承担相应的责任。投标人有为采购人保密的义务，在未经采购人同意或授权下，不得向采购人以外的任何单位或个人泄露采购人委托检测的任何信息。</w:t>
      </w:r>
    </w:p>
    <w:p w:rsidR="001F61DC" w:rsidRDefault="00F769DF">
      <w:pPr>
        <w:pStyle w:val="null3"/>
        <w:jc w:val="both"/>
        <w:rPr>
          <w:rFonts w:hint="default"/>
        </w:rPr>
      </w:pPr>
      <w:r>
        <w:t>5.3</w:t>
      </w:r>
      <w:r>
        <w:t>投标人按日或检测批次对采购人委托项目进行室内质控，按季度提供室内质量控制报表，其内容包括质控检测数据、控制标准、质控分析、失控报告，可以随时接受并妥善安排采购人查阅项目检测、质量控制等情况。</w:t>
      </w:r>
    </w:p>
    <w:p w:rsidR="001F61DC" w:rsidRDefault="00F769DF">
      <w:pPr>
        <w:pStyle w:val="null3"/>
        <w:jc w:val="both"/>
        <w:rPr>
          <w:rFonts w:hint="default"/>
        </w:rPr>
      </w:pPr>
      <w:r>
        <w:t>5.4</w:t>
      </w:r>
      <w:r>
        <w:t>投标人实验室检测后的剩余标本（如有），由投标人依法处置，投标人按照国家法律法规及相关行业规定的保存期限保存剩余标本（如有），定期返样（如有）。检测样本、检测数据的所有权、使用权为采购人所有，未经许可不得挪作它用。</w:t>
      </w:r>
    </w:p>
    <w:p w:rsidR="001F61DC" w:rsidRDefault="00F769DF">
      <w:pPr>
        <w:pStyle w:val="null3"/>
        <w:jc w:val="both"/>
        <w:rPr>
          <w:rFonts w:hint="default"/>
        </w:rPr>
      </w:pPr>
      <w:r>
        <w:t>5.5</w:t>
      </w:r>
      <w:r>
        <w:t>部分特殊检查项目需要的采样器、知情同意书、专用的患者资料登记申请单等由投标人提供。</w:t>
      </w:r>
    </w:p>
    <w:p w:rsidR="001F61DC" w:rsidRDefault="00F769DF">
      <w:pPr>
        <w:pStyle w:val="null3"/>
        <w:jc w:val="both"/>
        <w:rPr>
          <w:rFonts w:hint="default"/>
        </w:rPr>
      </w:pPr>
      <w:r>
        <w:t>5.6</w:t>
      </w:r>
      <w:r>
        <w:t>投标人提供电话查询服务，危急值专人电话跟进，确保患者检测信息与临床医生的沟通畅通。同时，投标人可为患者提供线上遗传咨询服务通道。</w:t>
      </w:r>
    </w:p>
    <w:p w:rsidR="001F61DC" w:rsidRDefault="00F769DF">
      <w:pPr>
        <w:pStyle w:val="null3"/>
        <w:jc w:val="both"/>
        <w:rPr>
          <w:rFonts w:hint="default"/>
        </w:rPr>
      </w:pPr>
      <w:r>
        <w:t>5.7</w:t>
      </w:r>
      <w:r>
        <w:t>投标人应建立快速的客户服务反应机制，如有针对投标人或采购人的</w:t>
      </w:r>
      <w:r>
        <w:t>投诉或需处理的情况，投标人应派代表在</w:t>
      </w:r>
      <w:r>
        <w:t>12</w:t>
      </w:r>
      <w:r>
        <w:t>小时内到达采购人处及时沟通处理；若主要针对采购人的投诉或需处理的情况，投标人有义务协助采购人及时沟通处理。</w:t>
      </w:r>
    </w:p>
    <w:p w:rsidR="001F61DC" w:rsidRDefault="00F769DF">
      <w:pPr>
        <w:pStyle w:val="null3"/>
        <w:jc w:val="both"/>
        <w:rPr>
          <w:rFonts w:hint="default"/>
        </w:rPr>
      </w:pPr>
      <w:r>
        <w:t>5.8</w:t>
      </w:r>
      <w:r>
        <w:t>投标人按照检测项目常规报告时间提供检测结果，并能满足采购人急诊项目的优先检测。</w:t>
      </w:r>
    </w:p>
    <w:p w:rsidR="001F61DC" w:rsidRDefault="00F769DF">
      <w:pPr>
        <w:pStyle w:val="null3"/>
        <w:jc w:val="both"/>
        <w:rPr>
          <w:rFonts w:hint="default"/>
        </w:rPr>
      </w:pPr>
      <w:r>
        <w:rPr>
          <w:b/>
        </w:rPr>
        <w:t>6.</w:t>
      </w:r>
      <w:r>
        <w:rPr>
          <w:b/>
        </w:rPr>
        <w:t>结果查询培训及科研需求</w:t>
      </w:r>
    </w:p>
    <w:p w:rsidR="001F61DC" w:rsidRDefault="00F769DF">
      <w:pPr>
        <w:pStyle w:val="null3"/>
        <w:jc w:val="both"/>
        <w:rPr>
          <w:rFonts w:hint="default"/>
        </w:rPr>
      </w:pPr>
      <w:r>
        <w:t xml:space="preserve">6.1 </w:t>
      </w:r>
      <w:r>
        <w:t>能保证检验结果实时网络传送，实现实验室数据的汇总、储存、传输功能，配合采购人进行</w:t>
      </w:r>
      <w:r>
        <w:t>优生遗传</w:t>
      </w:r>
      <w:r>
        <w:t>网络建设，包括</w:t>
      </w:r>
      <w:r>
        <w:t>IT</w:t>
      </w:r>
      <w:r>
        <w:t>系统等</w:t>
      </w:r>
      <w:r>
        <w:t>，</w:t>
      </w:r>
      <w:r>
        <w:t>需符合国家信息安全有关的规定和要求。</w:t>
      </w:r>
    </w:p>
    <w:p w:rsidR="001F61DC" w:rsidRDefault="00F769DF">
      <w:pPr>
        <w:pStyle w:val="null3"/>
        <w:jc w:val="both"/>
        <w:rPr>
          <w:rFonts w:hint="default"/>
        </w:rPr>
      </w:pPr>
      <w:r>
        <w:t xml:space="preserve">6.2 </w:t>
      </w:r>
      <w:r>
        <w:t>提供网上查询服务，以供随时查询进度和结果。</w:t>
      </w:r>
    </w:p>
    <w:p w:rsidR="001F61DC" w:rsidRDefault="00F769DF">
      <w:pPr>
        <w:pStyle w:val="null3"/>
        <w:jc w:val="both"/>
        <w:rPr>
          <w:rFonts w:hint="default"/>
        </w:rPr>
      </w:pPr>
      <w:r>
        <w:t xml:space="preserve">6.3 </w:t>
      </w:r>
      <w:r>
        <w:t>可追溯性：采购人医务人员可以随</w:t>
      </w:r>
      <w:r>
        <w:t>时调阅检验结果，投标人须保证病人的资料的准确性和检验结果的及时性，并提供系统使用的必要培训与技术支持。</w:t>
      </w:r>
    </w:p>
    <w:p w:rsidR="001F61DC" w:rsidRDefault="00F769DF">
      <w:pPr>
        <w:pStyle w:val="null3"/>
        <w:jc w:val="both"/>
        <w:rPr>
          <w:rFonts w:hint="default"/>
        </w:rPr>
      </w:pPr>
      <w:r>
        <w:rPr>
          <w:b/>
        </w:rPr>
        <w:t>7.</w:t>
      </w:r>
      <w:r>
        <w:rPr>
          <w:b/>
        </w:rPr>
        <w:t>应急服务</w:t>
      </w:r>
    </w:p>
    <w:p w:rsidR="001F61DC" w:rsidRDefault="00F769DF">
      <w:pPr>
        <w:pStyle w:val="null3"/>
        <w:jc w:val="both"/>
        <w:rPr>
          <w:rFonts w:hint="default"/>
        </w:rPr>
      </w:pPr>
      <w:r>
        <w:t xml:space="preserve">7.1 </w:t>
      </w:r>
      <w:r>
        <w:t>投标人应有完整的应急预案，对于采购人的突发状况应有快速反应机制，在接到采购人需求的</w:t>
      </w:r>
      <w:r>
        <w:t>2</w:t>
      </w:r>
      <w:r>
        <w:t>小时内到达采购人处及时沟通处理。</w:t>
      </w:r>
    </w:p>
    <w:p w:rsidR="001F61DC" w:rsidRDefault="00F769DF">
      <w:pPr>
        <w:pStyle w:val="null3"/>
        <w:jc w:val="both"/>
        <w:rPr>
          <w:rFonts w:hint="default"/>
        </w:rPr>
      </w:pPr>
      <w:r>
        <w:t xml:space="preserve">7.2 </w:t>
      </w:r>
      <w:r>
        <w:t>当番禺区出现突发应急事件，需要开展大规模应急检验、检查情况下，投标人须承诺为广州医科大学附属番禺中心医院医疗集团提供相应的应急医疗检测服务</w:t>
      </w:r>
      <w:r>
        <w:rPr>
          <w:b/>
        </w:rPr>
        <w:t>（需提供承诺函）</w:t>
      </w:r>
      <w:r>
        <w:t>。</w:t>
      </w:r>
    </w:p>
    <w:p w:rsidR="001F61DC" w:rsidRDefault="00F769DF">
      <w:pPr>
        <w:pStyle w:val="null3"/>
        <w:jc w:val="both"/>
        <w:rPr>
          <w:rFonts w:hint="default"/>
        </w:rPr>
      </w:pPr>
      <w:r>
        <w:rPr>
          <w:b/>
        </w:rPr>
        <w:t>8.</w:t>
      </w:r>
      <w:r>
        <w:rPr>
          <w:b/>
        </w:rPr>
        <w:t>科研培训需求</w:t>
      </w:r>
    </w:p>
    <w:p w:rsidR="001F61DC" w:rsidRDefault="00F769DF">
      <w:pPr>
        <w:pStyle w:val="null3"/>
        <w:jc w:val="both"/>
        <w:rPr>
          <w:rFonts w:hint="default"/>
        </w:rPr>
      </w:pPr>
      <w:r>
        <w:lastRenderedPageBreak/>
        <w:t xml:space="preserve">8.1 </w:t>
      </w:r>
      <w:r>
        <w:t>采购人提出明确需求的情况下，投标人有义务协助采购人开展检验人员对</w:t>
      </w:r>
      <w:r>
        <w:t>ISO15189</w:t>
      </w:r>
      <w:r>
        <w:t>知识等进修培训、协助采购人开展继续教育、专题讲座等学术交流活动，以上活动费用全部由中标人负责。</w:t>
      </w:r>
    </w:p>
    <w:p w:rsidR="001F61DC" w:rsidRDefault="00F769DF">
      <w:pPr>
        <w:pStyle w:val="null3"/>
        <w:jc w:val="both"/>
        <w:rPr>
          <w:rFonts w:hint="default"/>
        </w:rPr>
      </w:pPr>
      <w:r>
        <w:t xml:space="preserve">8.2 </w:t>
      </w:r>
      <w:r>
        <w:t>投标人如使用采购人提供的受检者标本发表科研成果，需经采购人同意，且采购人有署名权，署名排序按照文章发表时各方的贡献另行协商确定。</w:t>
      </w:r>
    </w:p>
    <w:p w:rsidR="001F61DC" w:rsidRDefault="00F769DF">
      <w:pPr>
        <w:pStyle w:val="null3"/>
        <w:jc w:val="both"/>
        <w:rPr>
          <w:rFonts w:hint="default"/>
        </w:rPr>
      </w:pPr>
      <w:r>
        <w:t>★</w:t>
      </w:r>
      <w:r>
        <w:rPr>
          <w:b/>
        </w:rPr>
        <w:t>9.</w:t>
      </w:r>
      <w:r>
        <w:rPr>
          <w:b/>
        </w:rPr>
        <w:t>违约责任</w:t>
      </w:r>
    </w:p>
    <w:p w:rsidR="001F61DC" w:rsidRDefault="00F769DF">
      <w:pPr>
        <w:pStyle w:val="null3"/>
        <w:jc w:val="both"/>
        <w:rPr>
          <w:rFonts w:hint="default"/>
        </w:rPr>
      </w:pPr>
      <w:r>
        <w:t xml:space="preserve">9.1 </w:t>
      </w:r>
      <w:r>
        <w:t>中标人应对送检项目</w:t>
      </w:r>
      <w:r>
        <w:t>检验</w:t>
      </w:r>
      <w:r>
        <w:t>结果负责，由中标人原因引起的医疗纠纷，所产生的法律、经济责任由中标人负责，并赔偿造成采购人的损失。合同期间累计发生</w:t>
      </w:r>
      <w:r>
        <w:t>3</w:t>
      </w:r>
      <w:r>
        <w:t>次的，采购人有权单方终止本项目合同，</w:t>
      </w:r>
      <w:r>
        <w:t>中标人应向采购人支付合同总价</w:t>
      </w:r>
      <w:r>
        <w:t>20%</w:t>
      </w:r>
      <w:r>
        <w:t>作为赔偿金。</w:t>
      </w:r>
    </w:p>
    <w:p w:rsidR="001F61DC" w:rsidRDefault="00F769DF">
      <w:pPr>
        <w:pStyle w:val="null3"/>
        <w:jc w:val="both"/>
        <w:rPr>
          <w:rFonts w:hint="default"/>
        </w:rPr>
      </w:pPr>
      <w:r>
        <w:t xml:space="preserve">9.2 </w:t>
      </w:r>
      <w:r>
        <w:t>中标人对采购人送检的合格样本结果负责，对于按照中标人要求取材的合格样本，若因中标人原因导致检测结果存在质量问题，由中标人承担相应责任，并赔偿造成采购人的损失。合同期间累计发生</w:t>
      </w:r>
      <w:r>
        <w:t>3</w:t>
      </w:r>
      <w:r>
        <w:t>次的，采购人有权单方终止本项目合同，中标人应向采购人支付合同总价</w:t>
      </w:r>
      <w:r>
        <w:t>20%</w:t>
      </w:r>
      <w:r>
        <w:t>作为赔偿金。</w:t>
      </w:r>
    </w:p>
    <w:p w:rsidR="001F61DC" w:rsidRDefault="00F769DF">
      <w:pPr>
        <w:pStyle w:val="null3"/>
        <w:jc w:val="both"/>
        <w:rPr>
          <w:rFonts w:hint="default"/>
        </w:rPr>
      </w:pPr>
      <w:r>
        <w:t xml:space="preserve">9.3 </w:t>
      </w:r>
      <w:r>
        <w:t>投标人应保证其用到本项目的专利、技术是其合格持有，且享有处分权，若因实施本项目的专利技术产生的侵权纠纷，采购人有权向中标人追究责任，并向中标人索赔因此受到的全部损失，采购人并有权单方终止本</w:t>
      </w:r>
      <w:r>
        <w:t>项目合同。</w:t>
      </w:r>
    </w:p>
    <w:p w:rsidR="001F61DC" w:rsidRDefault="00F769DF">
      <w:pPr>
        <w:pStyle w:val="null3"/>
        <w:jc w:val="both"/>
        <w:rPr>
          <w:rFonts w:hint="default"/>
        </w:rPr>
      </w:pPr>
      <w:r>
        <w:t>9.4</w:t>
      </w:r>
      <w:r>
        <w:t>中标人提供的服务不符合本合同规定的，采购人有权拒收，并且中标人须向采购人支付本合同总价</w:t>
      </w:r>
      <w:r>
        <w:t>5%</w:t>
      </w:r>
      <w:r>
        <w:t>的违约金，由此造成的采购人经济损失由中标人承担。</w:t>
      </w:r>
    </w:p>
    <w:p w:rsidR="001F61DC" w:rsidRDefault="00F769DF">
      <w:pPr>
        <w:pStyle w:val="null3"/>
        <w:jc w:val="both"/>
        <w:rPr>
          <w:rFonts w:hint="default"/>
        </w:rPr>
      </w:pPr>
      <w:r>
        <w:t>9.5</w:t>
      </w:r>
      <w:r>
        <w:t>中标人未能按本合同规定的交货时间提供服务，从逾期之日起每日按本合同总价</w:t>
      </w:r>
      <w:r>
        <w:t>3</w:t>
      </w:r>
      <w:r>
        <w:t>‰的数额向采购人支付违约金；逾期半个月以上的，采购人有权终止合同，由此造成的采购人经济损失由中标人承担。</w:t>
      </w:r>
    </w:p>
    <w:p w:rsidR="001F61DC" w:rsidRDefault="00F769DF">
      <w:pPr>
        <w:pStyle w:val="null3"/>
        <w:jc w:val="both"/>
        <w:rPr>
          <w:rFonts w:hint="default"/>
        </w:rPr>
      </w:pPr>
      <w:r>
        <w:t>★</w:t>
      </w:r>
      <w:r>
        <w:t>10.</w:t>
      </w:r>
      <w:r>
        <w:t>本项目合同到期后，因中标人提供的检验项目受到各级监管部门罚款、引起医疗纠纷产生的法律、经济责任，采购人保留对中标人追责权利，中标人应赔偿采购人因此产生的全部损失，</w:t>
      </w:r>
      <w:r>
        <w:t>如损失难以计算的，中标人应向采购人支付合同总价</w:t>
      </w:r>
      <w:r>
        <w:t>20%</w:t>
      </w:r>
      <w:r>
        <w:t>作为赔偿金。</w:t>
      </w:r>
    </w:p>
    <w:p w:rsidR="001F61DC" w:rsidRDefault="00F769DF">
      <w:pPr>
        <w:pStyle w:val="null3"/>
        <w:numPr>
          <w:ilvl w:val="0"/>
          <w:numId w:val="1"/>
        </w:numPr>
        <w:rPr>
          <w:rFonts w:hint="default"/>
        </w:rPr>
      </w:pPr>
      <w:r>
        <w:t>四、服务验收要求</w:t>
      </w:r>
    </w:p>
    <w:p w:rsidR="001F61DC" w:rsidRDefault="00F769DF">
      <w:pPr>
        <w:pStyle w:val="null3"/>
        <w:rPr>
          <w:rFonts w:hint="default"/>
        </w:rPr>
      </w:pPr>
      <w:r>
        <w:t>1</w:t>
      </w:r>
      <w:r>
        <w:t>期：</w:t>
      </w:r>
    </w:p>
    <w:p w:rsidR="001F61DC" w:rsidRDefault="00F769DF">
      <w:pPr>
        <w:pStyle w:val="null3"/>
        <w:rPr>
          <w:rFonts w:hint="default"/>
        </w:rPr>
      </w:pPr>
      <w:r>
        <w:t>1.</w:t>
      </w:r>
      <w:r>
        <w:t>投标人按质按量完成检验外送标本接收、运输、检测等工作，按照约定报告时限将检验结果反馈到医院</w:t>
      </w:r>
      <w:r>
        <w:t>检验</w:t>
      </w:r>
      <w:r>
        <w:t>系统，并按临床需求提供检验结果临床意义解读与沟通。</w:t>
      </w:r>
    </w:p>
    <w:p w:rsidR="001F61DC" w:rsidRDefault="00F769DF">
      <w:pPr>
        <w:pStyle w:val="null3"/>
        <w:rPr>
          <w:rFonts w:hint="default"/>
        </w:rPr>
      </w:pPr>
      <w:r>
        <w:t xml:space="preserve">2. </w:t>
      </w:r>
      <w:r>
        <w:t>合同执行期间，若中标人未按要求提供驻点人员，专职驻点技术员每缺岗</w:t>
      </w:r>
      <w:r>
        <w:t>1</w:t>
      </w:r>
      <w:r>
        <w:t>个工作日，扣罚</w:t>
      </w:r>
      <w:r>
        <w:t>250</w:t>
      </w:r>
      <w:r>
        <w:t>元，以采购人每月对驻点人员考勤登记作为考核依据。</w:t>
      </w:r>
    </w:p>
    <w:p w:rsidR="001F61DC" w:rsidRDefault="00F769DF">
      <w:pPr>
        <w:pStyle w:val="null3"/>
        <w:rPr>
          <w:rFonts w:hint="default"/>
        </w:rPr>
      </w:pPr>
      <w:r>
        <w:t>3.</w:t>
      </w:r>
      <w:r>
        <w:t>室内质控数据真实可靠，投标人按月提供考核表给采购人核查：</w:t>
      </w:r>
    </w:p>
    <w:p w:rsidR="001F61DC" w:rsidRDefault="00F769DF">
      <w:pPr>
        <w:pStyle w:val="null3"/>
        <w:rPr>
          <w:rFonts w:hint="default"/>
        </w:rPr>
      </w:pPr>
      <w:r>
        <w:t>○标本丢失每月不超过</w:t>
      </w:r>
      <w:r>
        <w:t>2</w:t>
      </w:r>
      <w:r>
        <w:t>例；</w:t>
      </w:r>
    </w:p>
    <w:p w:rsidR="001F61DC" w:rsidRDefault="00F769DF">
      <w:pPr>
        <w:pStyle w:val="null3"/>
        <w:rPr>
          <w:rFonts w:hint="default"/>
        </w:rPr>
      </w:pPr>
      <w:r>
        <w:t>○月平均延时报告率</w:t>
      </w:r>
      <w:r>
        <w:t>&lt;5%</w:t>
      </w:r>
      <w:r>
        <w:t>，日延时报告率</w:t>
      </w:r>
      <w:r>
        <w:t>&gt;10%</w:t>
      </w:r>
      <w:r>
        <w:t>不能超过</w:t>
      </w:r>
      <w:r>
        <w:t>3</w:t>
      </w:r>
      <w:r>
        <w:t>次；</w:t>
      </w:r>
    </w:p>
    <w:p w:rsidR="001F61DC" w:rsidRDefault="00F769DF">
      <w:pPr>
        <w:pStyle w:val="null3"/>
        <w:rPr>
          <w:rFonts w:hint="default"/>
        </w:rPr>
      </w:pPr>
      <w:r>
        <w:t>○月平均危急值延时报告率</w:t>
      </w:r>
      <w:r>
        <w:t>&lt;1%</w:t>
      </w:r>
      <w:r>
        <w:t>，无漏报；</w:t>
      </w:r>
    </w:p>
    <w:p w:rsidR="001F61DC" w:rsidRDefault="00F769DF">
      <w:pPr>
        <w:pStyle w:val="null3"/>
        <w:rPr>
          <w:rFonts w:hint="default"/>
        </w:rPr>
      </w:pPr>
      <w:r>
        <w:t>○信息系统对接故障响应时间</w:t>
      </w:r>
      <w:r>
        <w:t>&lt;2</w:t>
      </w:r>
      <w:r>
        <w:t>小时，每月延时响应不超过</w:t>
      </w:r>
      <w:r>
        <w:t>3</w:t>
      </w:r>
      <w:r>
        <w:t>次；</w:t>
      </w:r>
    </w:p>
    <w:p w:rsidR="001F61DC" w:rsidRDefault="00F769DF">
      <w:pPr>
        <w:pStyle w:val="null3"/>
        <w:rPr>
          <w:rFonts w:hint="default"/>
        </w:rPr>
      </w:pPr>
      <w:r>
        <w:t>○临床投诉数量</w:t>
      </w:r>
      <w:r>
        <w:t>&lt;2</w:t>
      </w:r>
      <w:r>
        <w:t>例</w:t>
      </w:r>
      <w:r>
        <w:t>/</w:t>
      </w:r>
      <w:r>
        <w:t>月；</w:t>
      </w:r>
    </w:p>
    <w:p w:rsidR="001F61DC" w:rsidRDefault="00F769DF">
      <w:pPr>
        <w:pStyle w:val="null3"/>
        <w:rPr>
          <w:rFonts w:hint="default"/>
        </w:rPr>
      </w:pPr>
      <w:r>
        <w:t>○检验结果错误：每月不高于</w:t>
      </w:r>
      <w:r>
        <w:t>2</w:t>
      </w:r>
      <w:r>
        <w:t>例。</w:t>
      </w:r>
    </w:p>
    <w:p w:rsidR="001F61DC" w:rsidRDefault="00F769DF">
      <w:pPr>
        <w:pStyle w:val="null3"/>
        <w:rPr>
          <w:rFonts w:hint="default"/>
        </w:rPr>
      </w:pPr>
      <w:r>
        <w:t>考核制度：投标人在项目实施过程中，完成情况满足全部带○条款，采购人按合同要求支付服务费用；如有带○条款不达标，每涉及一条带○条款，扣当月据实结算金额</w:t>
      </w:r>
      <w:r>
        <w:t>2%</w:t>
      </w:r>
      <w:r>
        <w:t>。</w:t>
      </w:r>
    </w:p>
    <w:tbl>
      <w:tblPr>
        <w:tblW w:w="0" w:type="auto"/>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4836"/>
        <w:gridCol w:w="1520"/>
        <w:gridCol w:w="1950"/>
      </w:tblGrid>
      <w:tr w:rsidR="001F61DC">
        <w:tc>
          <w:tcPr>
            <w:tcW w:w="8306" w:type="dxa"/>
            <w:gridSpan w:val="3"/>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61DC" w:rsidRDefault="00F769DF">
            <w:pPr>
              <w:pStyle w:val="null3"/>
              <w:jc w:val="center"/>
              <w:rPr>
                <w:rFonts w:hint="default"/>
              </w:rPr>
            </w:pPr>
            <w:r>
              <w:t>检验</w:t>
            </w:r>
            <w:r>
              <w:t>检查外送项目月考核表</w:t>
            </w:r>
          </w:p>
          <w:p w:rsidR="001F61DC" w:rsidRDefault="00F769DF">
            <w:pPr>
              <w:pStyle w:val="null3"/>
              <w:tabs>
                <w:tab w:val="left" w:pos="5288"/>
                <w:tab w:val="right" w:pos="8096"/>
              </w:tabs>
              <w:rPr>
                <w:rFonts w:hint="default"/>
              </w:rPr>
            </w:pPr>
            <w:r>
              <w:rPr>
                <w:rFonts w:hint="default"/>
              </w:rPr>
              <w:tab/>
            </w:r>
            <w:r>
              <w:t>受委托方：</w:t>
            </w:r>
            <w:r>
              <w:rPr>
                <w:rFonts w:hint="default"/>
              </w:rPr>
              <w:tab/>
            </w:r>
            <w:r>
              <w:t xml:space="preserve">     </w:t>
            </w:r>
          </w:p>
        </w:tc>
      </w:tr>
      <w:tr w:rsidR="001F61DC">
        <w:tc>
          <w:tcPr>
            <w:tcW w:w="483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F61DC" w:rsidRDefault="00F769DF">
            <w:pPr>
              <w:pStyle w:val="null3"/>
              <w:jc w:val="both"/>
              <w:rPr>
                <w:rFonts w:hint="default"/>
              </w:rPr>
            </w:pPr>
            <w:r>
              <w:t>考核条款</w:t>
            </w:r>
          </w:p>
        </w:tc>
        <w:tc>
          <w:tcPr>
            <w:tcW w:w="1520"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rsidR="001F61DC" w:rsidRDefault="00F769DF">
            <w:pPr>
              <w:pStyle w:val="null3"/>
              <w:jc w:val="both"/>
              <w:rPr>
                <w:rFonts w:hint="default"/>
              </w:rPr>
            </w:pPr>
            <w:r>
              <w:t>达标情况</w:t>
            </w:r>
          </w:p>
        </w:tc>
        <w:tc>
          <w:tcPr>
            <w:tcW w:w="1950"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rsidR="001F61DC" w:rsidRDefault="00F769DF">
            <w:pPr>
              <w:pStyle w:val="null3"/>
              <w:jc w:val="both"/>
              <w:rPr>
                <w:rFonts w:hint="default"/>
              </w:rPr>
            </w:pPr>
            <w:r>
              <w:t>备注</w:t>
            </w:r>
          </w:p>
        </w:tc>
      </w:tr>
      <w:tr w:rsidR="001F61DC">
        <w:tc>
          <w:tcPr>
            <w:tcW w:w="483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F61DC" w:rsidRDefault="00F769DF">
            <w:pPr>
              <w:pStyle w:val="null3"/>
              <w:jc w:val="both"/>
              <w:rPr>
                <w:rFonts w:hint="default"/>
              </w:rPr>
            </w:pPr>
            <w:r>
              <w:t>①标本丢失每月不超过</w:t>
            </w:r>
            <w:r>
              <w:t>2</w:t>
            </w:r>
            <w:r>
              <w:t>例</w:t>
            </w:r>
          </w:p>
        </w:tc>
        <w:tc>
          <w:tcPr>
            <w:tcW w:w="1520" w:type="dxa"/>
            <w:tcBorders>
              <w:top w:val="nil"/>
              <w:left w:val="nil"/>
              <w:bottom w:val="single" w:sz="4" w:space="0" w:color="000000"/>
              <w:right w:val="single" w:sz="4" w:space="0" w:color="000000"/>
            </w:tcBorders>
            <w:tcMar>
              <w:top w:w="0" w:type="dxa"/>
              <w:left w:w="105" w:type="dxa"/>
              <w:bottom w:w="0" w:type="dxa"/>
              <w:right w:w="105" w:type="dxa"/>
            </w:tcMar>
          </w:tcPr>
          <w:p w:rsidR="001F61DC" w:rsidRDefault="001F61DC">
            <w:pPr>
              <w:pStyle w:val="null3"/>
              <w:jc w:val="both"/>
              <w:rPr>
                <w:rFonts w:hint="default"/>
              </w:rPr>
            </w:pPr>
          </w:p>
        </w:tc>
        <w:tc>
          <w:tcPr>
            <w:tcW w:w="1950" w:type="dxa"/>
            <w:tcBorders>
              <w:top w:val="nil"/>
              <w:left w:val="nil"/>
              <w:bottom w:val="single" w:sz="4" w:space="0" w:color="000000"/>
              <w:right w:val="single" w:sz="4" w:space="0" w:color="000000"/>
            </w:tcBorders>
            <w:tcMar>
              <w:top w:w="0" w:type="dxa"/>
              <w:left w:w="105" w:type="dxa"/>
              <w:bottom w:w="0" w:type="dxa"/>
              <w:right w:w="105" w:type="dxa"/>
            </w:tcMar>
          </w:tcPr>
          <w:p w:rsidR="001F61DC" w:rsidRDefault="001F61DC"/>
        </w:tc>
      </w:tr>
      <w:tr w:rsidR="001F61DC">
        <w:tc>
          <w:tcPr>
            <w:tcW w:w="483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F61DC" w:rsidRDefault="00F769DF">
            <w:pPr>
              <w:pStyle w:val="null3"/>
              <w:jc w:val="both"/>
              <w:rPr>
                <w:rFonts w:hint="default"/>
              </w:rPr>
            </w:pPr>
            <w:r>
              <w:t>②月平均延时报告率</w:t>
            </w:r>
            <w:r>
              <w:t>&lt;5%</w:t>
            </w:r>
            <w:r>
              <w:t>，日延时报告率</w:t>
            </w:r>
            <w:r>
              <w:t>&gt;10%</w:t>
            </w:r>
            <w:r>
              <w:t>不能超</w:t>
            </w:r>
            <w:r>
              <w:lastRenderedPageBreak/>
              <w:t>过</w:t>
            </w:r>
            <w:r>
              <w:t>3</w:t>
            </w:r>
            <w:r>
              <w:t>次</w:t>
            </w:r>
          </w:p>
        </w:tc>
        <w:tc>
          <w:tcPr>
            <w:tcW w:w="1520" w:type="dxa"/>
            <w:tcBorders>
              <w:top w:val="nil"/>
              <w:left w:val="nil"/>
              <w:bottom w:val="single" w:sz="4" w:space="0" w:color="000000"/>
              <w:right w:val="single" w:sz="4" w:space="0" w:color="000000"/>
            </w:tcBorders>
            <w:tcMar>
              <w:top w:w="0" w:type="dxa"/>
              <w:left w:w="105" w:type="dxa"/>
              <w:bottom w:w="0" w:type="dxa"/>
              <w:right w:w="105" w:type="dxa"/>
            </w:tcMar>
          </w:tcPr>
          <w:p w:rsidR="001F61DC" w:rsidRDefault="001F61DC">
            <w:pPr>
              <w:pStyle w:val="null3"/>
              <w:jc w:val="both"/>
              <w:rPr>
                <w:rFonts w:hint="default"/>
              </w:rPr>
            </w:pPr>
          </w:p>
        </w:tc>
        <w:tc>
          <w:tcPr>
            <w:tcW w:w="1950" w:type="dxa"/>
            <w:tcBorders>
              <w:top w:val="nil"/>
              <w:left w:val="nil"/>
              <w:bottom w:val="single" w:sz="4" w:space="0" w:color="000000"/>
              <w:right w:val="single" w:sz="4" w:space="0" w:color="000000"/>
            </w:tcBorders>
            <w:tcMar>
              <w:top w:w="0" w:type="dxa"/>
              <w:left w:w="105" w:type="dxa"/>
              <w:bottom w:w="0" w:type="dxa"/>
              <w:right w:w="105" w:type="dxa"/>
            </w:tcMar>
          </w:tcPr>
          <w:p w:rsidR="001F61DC" w:rsidRDefault="001F61DC"/>
        </w:tc>
      </w:tr>
      <w:tr w:rsidR="001F61DC">
        <w:tc>
          <w:tcPr>
            <w:tcW w:w="483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F61DC" w:rsidRDefault="00F769DF">
            <w:pPr>
              <w:pStyle w:val="null3"/>
              <w:jc w:val="both"/>
              <w:rPr>
                <w:rFonts w:hint="default"/>
              </w:rPr>
            </w:pPr>
            <w:r>
              <w:t>③月平均危急值延时报告率</w:t>
            </w:r>
            <w:r>
              <w:t>&lt;1%</w:t>
            </w:r>
            <w:r>
              <w:t>，无漏报</w:t>
            </w:r>
          </w:p>
        </w:tc>
        <w:tc>
          <w:tcPr>
            <w:tcW w:w="1520" w:type="dxa"/>
            <w:tcBorders>
              <w:top w:val="nil"/>
              <w:left w:val="nil"/>
              <w:bottom w:val="single" w:sz="4" w:space="0" w:color="000000"/>
              <w:right w:val="single" w:sz="4" w:space="0" w:color="000000"/>
            </w:tcBorders>
            <w:tcMar>
              <w:top w:w="0" w:type="dxa"/>
              <w:left w:w="105" w:type="dxa"/>
              <w:bottom w:w="0" w:type="dxa"/>
              <w:right w:w="105" w:type="dxa"/>
            </w:tcMar>
          </w:tcPr>
          <w:p w:rsidR="001F61DC" w:rsidRDefault="001F61DC">
            <w:pPr>
              <w:pStyle w:val="null3"/>
              <w:jc w:val="both"/>
              <w:rPr>
                <w:rFonts w:hint="default"/>
              </w:rPr>
            </w:pPr>
          </w:p>
        </w:tc>
        <w:tc>
          <w:tcPr>
            <w:tcW w:w="1950" w:type="dxa"/>
            <w:tcBorders>
              <w:top w:val="nil"/>
              <w:left w:val="nil"/>
              <w:bottom w:val="single" w:sz="4" w:space="0" w:color="000000"/>
              <w:right w:val="single" w:sz="4" w:space="0" w:color="000000"/>
            </w:tcBorders>
            <w:tcMar>
              <w:top w:w="0" w:type="dxa"/>
              <w:left w:w="105" w:type="dxa"/>
              <w:bottom w:w="0" w:type="dxa"/>
              <w:right w:w="105" w:type="dxa"/>
            </w:tcMar>
          </w:tcPr>
          <w:p w:rsidR="001F61DC" w:rsidRDefault="001F61DC"/>
        </w:tc>
      </w:tr>
      <w:tr w:rsidR="001F61DC">
        <w:tc>
          <w:tcPr>
            <w:tcW w:w="483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F61DC" w:rsidRDefault="00F769DF">
            <w:pPr>
              <w:pStyle w:val="null3"/>
              <w:jc w:val="both"/>
              <w:rPr>
                <w:rFonts w:hint="default"/>
              </w:rPr>
            </w:pPr>
            <w:r>
              <w:t>④信息系统对接故障响应时间</w:t>
            </w:r>
            <w:r>
              <w:t>&lt;2</w:t>
            </w:r>
            <w:r>
              <w:t>小时，每月延时响应不超过</w:t>
            </w:r>
            <w:r>
              <w:t>3</w:t>
            </w:r>
            <w:r>
              <w:t>次</w:t>
            </w:r>
          </w:p>
        </w:tc>
        <w:tc>
          <w:tcPr>
            <w:tcW w:w="1520" w:type="dxa"/>
            <w:tcBorders>
              <w:top w:val="nil"/>
              <w:left w:val="nil"/>
              <w:bottom w:val="single" w:sz="4" w:space="0" w:color="000000"/>
              <w:right w:val="single" w:sz="4" w:space="0" w:color="000000"/>
            </w:tcBorders>
            <w:tcMar>
              <w:top w:w="0" w:type="dxa"/>
              <w:left w:w="105" w:type="dxa"/>
              <w:bottom w:w="0" w:type="dxa"/>
              <w:right w:w="105" w:type="dxa"/>
            </w:tcMar>
          </w:tcPr>
          <w:p w:rsidR="001F61DC" w:rsidRDefault="001F61DC">
            <w:pPr>
              <w:pStyle w:val="null3"/>
              <w:jc w:val="both"/>
              <w:rPr>
                <w:rFonts w:hint="default"/>
              </w:rPr>
            </w:pPr>
          </w:p>
        </w:tc>
        <w:tc>
          <w:tcPr>
            <w:tcW w:w="1950" w:type="dxa"/>
            <w:tcBorders>
              <w:top w:val="nil"/>
              <w:left w:val="nil"/>
              <w:bottom w:val="single" w:sz="4" w:space="0" w:color="000000"/>
              <w:right w:val="single" w:sz="4" w:space="0" w:color="000000"/>
            </w:tcBorders>
            <w:tcMar>
              <w:top w:w="0" w:type="dxa"/>
              <w:left w:w="105" w:type="dxa"/>
              <w:bottom w:w="0" w:type="dxa"/>
              <w:right w:w="105" w:type="dxa"/>
            </w:tcMar>
          </w:tcPr>
          <w:p w:rsidR="001F61DC" w:rsidRDefault="001F61DC"/>
        </w:tc>
      </w:tr>
      <w:tr w:rsidR="001F61DC">
        <w:tc>
          <w:tcPr>
            <w:tcW w:w="483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F61DC" w:rsidRDefault="00F769DF">
            <w:pPr>
              <w:pStyle w:val="null3"/>
              <w:jc w:val="both"/>
              <w:rPr>
                <w:rFonts w:hint="default"/>
              </w:rPr>
            </w:pPr>
            <w:r>
              <w:t>⑤临床投诉数量</w:t>
            </w:r>
            <w:r>
              <w:t>&lt;2</w:t>
            </w:r>
            <w:r>
              <w:t>例</w:t>
            </w:r>
            <w:r>
              <w:t>/</w:t>
            </w:r>
            <w:r>
              <w:t>月</w:t>
            </w:r>
          </w:p>
        </w:tc>
        <w:tc>
          <w:tcPr>
            <w:tcW w:w="1520" w:type="dxa"/>
            <w:tcBorders>
              <w:top w:val="nil"/>
              <w:left w:val="nil"/>
              <w:bottom w:val="single" w:sz="4" w:space="0" w:color="000000"/>
              <w:right w:val="single" w:sz="4" w:space="0" w:color="000000"/>
            </w:tcBorders>
            <w:tcMar>
              <w:top w:w="0" w:type="dxa"/>
              <w:left w:w="105" w:type="dxa"/>
              <w:bottom w:w="0" w:type="dxa"/>
              <w:right w:w="105" w:type="dxa"/>
            </w:tcMar>
          </w:tcPr>
          <w:p w:rsidR="001F61DC" w:rsidRDefault="001F61DC">
            <w:pPr>
              <w:pStyle w:val="null3"/>
              <w:jc w:val="both"/>
              <w:rPr>
                <w:rFonts w:hint="default"/>
              </w:rPr>
            </w:pPr>
          </w:p>
        </w:tc>
        <w:tc>
          <w:tcPr>
            <w:tcW w:w="1950" w:type="dxa"/>
            <w:tcBorders>
              <w:top w:val="nil"/>
              <w:left w:val="nil"/>
              <w:bottom w:val="single" w:sz="4" w:space="0" w:color="000000"/>
              <w:right w:val="single" w:sz="4" w:space="0" w:color="000000"/>
            </w:tcBorders>
            <w:tcMar>
              <w:top w:w="0" w:type="dxa"/>
              <w:left w:w="105" w:type="dxa"/>
              <w:bottom w:w="0" w:type="dxa"/>
              <w:right w:w="105" w:type="dxa"/>
            </w:tcMar>
          </w:tcPr>
          <w:p w:rsidR="001F61DC" w:rsidRDefault="001F61DC"/>
        </w:tc>
      </w:tr>
      <w:tr w:rsidR="001F61DC">
        <w:tc>
          <w:tcPr>
            <w:tcW w:w="483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F61DC" w:rsidRDefault="00F769DF">
            <w:pPr>
              <w:pStyle w:val="null3"/>
              <w:jc w:val="both"/>
              <w:rPr>
                <w:rFonts w:hint="default"/>
              </w:rPr>
            </w:pPr>
            <w:r>
              <w:t>⑥检验结果错误：每月不高于</w:t>
            </w:r>
            <w:r>
              <w:t>2</w:t>
            </w:r>
            <w:r>
              <w:t>例</w:t>
            </w:r>
          </w:p>
        </w:tc>
        <w:tc>
          <w:tcPr>
            <w:tcW w:w="1520" w:type="dxa"/>
            <w:tcBorders>
              <w:top w:val="nil"/>
              <w:left w:val="nil"/>
              <w:bottom w:val="single" w:sz="4" w:space="0" w:color="000000"/>
              <w:right w:val="single" w:sz="4" w:space="0" w:color="000000"/>
            </w:tcBorders>
            <w:tcMar>
              <w:top w:w="0" w:type="dxa"/>
              <w:left w:w="105" w:type="dxa"/>
              <w:bottom w:w="0" w:type="dxa"/>
              <w:right w:w="105" w:type="dxa"/>
            </w:tcMar>
          </w:tcPr>
          <w:p w:rsidR="001F61DC" w:rsidRDefault="001F61DC">
            <w:pPr>
              <w:pStyle w:val="null3"/>
              <w:jc w:val="both"/>
              <w:rPr>
                <w:rFonts w:hint="default"/>
              </w:rPr>
            </w:pPr>
          </w:p>
        </w:tc>
        <w:tc>
          <w:tcPr>
            <w:tcW w:w="1950" w:type="dxa"/>
            <w:tcBorders>
              <w:top w:val="nil"/>
              <w:left w:val="nil"/>
              <w:bottom w:val="single" w:sz="4" w:space="0" w:color="000000"/>
              <w:right w:val="single" w:sz="4" w:space="0" w:color="000000"/>
            </w:tcBorders>
            <w:tcMar>
              <w:top w:w="0" w:type="dxa"/>
              <w:left w:w="105" w:type="dxa"/>
              <w:bottom w:w="0" w:type="dxa"/>
              <w:right w:w="105" w:type="dxa"/>
            </w:tcMar>
          </w:tcPr>
          <w:p w:rsidR="001F61DC" w:rsidRDefault="001F61DC"/>
        </w:tc>
      </w:tr>
      <w:tr w:rsidR="001F61DC">
        <w:tc>
          <w:tcPr>
            <w:tcW w:w="483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F61DC" w:rsidRDefault="00F769DF">
            <w:pPr>
              <w:pStyle w:val="null3"/>
              <w:jc w:val="both"/>
              <w:rPr>
                <w:rFonts w:hint="default"/>
              </w:rPr>
            </w:pPr>
            <w:r>
              <w:t>⑦驻点人员月度考勤达标情况</w:t>
            </w:r>
          </w:p>
        </w:tc>
        <w:tc>
          <w:tcPr>
            <w:tcW w:w="1520" w:type="dxa"/>
            <w:tcBorders>
              <w:top w:val="nil"/>
              <w:left w:val="nil"/>
              <w:bottom w:val="single" w:sz="4" w:space="0" w:color="000000"/>
              <w:right w:val="single" w:sz="4" w:space="0" w:color="000000"/>
            </w:tcBorders>
            <w:tcMar>
              <w:top w:w="0" w:type="dxa"/>
              <w:left w:w="105" w:type="dxa"/>
              <w:bottom w:w="0" w:type="dxa"/>
              <w:right w:w="105" w:type="dxa"/>
            </w:tcMar>
          </w:tcPr>
          <w:p w:rsidR="001F61DC" w:rsidRDefault="001F61DC">
            <w:pPr>
              <w:pStyle w:val="null3"/>
              <w:jc w:val="both"/>
              <w:rPr>
                <w:rFonts w:hint="default"/>
              </w:rPr>
            </w:pPr>
          </w:p>
        </w:tc>
        <w:tc>
          <w:tcPr>
            <w:tcW w:w="1950" w:type="dxa"/>
            <w:tcBorders>
              <w:top w:val="nil"/>
              <w:left w:val="nil"/>
              <w:bottom w:val="single" w:sz="4" w:space="0" w:color="000000"/>
              <w:right w:val="single" w:sz="4" w:space="0" w:color="000000"/>
            </w:tcBorders>
            <w:tcMar>
              <w:top w:w="0" w:type="dxa"/>
              <w:left w:w="105" w:type="dxa"/>
              <w:bottom w:w="0" w:type="dxa"/>
              <w:right w:w="105" w:type="dxa"/>
            </w:tcMar>
          </w:tcPr>
          <w:p w:rsidR="001F61DC" w:rsidRDefault="001F61DC"/>
        </w:tc>
      </w:tr>
      <w:tr w:rsidR="001F61DC">
        <w:tc>
          <w:tcPr>
            <w:tcW w:w="8306" w:type="dxa"/>
            <w:gridSpan w:val="3"/>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F61DC" w:rsidRDefault="00F769DF">
            <w:pPr>
              <w:pStyle w:val="null3"/>
              <w:jc w:val="center"/>
              <w:rPr>
                <w:rFonts w:hint="default"/>
              </w:rPr>
            </w:pPr>
            <w:r>
              <w:t>本月送检标本数：例，结算金额元，本月考核条款不达标，扣除金额：元，扣除后的结算费用总额：元，按合同约定支付结算费用总额即元。</w:t>
            </w:r>
          </w:p>
          <w:p w:rsidR="001F61DC" w:rsidRDefault="00F769DF">
            <w:pPr>
              <w:pStyle w:val="null3"/>
              <w:jc w:val="center"/>
              <w:rPr>
                <w:rFonts w:hint="default"/>
              </w:rPr>
            </w:pPr>
            <w:r>
              <w:t>考核科室：中心实验室</w:t>
            </w:r>
          </w:p>
          <w:p w:rsidR="001F61DC" w:rsidRDefault="00F769DF">
            <w:pPr>
              <w:pStyle w:val="null3"/>
              <w:tabs>
                <w:tab w:val="left" w:pos="5645"/>
                <w:tab w:val="right" w:pos="8096"/>
              </w:tabs>
              <w:rPr>
                <w:rFonts w:hint="default"/>
              </w:rPr>
            </w:pPr>
            <w:r>
              <w:rPr>
                <w:rFonts w:hint="default"/>
              </w:rPr>
              <w:tab/>
            </w:r>
            <w:r>
              <w:t>考核人员：</w:t>
            </w:r>
            <w:r>
              <w:rPr>
                <w:rFonts w:hint="default"/>
              </w:rPr>
              <w:tab/>
            </w:r>
            <w:r>
              <w:t xml:space="preserve">          </w:t>
            </w:r>
          </w:p>
          <w:p w:rsidR="001F61DC" w:rsidRDefault="00F769DF">
            <w:pPr>
              <w:pStyle w:val="null3"/>
              <w:jc w:val="right"/>
              <w:rPr>
                <w:rFonts w:hint="default"/>
              </w:rPr>
            </w:pPr>
            <w:r>
              <w:t>年</w:t>
            </w:r>
            <w:r>
              <w:t xml:space="preserve">   </w:t>
            </w:r>
            <w:r>
              <w:t>月</w:t>
            </w:r>
            <w:r>
              <w:t xml:space="preserve">   </w:t>
            </w:r>
            <w:r>
              <w:t>日</w:t>
            </w:r>
          </w:p>
        </w:tc>
      </w:tr>
    </w:tbl>
    <w:p w:rsidR="001F61DC" w:rsidRDefault="00F769DF">
      <w:pPr>
        <w:pStyle w:val="null3"/>
        <w:jc w:val="both"/>
        <w:rPr>
          <w:rFonts w:hint="default"/>
        </w:rPr>
      </w:pPr>
      <w:r>
        <w:t>注：考核制度：投标人在项目实施过程中，完成情况满足全部考核条款，采购人按合同要求支付服务费用；如有①</w:t>
      </w:r>
      <w:r>
        <w:t>-</w:t>
      </w:r>
      <w:r>
        <w:t>⑥考核条款不达标，每涉及一条条款，扣当月据实结算金额</w:t>
      </w:r>
      <w:r>
        <w:t>2%</w:t>
      </w:r>
      <w:r>
        <w:t>，第⑦考核条款按实际考核情况扣罚相应金额。</w:t>
      </w:r>
    </w:p>
    <w:p w:rsidR="001F61DC" w:rsidRDefault="00F769DF">
      <w:pPr>
        <w:pStyle w:val="null3"/>
        <w:rPr>
          <w:rFonts w:hint="default"/>
        </w:rPr>
      </w:pPr>
      <w:r>
        <w:t>4</w:t>
      </w:r>
      <w:r>
        <w:t>、投标人连续</w:t>
      </w:r>
      <w:r>
        <w:t>3</w:t>
      </w:r>
      <w:r>
        <w:t>个月出现月度考核不达标情况，被视为服务质量不合格，采购人有权终止合同。</w:t>
      </w:r>
    </w:p>
    <w:p w:rsidR="001F61DC" w:rsidRDefault="00F769DF">
      <w:pPr>
        <w:pStyle w:val="null3"/>
        <w:rPr>
          <w:rFonts w:hint="default"/>
        </w:rPr>
      </w:pPr>
      <w:r>
        <w:t>2</w:t>
      </w:r>
      <w:r>
        <w:t>期：</w:t>
      </w:r>
    </w:p>
    <w:p w:rsidR="001F61DC" w:rsidRDefault="00F769DF">
      <w:pPr>
        <w:pStyle w:val="null3"/>
        <w:rPr>
          <w:rFonts w:hint="default"/>
        </w:rPr>
      </w:pPr>
      <w:r>
        <w:t>年度考核条款</w:t>
      </w:r>
    </w:p>
    <w:p w:rsidR="001F61DC" w:rsidRDefault="00F769DF">
      <w:pPr>
        <w:pStyle w:val="null3"/>
        <w:rPr>
          <w:rFonts w:hint="default"/>
        </w:rPr>
      </w:pPr>
      <w:r>
        <w:t>1</w:t>
      </w:r>
      <w:r>
        <w:t>、投标人本年度为采购人提供的委托检验项目未受到各级监管部门罚款；</w:t>
      </w:r>
    </w:p>
    <w:p w:rsidR="001F61DC" w:rsidRDefault="00F769DF">
      <w:pPr>
        <w:pStyle w:val="null3"/>
        <w:rPr>
          <w:rFonts w:hint="default"/>
        </w:rPr>
      </w:pPr>
      <w:r>
        <w:t>2</w:t>
      </w:r>
      <w:r>
        <w:t>、投标人本年度为采购人提供的委托检验项目未发生因投标人检测质量问题导致的医疗纠纷。</w:t>
      </w:r>
    </w:p>
    <w:p w:rsidR="001F61DC" w:rsidRDefault="00F769DF">
      <w:pPr>
        <w:pStyle w:val="null3"/>
        <w:rPr>
          <w:rFonts w:hint="default"/>
        </w:rPr>
      </w:pPr>
      <w:r>
        <w:t>考核制度：（投标人按自然年提供年度考核表给采购</w:t>
      </w:r>
      <w:r>
        <w:t>人核查）</w:t>
      </w:r>
    </w:p>
    <w:p w:rsidR="001F61DC" w:rsidRDefault="00F769DF">
      <w:pPr>
        <w:pStyle w:val="null3"/>
        <w:rPr>
          <w:rFonts w:hint="default"/>
        </w:rPr>
      </w:pPr>
      <w:r>
        <w:t>1</w:t>
      </w:r>
      <w:r>
        <w:t>、投标人本年度为采购人提供的委托检验项目在各级监管部门检查督导后，导致费用扣减或不予支付的，对应项目结算额由投标人承担。采购人在扣除对应项目结算额后与投标人结清。</w:t>
      </w:r>
    </w:p>
    <w:p w:rsidR="001F61DC" w:rsidRDefault="00F769DF">
      <w:pPr>
        <w:pStyle w:val="null3"/>
        <w:rPr>
          <w:rFonts w:hint="default"/>
        </w:rPr>
      </w:pPr>
      <w:r>
        <w:t>2</w:t>
      </w:r>
      <w:r>
        <w:t>、投标人本年度为采购人提供的委托检验项目如发生因投标人检测质量问题导致的医疗纠纷，处理医疗纠纷涉及的所有费用由投标人承担。采购人在扣除医疗纠纷处理费用后与投标人结清。</w:t>
      </w:r>
    </w:p>
    <w:p w:rsidR="001F61DC" w:rsidRDefault="00F769DF">
      <w:pPr>
        <w:pStyle w:val="null3"/>
        <w:rPr>
          <w:rFonts w:hint="default"/>
        </w:rPr>
      </w:pPr>
      <w:r>
        <w:t>3</w:t>
      </w:r>
      <w:r>
        <w:t>、未按合同条款约定服务要求在合同时间内提供服务的，可视为年度考核不合格，除按合同约定条款扣罚相应金额外</w:t>
      </w:r>
      <w:r>
        <w:t>(</w:t>
      </w:r>
      <w:r>
        <w:t>如合同未约定，投标人应向采购人支付合同金额</w:t>
      </w:r>
      <w:r>
        <w:t>5%</w:t>
      </w:r>
      <w:r>
        <w:t>以内款项作为违</w:t>
      </w:r>
      <w:r>
        <w:t>约金</w:t>
      </w:r>
      <w:r>
        <w:t>)</w:t>
      </w:r>
      <w:r>
        <w:t>，采购人有权终止合同。</w:t>
      </w:r>
    </w:p>
    <w:tbl>
      <w:tblPr>
        <w:tblW w:w="0" w:type="auto"/>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4831"/>
        <w:gridCol w:w="2211"/>
        <w:gridCol w:w="1264"/>
      </w:tblGrid>
      <w:tr w:rsidR="001F61DC">
        <w:tc>
          <w:tcPr>
            <w:tcW w:w="8306" w:type="dxa"/>
            <w:gridSpan w:val="3"/>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F61DC" w:rsidRDefault="00F769DF">
            <w:pPr>
              <w:pStyle w:val="null3"/>
              <w:jc w:val="center"/>
              <w:rPr>
                <w:rFonts w:hint="default"/>
              </w:rPr>
            </w:pPr>
            <w:r>
              <w:t>检验</w:t>
            </w:r>
            <w:r>
              <w:t>检查外送项目</w:t>
            </w:r>
            <w:r>
              <w:rPr>
                <w:u w:val="single"/>
              </w:rPr>
              <w:t xml:space="preserve">  </w:t>
            </w:r>
            <w:r>
              <w:rPr>
                <w:u w:val="single"/>
              </w:rPr>
              <w:t xml:space="preserve">　　</w:t>
            </w:r>
            <w:r>
              <w:rPr>
                <w:u w:val="single"/>
              </w:rPr>
              <w:t>年</w:t>
            </w:r>
            <w:r>
              <w:t>验收表</w:t>
            </w:r>
          </w:p>
          <w:p w:rsidR="001F61DC" w:rsidRDefault="00F769DF">
            <w:pPr>
              <w:pStyle w:val="null3"/>
              <w:ind w:right="885"/>
              <w:jc w:val="right"/>
              <w:rPr>
                <w:rFonts w:hint="default"/>
              </w:rPr>
            </w:pPr>
            <w:r>
              <w:t>乙（受委托）方：</w:t>
            </w:r>
          </w:p>
        </w:tc>
      </w:tr>
      <w:tr w:rsidR="001F61DC">
        <w:tc>
          <w:tcPr>
            <w:tcW w:w="483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F61DC" w:rsidRDefault="00F769DF">
            <w:pPr>
              <w:pStyle w:val="null3"/>
              <w:jc w:val="both"/>
              <w:rPr>
                <w:rFonts w:hint="default"/>
              </w:rPr>
            </w:pPr>
            <w:r>
              <w:t>考核条款</w:t>
            </w:r>
          </w:p>
        </w:tc>
        <w:tc>
          <w:tcPr>
            <w:tcW w:w="2211"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rsidR="001F61DC" w:rsidRDefault="00F769DF">
            <w:pPr>
              <w:pStyle w:val="null3"/>
              <w:jc w:val="both"/>
              <w:rPr>
                <w:rFonts w:hint="default"/>
              </w:rPr>
            </w:pPr>
            <w:r>
              <w:t>达标情况</w:t>
            </w:r>
          </w:p>
        </w:tc>
        <w:tc>
          <w:tcPr>
            <w:tcW w:w="1264"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rsidR="001F61DC" w:rsidRDefault="00F769DF">
            <w:pPr>
              <w:pStyle w:val="null3"/>
              <w:jc w:val="both"/>
              <w:rPr>
                <w:rFonts w:hint="default"/>
              </w:rPr>
            </w:pPr>
            <w:r>
              <w:t>考核部门（签名）</w:t>
            </w:r>
          </w:p>
        </w:tc>
      </w:tr>
      <w:tr w:rsidR="001F61DC">
        <w:tc>
          <w:tcPr>
            <w:tcW w:w="483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F61DC" w:rsidRDefault="00F769DF">
            <w:pPr>
              <w:pStyle w:val="null3"/>
              <w:rPr>
                <w:rFonts w:hint="default"/>
              </w:rPr>
            </w:pPr>
            <w:r>
              <w:t>（</w:t>
            </w:r>
            <w:r>
              <w:t>1</w:t>
            </w:r>
            <w:r>
              <w:t>）</w:t>
            </w:r>
            <w:r>
              <w:t>中标人</w:t>
            </w:r>
            <w:r>
              <w:t>本年度为</w:t>
            </w:r>
            <w:r>
              <w:t>采购人</w:t>
            </w:r>
            <w:r>
              <w:t>提供的委托检验项目在各级监管部门检查督导后，导致费用扣减或不予支付的，对应项目结算额由</w:t>
            </w:r>
            <w:r>
              <w:t>中标人</w:t>
            </w:r>
            <w:r>
              <w:t>承担。</w:t>
            </w:r>
            <w:r>
              <w:t>采购人</w:t>
            </w:r>
            <w:r>
              <w:t>在扣除对应项目结算额后与</w:t>
            </w:r>
            <w:r>
              <w:t>中标人</w:t>
            </w:r>
            <w:r>
              <w:t>结清。</w:t>
            </w:r>
          </w:p>
        </w:tc>
        <w:tc>
          <w:tcPr>
            <w:tcW w:w="2211" w:type="dxa"/>
            <w:tcBorders>
              <w:top w:val="nil"/>
              <w:left w:val="nil"/>
              <w:bottom w:val="single" w:sz="4" w:space="0" w:color="000000"/>
              <w:right w:val="single" w:sz="4" w:space="0" w:color="000000"/>
            </w:tcBorders>
            <w:tcMar>
              <w:top w:w="0" w:type="dxa"/>
              <w:left w:w="105" w:type="dxa"/>
              <w:bottom w:w="0" w:type="dxa"/>
              <w:right w:w="105" w:type="dxa"/>
            </w:tcMar>
          </w:tcPr>
          <w:p w:rsidR="001F61DC" w:rsidRDefault="00F769DF">
            <w:pPr>
              <w:pStyle w:val="null3"/>
              <w:rPr>
                <w:rFonts w:hint="default"/>
              </w:rPr>
            </w:pPr>
            <w:r>
              <w:t>各级监管部门检查督导存在问题次数：次，费用扣减或不予支付金额：元。</w:t>
            </w:r>
          </w:p>
        </w:tc>
        <w:tc>
          <w:tcPr>
            <w:tcW w:w="1264" w:type="dxa"/>
            <w:tcBorders>
              <w:top w:val="nil"/>
              <w:left w:val="nil"/>
              <w:bottom w:val="single" w:sz="4" w:space="0" w:color="000000"/>
              <w:right w:val="single" w:sz="4" w:space="0" w:color="000000"/>
            </w:tcBorders>
            <w:tcMar>
              <w:top w:w="0" w:type="dxa"/>
              <w:left w:w="105" w:type="dxa"/>
              <w:bottom w:w="0" w:type="dxa"/>
              <w:right w:w="105" w:type="dxa"/>
            </w:tcMar>
          </w:tcPr>
          <w:p w:rsidR="001F61DC" w:rsidRDefault="00F769DF">
            <w:pPr>
              <w:pStyle w:val="null3"/>
              <w:rPr>
                <w:rFonts w:hint="default"/>
              </w:rPr>
            </w:pPr>
            <w:r>
              <w:t>财务科：</w:t>
            </w:r>
          </w:p>
          <w:p w:rsidR="001F61DC" w:rsidRDefault="00F769DF">
            <w:pPr>
              <w:pStyle w:val="null3"/>
              <w:rPr>
                <w:rFonts w:hint="default"/>
              </w:rPr>
            </w:pPr>
            <w:r>
              <w:t>医务科：</w:t>
            </w:r>
          </w:p>
        </w:tc>
      </w:tr>
      <w:tr w:rsidR="001F61DC">
        <w:tc>
          <w:tcPr>
            <w:tcW w:w="483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F61DC" w:rsidRDefault="00F769DF">
            <w:pPr>
              <w:pStyle w:val="null3"/>
              <w:rPr>
                <w:rFonts w:hint="default"/>
              </w:rPr>
            </w:pPr>
            <w:r>
              <w:t>（</w:t>
            </w:r>
            <w:r>
              <w:t>2</w:t>
            </w:r>
            <w:r>
              <w:t>）</w:t>
            </w:r>
            <w:r>
              <w:t>中标人</w:t>
            </w:r>
            <w:r>
              <w:t>本年度为</w:t>
            </w:r>
            <w:r>
              <w:t>采购人</w:t>
            </w:r>
            <w:r>
              <w:t>提供的委托检验项目如发生因</w:t>
            </w:r>
            <w:r>
              <w:t>中标人</w:t>
            </w:r>
            <w:r>
              <w:t>检测质量问题导致的医疗纠纷，处理医疗纠纷涉及的所有费用由</w:t>
            </w:r>
            <w:r>
              <w:t>中标人</w:t>
            </w:r>
            <w:r>
              <w:t>承担。</w:t>
            </w:r>
            <w:r>
              <w:t>采购人</w:t>
            </w:r>
            <w:r>
              <w:t>在扣除医疗纠纷处理费用后与</w:t>
            </w:r>
            <w:r>
              <w:t>中标人</w:t>
            </w:r>
            <w:r>
              <w:t>结清。</w:t>
            </w:r>
          </w:p>
        </w:tc>
        <w:tc>
          <w:tcPr>
            <w:tcW w:w="2211" w:type="dxa"/>
            <w:tcBorders>
              <w:top w:val="nil"/>
              <w:left w:val="nil"/>
              <w:bottom w:val="single" w:sz="4" w:space="0" w:color="000000"/>
              <w:right w:val="single" w:sz="4" w:space="0" w:color="000000"/>
            </w:tcBorders>
            <w:tcMar>
              <w:top w:w="0" w:type="dxa"/>
              <w:left w:w="105" w:type="dxa"/>
              <w:bottom w:w="0" w:type="dxa"/>
              <w:right w:w="105" w:type="dxa"/>
            </w:tcMar>
          </w:tcPr>
          <w:p w:rsidR="001F61DC" w:rsidRDefault="00F769DF">
            <w:pPr>
              <w:pStyle w:val="null3"/>
              <w:rPr>
                <w:rFonts w:hint="default"/>
              </w:rPr>
            </w:pPr>
            <w:r>
              <w:t>因</w:t>
            </w:r>
            <w:r>
              <w:t>中标人</w:t>
            </w:r>
            <w:r>
              <w:t>检测质量问题导致的医疗纠纷次数：次，处理医疗纠纷涉及费用：元。</w:t>
            </w:r>
          </w:p>
        </w:tc>
        <w:tc>
          <w:tcPr>
            <w:tcW w:w="1264" w:type="dxa"/>
            <w:tcBorders>
              <w:top w:val="nil"/>
              <w:left w:val="nil"/>
              <w:bottom w:val="single" w:sz="4" w:space="0" w:color="000000"/>
              <w:right w:val="single" w:sz="4" w:space="0" w:color="000000"/>
            </w:tcBorders>
            <w:tcMar>
              <w:top w:w="0" w:type="dxa"/>
              <w:left w:w="105" w:type="dxa"/>
              <w:bottom w:w="0" w:type="dxa"/>
              <w:right w:w="105" w:type="dxa"/>
            </w:tcMar>
          </w:tcPr>
          <w:p w:rsidR="001F61DC" w:rsidRDefault="00F769DF">
            <w:pPr>
              <w:pStyle w:val="null3"/>
              <w:rPr>
                <w:rFonts w:hint="default"/>
              </w:rPr>
            </w:pPr>
            <w:r>
              <w:t>财务科：</w:t>
            </w:r>
          </w:p>
          <w:p w:rsidR="001F61DC" w:rsidRDefault="00F769DF">
            <w:pPr>
              <w:pStyle w:val="null3"/>
              <w:rPr>
                <w:rFonts w:hint="default"/>
              </w:rPr>
            </w:pPr>
            <w:r>
              <w:t>医务科：</w:t>
            </w:r>
          </w:p>
        </w:tc>
      </w:tr>
      <w:tr w:rsidR="001F61DC">
        <w:tc>
          <w:tcPr>
            <w:tcW w:w="483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F61DC" w:rsidRDefault="00F769DF">
            <w:pPr>
              <w:pStyle w:val="null3"/>
              <w:rPr>
                <w:rFonts w:hint="default"/>
              </w:rPr>
            </w:pPr>
            <w:r>
              <w:t>（</w:t>
            </w:r>
            <w:r>
              <w:t>3</w:t>
            </w:r>
            <w:r>
              <w:t>）</w:t>
            </w:r>
            <w:r>
              <w:t>中标人</w:t>
            </w:r>
            <w:r>
              <w:t>本年度是否按合同条款约定服务要求在合同时间内提供对应服务内容。</w:t>
            </w:r>
          </w:p>
        </w:tc>
        <w:tc>
          <w:tcPr>
            <w:tcW w:w="2211" w:type="dxa"/>
            <w:tcBorders>
              <w:top w:val="nil"/>
              <w:left w:val="nil"/>
              <w:bottom w:val="single" w:sz="4" w:space="0" w:color="000000"/>
              <w:right w:val="single" w:sz="4" w:space="0" w:color="000000"/>
            </w:tcBorders>
            <w:tcMar>
              <w:top w:w="0" w:type="dxa"/>
              <w:left w:w="105" w:type="dxa"/>
              <w:bottom w:w="0" w:type="dxa"/>
              <w:right w:w="105" w:type="dxa"/>
            </w:tcMar>
          </w:tcPr>
          <w:p w:rsidR="001F61DC" w:rsidRDefault="001F61DC">
            <w:pPr>
              <w:pStyle w:val="null3"/>
              <w:rPr>
                <w:rFonts w:hint="default"/>
              </w:rPr>
            </w:pPr>
          </w:p>
        </w:tc>
        <w:tc>
          <w:tcPr>
            <w:tcW w:w="1264" w:type="dxa"/>
            <w:tcBorders>
              <w:top w:val="nil"/>
              <w:left w:val="nil"/>
              <w:bottom w:val="single" w:sz="4" w:space="0" w:color="000000"/>
              <w:right w:val="single" w:sz="4" w:space="0" w:color="000000"/>
            </w:tcBorders>
            <w:tcMar>
              <w:top w:w="0" w:type="dxa"/>
              <w:left w:w="105" w:type="dxa"/>
              <w:bottom w:w="0" w:type="dxa"/>
              <w:right w:w="105" w:type="dxa"/>
            </w:tcMar>
          </w:tcPr>
          <w:p w:rsidR="001F61DC" w:rsidRDefault="00F769DF">
            <w:pPr>
              <w:pStyle w:val="null3"/>
              <w:rPr>
                <w:rFonts w:hint="default"/>
              </w:rPr>
            </w:pPr>
            <w:r>
              <w:t>实验室：</w:t>
            </w:r>
          </w:p>
          <w:p w:rsidR="001F61DC" w:rsidRDefault="00F769DF">
            <w:pPr>
              <w:pStyle w:val="null3"/>
              <w:rPr>
                <w:rFonts w:hint="default"/>
              </w:rPr>
            </w:pPr>
            <w:r>
              <w:t>检验</w:t>
            </w:r>
            <w:r>
              <w:t>科；</w:t>
            </w:r>
          </w:p>
        </w:tc>
      </w:tr>
      <w:tr w:rsidR="001F61DC">
        <w:tc>
          <w:tcPr>
            <w:tcW w:w="8306" w:type="dxa"/>
            <w:gridSpan w:val="3"/>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F61DC" w:rsidRDefault="00F769DF">
            <w:pPr>
              <w:pStyle w:val="null3"/>
              <w:jc w:val="both"/>
              <w:rPr>
                <w:rFonts w:hint="default"/>
              </w:rPr>
            </w:pPr>
            <w:r>
              <w:t>考核汇总：</w:t>
            </w:r>
          </w:p>
          <w:p w:rsidR="001F61DC" w:rsidRDefault="00F769DF">
            <w:pPr>
              <w:pStyle w:val="null3"/>
              <w:ind w:firstLine="400"/>
              <w:rPr>
                <w:rFonts w:hint="default"/>
              </w:rPr>
            </w:pPr>
            <w:r>
              <w:t xml:space="preserve">202  </w:t>
            </w:r>
            <w:r>
              <w:t>年</w:t>
            </w:r>
            <w:r>
              <w:t xml:space="preserve">  </w:t>
            </w:r>
            <w:r>
              <w:t>月</w:t>
            </w:r>
            <w:r>
              <w:t xml:space="preserve">  </w:t>
            </w:r>
            <w:r>
              <w:t>日至</w:t>
            </w:r>
            <w:r>
              <w:t xml:space="preserve">202  </w:t>
            </w:r>
            <w:r>
              <w:t>年</w:t>
            </w:r>
            <w:r>
              <w:t xml:space="preserve">  </w:t>
            </w:r>
            <w:r>
              <w:t>月</w:t>
            </w:r>
            <w:r>
              <w:t xml:space="preserve">  </w:t>
            </w:r>
            <w:r>
              <w:t>日产生合同结算费用总计元，按合同约定已向</w:t>
            </w:r>
            <w:r>
              <w:t>中标人</w:t>
            </w:r>
            <w:r>
              <w:lastRenderedPageBreak/>
              <w:t>支付</w:t>
            </w:r>
            <w:r>
              <w:t>80%</w:t>
            </w:r>
            <w:r>
              <w:t>的结算费用总额即元，剩余</w:t>
            </w:r>
            <w:r>
              <w:t>20%</w:t>
            </w:r>
            <w:r>
              <w:t>结算费用总额元。</w:t>
            </w:r>
            <w:r>
              <w:t xml:space="preserve">202  </w:t>
            </w:r>
            <w:r>
              <w:t>年度考核条款不达标，合计扣除金额：元，扣除后的剩余结算费用总额：元。根据</w:t>
            </w:r>
            <w:r>
              <w:t xml:space="preserve">202  </w:t>
            </w:r>
            <w:r>
              <w:t>年度考核情况，按合同约定支付扣除后的剩余结算费用总额：元。</w:t>
            </w:r>
          </w:p>
          <w:p w:rsidR="001F61DC" w:rsidRDefault="00F769DF">
            <w:pPr>
              <w:pStyle w:val="null3"/>
              <w:jc w:val="center"/>
              <w:rPr>
                <w:rFonts w:hint="default"/>
              </w:rPr>
            </w:pPr>
            <w:r>
              <w:t>考核汇总部门：中心实验室</w:t>
            </w:r>
          </w:p>
          <w:p w:rsidR="001F61DC" w:rsidRDefault="00F769DF">
            <w:pPr>
              <w:pStyle w:val="null3"/>
              <w:tabs>
                <w:tab w:val="left" w:pos="5806"/>
                <w:tab w:val="right" w:pos="8096"/>
              </w:tabs>
              <w:rPr>
                <w:rFonts w:hint="default"/>
              </w:rPr>
            </w:pPr>
            <w:r>
              <w:rPr>
                <w:rFonts w:hint="default"/>
              </w:rPr>
              <w:tab/>
            </w:r>
            <w:r>
              <w:t>考核人员：</w:t>
            </w:r>
            <w:r>
              <w:rPr>
                <w:rFonts w:hint="default"/>
              </w:rPr>
              <w:tab/>
            </w:r>
            <w:r>
              <w:t xml:space="preserve">         </w:t>
            </w:r>
          </w:p>
          <w:p w:rsidR="001F61DC" w:rsidRDefault="00F769DF">
            <w:pPr>
              <w:pStyle w:val="null3"/>
              <w:jc w:val="right"/>
              <w:rPr>
                <w:rFonts w:hint="default"/>
              </w:rPr>
            </w:pPr>
            <w:r>
              <w:t>年</w:t>
            </w:r>
            <w:r>
              <w:t xml:space="preserve">   </w:t>
            </w:r>
            <w:r>
              <w:t>月</w:t>
            </w:r>
            <w:r>
              <w:t xml:space="preserve">   </w:t>
            </w:r>
            <w:r>
              <w:t>日</w:t>
            </w:r>
          </w:p>
        </w:tc>
      </w:tr>
      <w:tr w:rsidR="001F61DC">
        <w:tc>
          <w:tcPr>
            <w:tcW w:w="8306" w:type="dxa"/>
            <w:gridSpan w:val="3"/>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F61DC" w:rsidRDefault="00F769DF">
            <w:pPr>
              <w:pStyle w:val="null3"/>
              <w:jc w:val="both"/>
              <w:rPr>
                <w:rFonts w:hint="default"/>
              </w:rPr>
            </w:pPr>
            <w:r>
              <w:lastRenderedPageBreak/>
              <w:t xml:space="preserve">20   </w:t>
            </w:r>
            <w:r>
              <w:t>年度验收结论：</w:t>
            </w:r>
          </w:p>
          <w:p w:rsidR="001F61DC" w:rsidRDefault="00F769DF">
            <w:pPr>
              <w:pStyle w:val="null3"/>
              <w:jc w:val="both"/>
              <w:rPr>
                <w:rFonts w:hint="default"/>
              </w:rPr>
            </w:pPr>
            <w:r>
              <w:t>□合格</w:t>
            </w:r>
            <w:r>
              <w:t xml:space="preserve">      </w:t>
            </w:r>
            <w:r>
              <w:t>□不合格，后续改进</w:t>
            </w:r>
            <w:r>
              <w:t xml:space="preserve">         </w:t>
            </w:r>
            <w:r>
              <w:t>□不合格，终止合同</w:t>
            </w:r>
          </w:p>
          <w:p w:rsidR="001F61DC" w:rsidRDefault="00F769DF">
            <w:pPr>
              <w:pStyle w:val="null3"/>
              <w:jc w:val="both"/>
              <w:rPr>
                <w:rFonts w:hint="default"/>
              </w:rPr>
            </w:pPr>
            <w:r>
              <w:t>医务科：</w:t>
            </w:r>
          </w:p>
          <w:p w:rsidR="001F61DC" w:rsidRDefault="00F769DF">
            <w:pPr>
              <w:pStyle w:val="null3"/>
              <w:ind w:right="405"/>
              <w:jc w:val="right"/>
              <w:rPr>
                <w:rFonts w:hint="default"/>
              </w:rPr>
            </w:pPr>
            <w:r>
              <w:t>年</w:t>
            </w:r>
            <w:r>
              <w:t xml:space="preserve">   </w:t>
            </w:r>
            <w:r>
              <w:t>月</w:t>
            </w:r>
            <w:r>
              <w:t xml:space="preserve">   </w:t>
            </w:r>
            <w:r>
              <w:t>日</w:t>
            </w:r>
          </w:p>
        </w:tc>
      </w:tr>
    </w:tbl>
    <w:p w:rsidR="001F61DC" w:rsidRDefault="00F769DF">
      <w:pPr>
        <w:pStyle w:val="null3"/>
        <w:numPr>
          <w:ilvl w:val="0"/>
          <w:numId w:val="1"/>
        </w:numPr>
        <w:rPr>
          <w:rFonts w:hint="default"/>
        </w:rPr>
      </w:pPr>
      <w:r>
        <w:t>五、其他需补充的需求</w:t>
      </w:r>
    </w:p>
    <w:p w:rsidR="001F61DC" w:rsidRDefault="00F769DF">
      <w:pPr>
        <w:pStyle w:val="null3"/>
        <w:ind w:firstLine="400"/>
        <w:rPr>
          <w:rFonts w:hint="default"/>
        </w:rPr>
      </w:pPr>
      <w:r>
        <w:rPr>
          <w:color w:val="000000"/>
        </w:rPr>
        <w:t>预算金额：院本部：</w:t>
      </w:r>
      <w:r>
        <w:rPr>
          <w:color w:val="000000"/>
        </w:rPr>
        <w:t>29</w:t>
      </w:r>
      <w:r>
        <w:rPr>
          <w:color w:val="000000"/>
        </w:rPr>
        <w:t>万元；东院区：</w:t>
      </w:r>
      <w:r>
        <w:rPr>
          <w:color w:val="000000"/>
        </w:rPr>
        <w:t>4</w:t>
      </w:r>
      <w:r>
        <w:rPr>
          <w:color w:val="000000"/>
        </w:rPr>
        <w:t>万元。本项目采购分别用于广州医科大学附属番禺中心医院（院本部）和广州市番禺区第七人民医院（东院区），中标人按规定及采购人需求签订三方协议。</w:t>
      </w:r>
    </w:p>
    <w:p w:rsidR="001F61DC" w:rsidRDefault="00F769DF">
      <w:pPr>
        <w:pStyle w:val="null3"/>
        <w:jc w:val="both"/>
        <w:rPr>
          <w:rFonts w:hint="default"/>
        </w:rPr>
      </w:pPr>
      <w:r>
        <w:t>六</w:t>
      </w:r>
      <w:r>
        <w:t>、</w:t>
      </w:r>
      <w:r>
        <w:rPr>
          <w:color w:val="000000"/>
        </w:rPr>
        <w:t>付款方式</w:t>
      </w:r>
    </w:p>
    <w:p w:rsidR="001F61DC" w:rsidRDefault="00F769DF">
      <w:pPr>
        <w:pStyle w:val="null3"/>
        <w:jc w:val="both"/>
        <w:rPr>
          <w:rFonts w:hint="default"/>
        </w:rPr>
      </w:pPr>
      <w:r>
        <w:rPr>
          <w:color w:val="000000"/>
        </w:rPr>
        <w:t>1</w:t>
      </w:r>
      <w:r>
        <w:rPr>
          <w:color w:val="000000"/>
        </w:rPr>
        <w:t>．报价结算要求</w:t>
      </w:r>
    </w:p>
    <w:p w:rsidR="001F61DC" w:rsidRDefault="00F769DF">
      <w:pPr>
        <w:pStyle w:val="null3"/>
        <w:jc w:val="both"/>
        <w:rPr>
          <w:rFonts w:hint="default"/>
        </w:rPr>
      </w:pPr>
      <w:r>
        <w:rPr>
          <w:color w:val="000000"/>
        </w:rPr>
        <w:t>1.1</w:t>
      </w:r>
      <w:r>
        <w:rPr>
          <w:color w:val="000000"/>
        </w:rPr>
        <w:t>采购人</w:t>
      </w:r>
      <w:r>
        <w:rPr>
          <w:color w:val="000000"/>
        </w:rPr>
        <w:t>负责向病人收取检验费，属于基本医疗服务价格项目的，</w:t>
      </w:r>
      <w:r>
        <w:rPr>
          <w:color w:val="000000"/>
        </w:rPr>
        <w:t>采购人</w:t>
      </w:r>
      <w:r>
        <w:rPr>
          <w:color w:val="000000"/>
        </w:rPr>
        <w:t>按照《广州地区公立医疗机构基本医疗服务价格项目》收费标准向病人收取检验费；属于市场调节价医疗服务价格项目的，</w:t>
      </w:r>
      <w:r>
        <w:rPr>
          <w:color w:val="000000"/>
        </w:rPr>
        <w:t>采购人</w:t>
      </w:r>
      <w:r>
        <w:rPr>
          <w:color w:val="000000"/>
        </w:rPr>
        <w:t>按照自主定价标准向病人收取检验费。合同执行期间，收费标准变动的随政策变动适时调整。</w:t>
      </w:r>
      <w:r>
        <w:rPr>
          <w:color w:val="000000"/>
        </w:rPr>
        <w:t>中标人</w:t>
      </w:r>
      <w:r>
        <w:rPr>
          <w:color w:val="000000"/>
        </w:rPr>
        <w:t>按照相关收费标准并根据本条第</w:t>
      </w:r>
      <w:r>
        <w:rPr>
          <w:color w:val="000000"/>
        </w:rPr>
        <w:t>2</w:t>
      </w:r>
      <w:r>
        <w:rPr>
          <w:color w:val="000000"/>
        </w:rPr>
        <w:t>款的结算比例向</w:t>
      </w:r>
      <w:r>
        <w:rPr>
          <w:color w:val="000000"/>
        </w:rPr>
        <w:t>采购人</w:t>
      </w:r>
      <w:r>
        <w:rPr>
          <w:color w:val="000000"/>
        </w:rPr>
        <w:t>收取委托检验服务费。</w:t>
      </w:r>
    </w:p>
    <w:p w:rsidR="001F61DC" w:rsidRDefault="00F769DF">
      <w:pPr>
        <w:pStyle w:val="null3"/>
        <w:jc w:val="both"/>
        <w:rPr>
          <w:rFonts w:hint="default"/>
        </w:rPr>
      </w:pPr>
      <w:r>
        <w:rPr>
          <w:color w:val="000000"/>
        </w:rPr>
        <w:t>1.2</w:t>
      </w:r>
      <w:r>
        <w:rPr>
          <w:color w:val="000000"/>
        </w:rPr>
        <w:t>各类检测项目的结算比例为</w:t>
      </w:r>
      <w:r>
        <w:rPr>
          <w:color w:val="000000"/>
        </w:rPr>
        <w:t>中标人</w:t>
      </w:r>
      <w:r>
        <w:rPr>
          <w:color w:val="000000"/>
        </w:rPr>
        <w:t>委托检验服务费折扣率。委托检验项目收费标准×结算折扣率</w:t>
      </w:r>
      <w:r>
        <w:rPr>
          <w:color w:val="000000"/>
        </w:rPr>
        <w:t>=</w:t>
      </w:r>
      <w:r>
        <w:rPr>
          <w:color w:val="000000"/>
        </w:rPr>
        <w:t>委托检验服务费。</w:t>
      </w:r>
    </w:p>
    <w:p w:rsidR="001F61DC" w:rsidRDefault="00F769DF">
      <w:pPr>
        <w:pStyle w:val="null3"/>
        <w:jc w:val="both"/>
        <w:rPr>
          <w:rFonts w:hint="default"/>
        </w:rPr>
      </w:pPr>
      <w:r>
        <w:rPr>
          <w:color w:val="000000"/>
        </w:rPr>
        <w:t>2</w:t>
      </w:r>
      <w:r>
        <w:rPr>
          <w:color w:val="000000"/>
        </w:rPr>
        <w:t>．付款方式</w:t>
      </w:r>
    </w:p>
    <w:p w:rsidR="001F61DC" w:rsidRDefault="00F769DF">
      <w:pPr>
        <w:pStyle w:val="null3"/>
        <w:jc w:val="both"/>
        <w:rPr>
          <w:rFonts w:hint="default"/>
        </w:rPr>
      </w:pPr>
      <w:r>
        <w:rPr>
          <w:color w:val="000000"/>
        </w:rPr>
        <w:t>2.1</w:t>
      </w:r>
      <w:r>
        <w:rPr>
          <w:color w:val="000000"/>
        </w:rPr>
        <w:t>中标人</w:t>
      </w:r>
      <w:r>
        <w:rPr>
          <w:color w:val="000000"/>
        </w:rPr>
        <w:t>向</w:t>
      </w:r>
      <w:r>
        <w:rPr>
          <w:color w:val="000000"/>
        </w:rPr>
        <w:t>采购人</w:t>
      </w:r>
      <w:r>
        <w:rPr>
          <w:color w:val="000000"/>
        </w:rPr>
        <w:t>收取委托检验服务费，委托检验服务</w:t>
      </w:r>
      <w:r>
        <w:rPr>
          <w:color w:val="000000"/>
        </w:rPr>
        <w:t>费用为含税价，以发送检测报告为对账依据。</w:t>
      </w:r>
    </w:p>
    <w:p w:rsidR="001F61DC" w:rsidRDefault="00F769DF">
      <w:pPr>
        <w:pStyle w:val="null3"/>
        <w:jc w:val="both"/>
        <w:rPr>
          <w:rFonts w:hint="default"/>
        </w:rPr>
      </w:pPr>
      <w:r>
        <w:rPr>
          <w:color w:val="000000"/>
        </w:rPr>
        <w:t>2.2</w:t>
      </w:r>
      <w:r>
        <w:rPr>
          <w:color w:val="000000"/>
        </w:rPr>
        <w:t>按月结算，</w:t>
      </w:r>
      <w:r>
        <w:rPr>
          <w:color w:val="000000"/>
        </w:rPr>
        <w:t>中标人</w:t>
      </w:r>
      <w:r>
        <w:rPr>
          <w:color w:val="000000"/>
        </w:rPr>
        <w:t>每月第</w:t>
      </w:r>
      <w:r>
        <w:rPr>
          <w:color w:val="000000"/>
        </w:rPr>
        <w:t>10</w:t>
      </w:r>
      <w:r>
        <w:rPr>
          <w:color w:val="000000"/>
        </w:rPr>
        <w:t>个工作日出具上月对账单</w:t>
      </w:r>
      <w:r>
        <w:t>并提供月度考核表给</w:t>
      </w:r>
      <w:r>
        <w:t>采购人</w:t>
      </w:r>
      <w:r>
        <w:t>核查</w:t>
      </w:r>
      <w:r>
        <w:rPr>
          <w:color w:val="000000"/>
        </w:rPr>
        <w:t>，</w:t>
      </w:r>
      <w:r>
        <w:rPr>
          <w:color w:val="000000"/>
        </w:rPr>
        <w:t>采购人</w:t>
      </w:r>
      <w:r>
        <w:rPr>
          <w:color w:val="000000"/>
        </w:rPr>
        <w:t>10</w:t>
      </w:r>
      <w:r>
        <w:rPr>
          <w:color w:val="000000"/>
        </w:rPr>
        <w:t>个工作日内确认对账信息</w:t>
      </w:r>
      <w:r>
        <w:t>及考核情况，如有考核条款不达标，</w:t>
      </w:r>
      <w:r>
        <w:t>采购人</w:t>
      </w:r>
      <w:r>
        <w:t>按考核条款规定进行扣罚。</w:t>
      </w:r>
    </w:p>
    <w:p w:rsidR="001F61DC" w:rsidRDefault="00F769DF">
      <w:pPr>
        <w:pStyle w:val="null3"/>
        <w:jc w:val="both"/>
        <w:rPr>
          <w:rFonts w:hint="default"/>
        </w:rPr>
      </w:pPr>
      <w:r>
        <w:rPr>
          <w:color w:val="000000"/>
        </w:rPr>
        <w:t>2.3</w:t>
      </w:r>
      <w:r>
        <w:rPr>
          <w:color w:val="000000"/>
        </w:rPr>
        <w:t>中标人</w:t>
      </w:r>
      <w:r>
        <w:rPr>
          <w:color w:val="000000"/>
        </w:rPr>
        <w:t>收到确认的对账信息后开具发票。</w:t>
      </w:r>
    </w:p>
    <w:p w:rsidR="001F61DC" w:rsidRDefault="00F769DF">
      <w:pPr>
        <w:pStyle w:val="null3"/>
        <w:jc w:val="both"/>
        <w:rPr>
          <w:rFonts w:hint="default"/>
        </w:rPr>
      </w:pPr>
      <w:r>
        <w:rPr>
          <w:color w:val="000000"/>
        </w:rPr>
        <w:t>2.4</w:t>
      </w:r>
      <w:r>
        <w:rPr>
          <w:color w:val="000000"/>
        </w:rPr>
        <w:t>中标人</w:t>
      </w:r>
      <w:r>
        <w:rPr>
          <w:color w:val="000000"/>
        </w:rPr>
        <w:t>根据核对无误的结算费用总额的</w:t>
      </w:r>
      <w:r>
        <w:rPr>
          <w:color w:val="000000"/>
        </w:rPr>
        <w:t>80%</w:t>
      </w:r>
      <w:r>
        <w:rPr>
          <w:color w:val="000000"/>
        </w:rPr>
        <w:t>开具等额增值税普通发票，</w:t>
      </w:r>
      <w:r>
        <w:rPr>
          <w:color w:val="000000"/>
        </w:rPr>
        <w:t>采购人</w:t>
      </w:r>
      <w:r>
        <w:rPr>
          <w:color w:val="000000"/>
        </w:rPr>
        <w:t>收到发票后</w:t>
      </w:r>
      <w:r>
        <w:rPr>
          <w:color w:val="000000"/>
        </w:rPr>
        <w:t>5</w:t>
      </w:r>
      <w:r>
        <w:rPr>
          <w:color w:val="000000"/>
        </w:rPr>
        <w:t>个工作日内办理付款</w:t>
      </w:r>
      <w:r>
        <w:rPr>
          <w:color w:val="000000"/>
        </w:rPr>
        <w:t>。合同年度结束，</w:t>
      </w:r>
      <w:r>
        <w:rPr>
          <w:color w:val="000000"/>
        </w:rPr>
        <w:t>中标人</w:t>
      </w:r>
      <w:r>
        <w:rPr>
          <w:color w:val="000000"/>
        </w:rPr>
        <w:t>根据待结算费用总额结合</w:t>
      </w:r>
      <w:r>
        <w:rPr>
          <w:color w:val="000000"/>
        </w:rPr>
        <w:t>采购人</w:t>
      </w:r>
      <w:r>
        <w:rPr>
          <w:color w:val="000000"/>
        </w:rPr>
        <w:t>年度考评扣罚情况开具等额增值税普通发票和项目清算清单，</w:t>
      </w:r>
      <w:r>
        <w:rPr>
          <w:color w:val="000000"/>
        </w:rPr>
        <w:t>采购人</w:t>
      </w:r>
      <w:r>
        <w:rPr>
          <w:color w:val="000000"/>
        </w:rPr>
        <w:t>确认项目清算清单后</w:t>
      </w:r>
      <w:r>
        <w:rPr>
          <w:color w:val="000000"/>
        </w:rPr>
        <w:t>5</w:t>
      </w:r>
      <w:r>
        <w:rPr>
          <w:color w:val="000000"/>
        </w:rPr>
        <w:t>个工作日内办理支付。</w:t>
      </w:r>
    </w:p>
    <w:p w:rsidR="001F61DC" w:rsidRDefault="00F769DF">
      <w:pPr>
        <w:pStyle w:val="null3"/>
        <w:jc w:val="both"/>
        <w:rPr>
          <w:rFonts w:hint="default"/>
        </w:rPr>
      </w:pPr>
      <w:r>
        <w:rPr>
          <w:color w:val="000000"/>
        </w:rPr>
        <w:t xml:space="preserve">2.5 </w:t>
      </w:r>
      <w:r>
        <w:rPr>
          <w:color w:val="000000"/>
        </w:rPr>
        <w:t>每次按合同支付款项前，</w:t>
      </w:r>
      <w:r>
        <w:rPr>
          <w:color w:val="000000"/>
        </w:rPr>
        <w:t>中标人</w:t>
      </w:r>
      <w:r>
        <w:rPr>
          <w:color w:val="000000"/>
        </w:rPr>
        <w:t>应向</w:t>
      </w:r>
      <w:r>
        <w:rPr>
          <w:color w:val="000000"/>
        </w:rPr>
        <w:t>采购人</w:t>
      </w:r>
      <w:r>
        <w:rPr>
          <w:color w:val="000000"/>
        </w:rPr>
        <w:t>提供与支付金额相符的有效发票，且收款方、出具发票方、合同</w:t>
      </w:r>
      <w:r>
        <w:rPr>
          <w:color w:val="000000"/>
        </w:rPr>
        <w:t>中标人</w:t>
      </w:r>
      <w:r>
        <w:rPr>
          <w:color w:val="000000"/>
        </w:rPr>
        <w:t>均必须与</w:t>
      </w:r>
      <w:r>
        <w:rPr>
          <w:color w:val="000000"/>
        </w:rPr>
        <w:t>中标人</w:t>
      </w:r>
      <w:r>
        <w:rPr>
          <w:color w:val="000000"/>
        </w:rPr>
        <w:t>名称一致。</w:t>
      </w:r>
    </w:p>
    <w:p w:rsidR="001F61DC" w:rsidRDefault="00F769DF">
      <w:r>
        <w:rPr>
          <w:color w:val="000000"/>
          <w:sz w:val="20"/>
        </w:rPr>
        <w:t xml:space="preserve">2.6 </w:t>
      </w:r>
      <w:r>
        <w:rPr>
          <w:color w:val="000000"/>
          <w:sz w:val="20"/>
        </w:rPr>
        <w:t>付款方式：采用支票、银行汇票、电汇三种形式。</w:t>
      </w:r>
    </w:p>
    <w:sectPr w:rsidR="001F61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altName w:val="Arial"/>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08E"/>
    <w:multiLevelType w:val="singleLevel"/>
    <w:tmpl w:val="0053208E"/>
    <w:lvl w:ilvl="0">
      <w:start w:val="1"/>
      <w:numFmt w:val="bullet"/>
      <w:lvlText w:val=""/>
      <w:lvlJc w:val="left"/>
      <w:pPr>
        <w:ind w:left="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E342391"/>
    <w:rsid w:val="00174186"/>
    <w:rsid w:val="001F61DC"/>
    <w:rsid w:val="003C6E04"/>
    <w:rsid w:val="008A4E4C"/>
    <w:rsid w:val="00AB7477"/>
    <w:rsid w:val="00F769DF"/>
    <w:rsid w:val="042829E7"/>
    <w:rsid w:val="0B051230"/>
    <w:rsid w:val="0D362DC0"/>
    <w:rsid w:val="1DE30388"/>
    <w:rsid w:val="1E342391"/>
    <w:rsid w:val="358B7A8D"/>
    <w:rsid w:val="4C032A80"/>
    <w:rsid w:val="56512AAC"/>
    <w:rsid w:val="59A67E19"/>
    <w:rsid w:val="5B256958"/>
    <w:rsid w:val="6B77336C"/>
    <w:rsid w:val="741D44E3"/>
    <w:rsid w:val="77303A97"/>
    <w:rsid w:val="79D37F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E3CF169-7413-47A2-B7BB-53612920F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Body Text"/>
    <w:basedOn w:val="a"/>
    <w:next w:val="a"/>
    <w:uiPriority w:val="99"/>
    <w:unhideWhenUsed/>
    <w:qFormat/>
    <w:pPr>
      <w:spacing w:after="120"/>
    </w:p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customStyle="1" w:styleId="null3">
    <w:name w:val="null3"/>
    <w:hidden/>
    <w:qFormat/>
    <w:rPr>
      <w:rFonts w:hint="eastAsia"/>
    </w:rPr>
  </w:style>
  <w:style w:type="paragraph" w:customStyle="1" w:styleId="a9">
    <w:name w:val="表格文字"/>
    <w:basedOn w:val="a"/>
    <w:qFormat/>
    <w:pPr>
      <w:spacing w:before="25" w:after="25"/>
    </w:pPr>
    <w:rPr>
      <w:rFonts w:ascii="Times New Roman" w:eastAsia="宋体" w:hAnsi="Times New Roman" w:cs="Times New Roman"/>
      <w:bCs/>
      <w:spacing w:val="10"/>
      <w:sz w:val="24"/>
      <w:szCs w:val="20"/>
    </w:rPr>
  </w:style>
  <w:style w:type="character" w:customStyle="1" w:styleId="font21">
    <w:name w:val="font21"/>
    <w:qFormat/>
    <w:rPr>
      <w:rFonts w:ascii="宋体" w:eastAsia="宋体" w:hAnsi="宋体" w:cs="宋体" w:hint="eastAsia"/>
      <w:color w:val="000000"/>
      <w:sz w:val="24"/>
      <w:szCs w:val="24"/>
      <w:u w:val="none"/>
    </w:rPr>
  </w:style>
  <w:style w:type="character" w:customStyle="1" w:styleId="a8">
    <w:name w:val="页眉 字符"/>
    <w:basedOn w:val="a0"/>
    <w:link w:val="a7"/>
    <w:rPr>
      <w:kern w:val="2"/>
      <w:sz w:val="18"/>
      <w:szCs w:val="18"/>
    </w:rPr>
  </w:style>
  <w:style w:type="character" w:customStyle="1" w:styleId="a6">
    <w:name w:val="页脚 字符"/>
    <w:basedOn w:val="a0"/>
    <w:link w:val="a5"/>
    <w:rPr>
      <w:kern w:val="2"/>
      <w:sz w:val="18"/>
      <w:szCs w:val="18"/>
    </w:rPr>
  </w:style>
  <w:style w:type="paragraph" w:styleId="aa">
    <w:name w:val="Balloon Text"/>
    <w:basedOn w:val="a"/>
    <w:link w:val="ab"/>
    <w:rsid w:val="00F769DF"/>
    <w:rPr>
      <w:sz w:val="18"/>
      <w:szCs w:val="18"/>
    </w:rPr>
  </w:style>
  <w:style w:type="character" w:customStyle="1" w:styleId="ab">
    <w:name w:val="批注框文本 字符"/>
    <w:basedOn w:val="a0"/>
    <w:link w:val="aa"/>
    <w:rsid w:val="00F769D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1190</Words>
  <Characters>6786</Characters>
  <Application>Microsoft Office Word</Application>
  <DocSecurity>0</DocSecurity>
  <Lines>56</Lines>
  <Paragraphs>15</Paragraphs>
  <ScaleCrop>false</ScaleCrop>
  <Company>Microsoft</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tingting</dc:creator>
  <cp:lastModifiedBy>肖翔</cp:lastModifiedBy>
  <cp:revision>2</cp:revision>
  <dcterms:created xsi:type="dcterms:W3CDTF">2025-07-04T08:55:00Z</dcterms:created>
  <dcterms:modified xsi:type="dcterms:W3CDTF">2025-07-31T02:12:00Z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17E7DE07158E487EB770A90241DF6EED_11</vt:lpwstr>
  </property>
  <property fmtid="{D5CDD505-2E9C-101B-9397-08002B2CF9AE}" pid="4" name="KSOTemplateDocerSaveRecord">
    <vt:lpwstr>eyJoZGlkIjoiNDMyOWM3OTNiZjFkMTMxNzg1ZDAwMDk4MmI3MmUwNDgiLCJ1c2VySWQiOiI0MzE3NTM4NjAifQ==</vt:lpwstr>
  </property>
</Properties>
</file>