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7F" w:rsidRDefault="0053027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53027F" w:rsidRDefault="00C76D8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耳鼻喉专用高频电刀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53027F" w:rsidRDefault="0053027F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3027F" w:rsidRDefault="00C76D8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耳鼻喉专用高频电刀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53027F" w:rsidRDefault="00C76D8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53027F">
        <w:tc>
          <w:tcPr>
            <w:tcW w:w="1292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3027F">
        <w:tc>
          <w:tcPr>
            <w:tcW w:w="1292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耳鼻喉专用高频电刀</w:t>
            </w:r>
          </w:p>
        </w:tc>
        <w:tc>
          <w:tcPr>
            <w:tcW w:w="1504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53027F" w:rsidRDefault="00C76D8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耳鼻喉科</w:t>
            </w:r>
          </w:p>
        </w:tc>
      </w:tr>
    </w:tbl>
    <w:p w:rsidR="0053027F" w:rsidRDefault="0053027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3027F" w:rsidRDefault="00C76D81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53027F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3027F" w:rsidRDefault="00C76D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3027F" w:rsidRDefault="00C76D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3027F" w:rsidRDefault="00C76D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53027F">
        <w:trPr>
          <w:trHeight w:val="104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3027F" w:rsidRDefault="00C76D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高频电刀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适用于门诊耳鼻喉科鼻出血、鼻腔、咽部小肿物切除、活检后出血止血。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能电切、电凝；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配置有重复使用的双极治疗头和单极治疗头；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▲单极有吸引通道；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主频不低于</w:t>
            </w:r>
            <w:r w:rsidRPr="00BA0515">
              <w:rPr>
                <w:rFonts w:ascii="宋体" w:hAnsi="宋体" w:cs="宋体" w:hint="eastAsia"/>
                <w:sz w:val="24"/>
              </w:rPr>
              <w:t>450KHz;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输出功能不低于</w:t>
            </w:r>
            <w:r w:rsidRPr="00BA0515">
              <w:rPr>
                <w:rFonts w:ascii="宋体" w:hAnsi="宋体" w:cs="宋体" w:hint="eastAsia"/>
                <w:sz w:val="24"/>
              </w:rPr>
              <w:t>300W</w:t>
            </w:r>
            <w:r w:rsidRPr="00BA0515">
              <w:rPr>
                <w:rFonts w:ascii="宋体" w:hAnsi="宋体" w:cs="宋体" w:hint="eastAsia"/>
                <w:sz w:val="24"/>
              </w:rPr>
              <w:t>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适用各种内窥镜手术；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采用输出功率自动补偿</w:t>
            </w:r>
            <w:r w:rsidRPr="00BA0515">
              <w:rPr>
                <w:rFonts w:ascii="宋体" w:hAnsi="宋体" w:cs="宋体" w:hint="eastAsia"/>
                <w:sz w:val="24"/>
              </w:rPr>
              <w:t>PAC</w:t>
            </w:r>
            <w:r w:rsidRPr="00BA0515">
              <w:rPr>
                <w:rFonts w:ascii="宋体" w:hAnsi="宋体" w:cs="宋体" w:hint="eastAsia"/>
                <w:sz w:val="24"/>
              </w:rPr>
              <w:t>系统，计算机自动调控，在不同组织阻抗下功率均不会降低；</w:t>
            </w:r>
          </w:p>
          <w:p w:rsidR="0053027F" w:rsidRPr="00BA0515" w:rsidRDefault="00C76D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lastRenderedPageBreak/>
              <w:t>具备良好接地系统，并符合医疗设备电磁兼容标准。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lastRenderedPageBreak/>
              <w:t>主机一台</w:t>
            </w:r>
          </w:p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脚踏一个</w:t>
            </w:r>
          </w:p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导联线</w:t>
            </w:r>
            <w:r w:rsidRPr="00BA0515">
              <w:rPr>
                <w:rFonts w:ascii="宋体" w:hAnsi="宋体" w:cs="宋体" w:hint="eastAsia"/>
                <w:sz w:val="24"/>
              </w:rPr>
              <w:t>2</w:t>
            </w:r>
            <w:r w:rsidRPr="00BA0515">
              <w:rPr>
                <w:rFonts w:ascii="宋体" w:hAnsi="宋体" w:cs="宋体" w:hint="eastAsia"/>
                <w:sz w:val="24"/>
              </w:rPr>
              <w:t>条</w:t>
            </w:r>
          </w:p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负极板</w:t>
            </w:r>
            <w:r w:rsidRPr="00BA0515">
              <w:rPr>
                <w:rFonts w:ascii="宋体" w:hAnsi="宋体" w:cs="宋体" w:hint="eastAsia"/>
                <w:sz w:val="24"/>
              </w:rPr>
              <w:t>10</w:t>
            </w:r>
            <w:r w:rsidRPr="00BA0515">
              <w:rPr>
                <w:rFonts w:ascii="宋体" w:hAnsi="宋体" w:cs="宋体" w:hint="eastAsia"/>
                <w:sz w:val="24"/>
              </w:rPr>
              <w:t>片</w:t>
            </w:r>
          </w:p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单极电极（重复使用）</w:t>
            </w:r>
            <w:r w:rsidRPr="00BA0515">
              <w:rPr>
                <w:rFonts w:ascii="宋体" w:hAnsi="宋体" w:cs="宋体" w:hint="eastAsia"/>
                <w:sz w:val="24"/>
              </w:rPr>
              <w:t>2</w:t>
            </w:r>
            <w:r w:rsidRPr="00BA0515">
              <w:rPr>
                <w:rFonts w:ascii="宋体" w:hAnsi="宋体" w:cs="宋体" w:hint="eastAsia"/>
                <w:sz w:val="24"/>
              </w:rPr>
              <w:t>条</w:t>
            </w:r>
          </w:p>
          <w:p w:rsidR="0053027F" w:rsidRPr="00BA0515" w:rsidRDefault="00C76D81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A0515">
              <w:rPr>
                <w:rFonts w:ascii="宋体" w:hAnsi="宋体" w:cs="宋体" w:hint="eastAsia"/>
                <w:sz w:val="24"/>
              </w:rPr>
              <w:t>双极电极（重复使用）</w:t>
            </w:r>
            <w:r w:rsidRPr="00BA0515">
              <w:rPr>
                <w:rFonts w:ascii="宋体" w:hAnsi="宋体" w:cs="宋体" w:hint="eastAsia"/>
                <w:sz w:val="24"/>
              </w:rPr>
              <w:t>2</w:t>
            </w:r>
            <w:r w:rsidRPr="00BA0515">
              <w:rPr>
                <w:rFonts w:ascii="宋体" w:hAnsi="宋体" w:cs="宋体" w:hint="eastAsia"/>
                <w:sz w:val="24"/>
              </w:rPr>
              <w:t>条</w:t>
            </w:r>
          </w:p>
        </w:tc>
      </w:tr>
    </w:tbl>
    <w:p w:rsidR="0053027F" w:rsidRDefault="0053027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3027F" w:rsidRDefault="00C76D8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3027F" w:rsidRDefault="00C76D8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53027F" w:rsidRDefault="00C76D8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3027F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27F" w:rsidRDefault="00C76D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3027F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5302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27F" w:rsidRDefault="00C76D8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53027F" w:rsidRDefault="00C76D81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53027F" w:rsidRDefault="00C76D81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53027F" w:rsidRDefault="00C76D81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53027F">
        <w:tc>
          <w:tcPr>
            <w:tcW w:w="627" w:type="dxa"/>
          </w:tcPr>
          <w:p w:rsidR="0053027F" w:rsidRDefault="00C76D81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53027F" w:rsidRDefault="00C76D81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53027F" w:rsidRDefault="00C76D81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53027F" w:rsidRDefault="00C76D81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53027F" w:rsidRDefault="00C76D81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53027F" w:rsidRDefault="00C76D81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53027F" w:rsidRDefault="00C76D81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53027F" w:rsidRDefault="00C76D8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53027F" w:rsidRDefault="00C76D81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53027F" w:rsidRDefault="00C76D81">
            <w:r>
              <w:rPr>
                <w:rFonts w:hint="eastAsia"/>
              </w:rPr>
              <w:t>备注</w:t>
            </w:r>
          </w:p>
        </w:tc>
      </w:tr>
      <w:tr w:rsidR="0053027F">
        <w:tc>
          <w:tcPr>
            <w:tcW w:w="627" w:type="dxa"/>
          </w:tcPr>
          <w:p w:rsidR="0053027F" w:rsidRDefault="0053027F"/>
        </w:tc>
        <w:tc>
          <w:tcPr>
            <w:tcW w:w="1432" w:type="dxa"/>
          </w:tcPr>
          <w:p w:rsidR="0053027F" w:rsidRDefault="0053027F"/>
        </w:tc>
        <w:tc>
          <w:tcPr>
            <w:tcW w:w="1241" w:type="dxa"/>
          </w:tcPr>
          <w:p w:rsidR="0053027F" w:rsidRDefault="0053027F"/>
        </w:tc>
        <w:tc>
          <w:tcPr>
            <w:tcW w:w="845" w:type="dxa"/>
          </w:tcPr>
          <w:p w:rsidR="0053027F" w:rsidRDefault="0053027F"/>
        </w:tc>
        <w:tc>
          <w:tcPr>
            <w:tcW w:w="968" w:type="dxa"/>
          </w:tcPr>
          <w:p w:rsidR="0053027F" w:rsidRDefault="0053027F"/>
        </w:tc>
        <w:tc>
          <w:tcPr>
            <w:tcW w:w="1159" w:type="dxa"/>
          </w:tcPr>
          <w:p w:rsidR="0053027F" w:rsidRDefault="0053027F"/>
        </w:tc>
        <w:tc>
          <w:tcPr>
            <w:tcW w:w="1105" w:type="dxa"/>
          </w:tcPr>
          <w:p w:rsidR="0053027F" w:rsidRDefault="0053027F"/>
        </w:tc>
        <w:tc>
          <w:tcPr>
            <w:tcW w:w="1104" w:type="dxa"/>
          </w:tcPr>
          <w:p w:rsidR="0053027F" w:rsidRDefault="0053027F"/>
        </w:tc>
        <w:tc>
          <w:tcPr>
            <w:tcW w:w="1064" w:type="dxa"/>
          </w:tcPr>
          <w:p w:rsidR="0053027F" w:rsidRDefault="0053027F"/>
        </w:tc>
        <w:tc>
          <w:tcPr>
            <w:tcW w:w="545" w:type="dxa"/>
          </w:tcPr>
          <w:p w:rsidR="0053027F" w:rsidRDefault="0053027F"/>
        </w:tc>
      </w:tr>
    </w:tbl>
    <w:p w:rsidR="0053027F" w:rsidRDefault="00C76D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53027F" w:rsidRDefault="00C76D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53027F" w:rsidRDefault="00C76D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53027F" w:rsidRDefault="00C76D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53027F" w:rsidRDefault="00C76D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53027F" w:rsidRDefault="00C76D81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53027F" w:rsidRDefault="00C76D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53027F" w:rsidRDefault="00C76D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53027F" w:rsidRDefault="00C76D8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53027F" w:rsidRDefault="00C76D81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53027F" w:rsidRDefault="00C76D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53027F" w:rsidRDefault="00C76D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lastRenderedPageBreak/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53027F" w:rsidRDefault="00C76D8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53027F" w:rsidRDefault="00C76D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</w:t>
      </w:r>
      <w:r>
        <w:rPr>
          <w:rFonts w:ascii="宋体" w:hAnsi="宋体" w:cs="宋体" w:hint="eastAsia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szCs w:val="21"/>
          <w:shd w:val="clear" w:color="auto" w:fill="FFFFFF"/>
        </w:rPr>
        <w:t>份</w:t>
      </w:r>
      <w:r>
        <w:rPr>
          <w:rFonts w:ascii="宋体" w:hAnsi="宋体" w:cs="宋体" w:hint="eastAsia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53027F" w:rsidRDefault="00C76D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53027F" w:rsidRDefault="00C76D8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53027F" w:rsidRDefault="00C76D81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53027F" w:rsidRDefault="00C76D8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53027F" w:rsidRDefault="00C76D81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53027F" w:rsidRDefault="0053027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53027F" w:rsidRDefault="00C76D81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</w:t>
      </w:r>
      <w:r>
        <w:rPr>
          <w:rFonts w:ascii="宋体" w:hAnsi="宋体" w:cs="宋体" w:hint="eastAsia"/>
          <w:szCs w:val="21"/>
          <w:shd w:val="clear" w:color="auto" w:fill="FFFFFF"/>
        </w:rPr>
        <w:t>中心医院耳鼻喉专用高频电刀采购项目市场调查公告</w:t>
      </w:r>
    </w:p>
    <w:p w:rsidR="0053027F" w:rsidRDefault="0053027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3027F" w:rsidRDefault="00C76D8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53027F" w:rsidRDefault="00C76D8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5302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1" w:rsidRDefault="00C76D81">
      <w:r>
        <w:separator/>
      </w:r>
    </w:p>
  </w:endnote>
  <w:endnote w:type="continuationSeparator" w:id="0">
    <w:p w:rsidR="00C76D81" w:rsidRDefault="00C7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7F" w:rsidRDefault="00C76D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7F" w:rsidRDefault="00C76D8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05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3027F" w:rsidRDefault="00C76D8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05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1" w:rsidRDefault="00C76D81">
      <w:r>
        <w:separator/>
      </w:r>
    </w:p>
  </w:footnote>
  <w:footnote w:type="continuationSeparator" w:id="0">
    <w:p w:rsidR="00C76D81" w:rsidRDefault="00C7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1F55F99"/>
    <w:rsid w:val="F6BBE296"/>
    <w:rsid w:val="F7EF55FD"/>
    <w:rsid w:val="F9DE698E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3027F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A0515"/>
    <w:rsid w:val="00BD75DB"/>
    <w:rsid w:val="00BF6EB7"/>
    <w:rsid w:val="00C346FD"/>
    <w:rsid w:val="00C36054"/>
    <w:rsid w:val="00C54586"/>
    <w:rsid w:val="00C76D81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C36E72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15070F"/>
    <w:rsid w:val="0E6C663E"/>
    <w:rsid w:val="0EDD4DFE"/>
    <w:rsid w:val="0EDF5826"/>
    <w:rsid w:val="0F234C69"/>
    <w:rsid w:val="0FCF3D86"/>
    <w:rsid w:val="106C2D6C"/>
    <w:rsid w:val="10C074CB"/>
    <w:rsid w:val="10F36FE9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5A3E23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1E280D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50D1D4E"/>
    <w:rsid w:val="361A62C5"/>
    <w:rsid w:val="361E2949"/>
    <w:rsid w:val="36935DF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2D6818"/>
    <w:rsid w:val="3A825B44"/>
    <w:rsid w:val="3A9C07CF"/>
    <w:rsid w:val="3A9F4C93"/>
    <w:rsid w:val="3AF259F8"/>
    <w:rsid w:val="3AFC5E2F"/>
    <w:rsid w:val="3B561D9F"/>
    <w:rsid w:val="3BB52F69"/>
    <w:rsid w:val="3BDB14B0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AB493B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2A5C35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043230"/>
    <w:rsid w:val="5B4C440E"/>
    <w:rsid w:val="5B6055A8"/>
    <w:rsid w:val="5B8147BE"/>
    <w:rsid w:val="5C0B328E"/>
    <w:rsid w:val="5C241D7E"/>
    <w:rsid w:val="5C4D4C8A"/>
    <w:rsid w:val="5DCD3CEB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512CC8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475145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E8332F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BFFF3E1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3A63DB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9C0E60-1034-4C5C-A5A1-E362D65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2025-08-02T01:55:00Z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