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b/>
          <w:szCs w:val="21"/>
        </w:rPr>
      </w:pPr>
      <w:bookmarkStart w:id="0" w:name="_GoBack"/>
      <w:bookmarkEnd w:id="0"/>
      <w:r>
        <w:rPr>
          <w:rFonts w:hint="eastAsia"/>
          <w:b/>
          <w:szCs w:val="21"/>
        </w:rPr>
        <w:t>附件1、市场调查函</w:t>
      </w:r>
    </w:p>
    <w:p>
      <w:pPr>
        <w:ind w:firstLine="480" w:firstLineChars="200"/>
        <w:jc w:val="center"/>
        <w:rPr>
          <w:b/>
          <w:szCs w:val="21"/>
        </w:rPr>
      </w:pPr>
    </w:p>
    <w:p>
      <w:pPr>
        <w:rPr>
          <w:bCs/>
          <w:szCs w:val="21"/>
        </w:rPr>
      </w:pPr>
      <w:r>
        <w:rPr>
          <w:rFonts w:hint="eastAsia"/>
          <w:bCs/>
          <w:szCs w:val="21"/>
        </w:rPr>
        <w:t>致：广州医科大学附属番禺中心医院</w:t>
      </w:r>
      <w:r>
        <w:rPr>
          <w:bCs/>
          <w:szCs w:val="21"/>
        </w:rPr>
        <w:t xml:space="preserve"> </w:t>
      </w:r>
    </w:p>
    <w:p>
      <w:pPr>
        <w:rPr>
          <w:bCs/>
          <w:szCs w:val="21"/>
        </w:rPr>
      </w:pPr>
    </w:p>
    <w:p>
      <w:pPr>
        <w:adjustRightInd w:val="0"/>
        <w:snapToGrid w:val="0"/>
        <w:spacing w:line="500" w:lineRule="exact"/>
        <w:ind w:right="-358" w:rightChars="-149"/>
        <w:jc w:val="center"/>
        <w:rPr>
          <w:bCs/>
          <w:szCs w:val="21"/>
        </w:rPr>
      </w:pPr>
      <w:r>
        <w:rPr>
          <w:rFonts w:hint="eastAsia"/>
          <w:bCs/>
          <w:szCs w:val="21"/>
        </w:rPr>
        <w:t>根据贵方发布的《</w:t>
      </w:r>
      <w:r>
        <w:rPr>
          <w:rFonts w:hint="eastAsia"/>
          <w:b/>
          <w:bCs/>
        </w:rPr>
        <w:t>广医附属番禺中心医院医疗机构关键数据采集及追溯码拆零上传、医保调价开发及实施服务项目</w:t>
      </w:r>
      <w:r>
        <w:rPr>
          <w:rFonts w:hint="eastAsia"/>
          <w:bCs/>
          <w:szCs w:val="21"/>
        </w:rPr>
        <w:t>》项目市场调查公告，本人代表供应商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pPr>
        <w:ind w:firstLine="480" w:firstLineChars="200"/>
        <w:rPr>
          <w:bCs/>
          <w:szCs w:val="21"/>
        </w:rPr>
      </w:pPr>
    </w:p>
    <w:p>
      <w:pPr>
        <w:ind w:firstLine="480" w:firstLineChars="200"/>
        <w:rPr>
          <w:bCs/>
          <w:szCs w:val="21"/>
        </w:rPr>
      </w:pPr>
      <w:r>
        <w:rPr>
          <w:rFonts w:hint="eastAsia"/>
          <w:bCs/>
          <w:szCs w:val="21"/>
        </w:rPr>
        <w:t>据此函，本人宣布同意如下：</w:t>
      </w:r>
    </w:p>
    <w:p>
      <w:pPr>
        <w:ind w:firstLine="480" w:firstLineChars="200"/>
        <w:rPr>
          <w:bCs/>
          <w:szCs w:val="21"/>
        </w:rPr>
      </w:pPr>
    </w:p>
    <w:p>
      <w:pPr>
        <w:ind w:firstLine="480" w:firstLineChars="200"/>
        <w:rPr>
          <w:bCs/>
          <w:szCs w:val="21"/>
        </w:rPr>
      </w:pPr>
      <w:r>
        <w:rPr>
          <w:rFonts w:hint="eastAsia"/>
          <w:bCs/>
          <w:szCs w:val="21"/>
        </w:rPr>
        <w:t>1．本项目提供和交付的系统总价为：</w:t>
      </w:r>
    </w:p>
    <w:p>
      <w:pPr>
        <w:ind w:firstLine="480" w:firstLineChars="200"/>
        <w:rPr>
          <w:bCs/>
          <w:szCs w:val="21"/>
        </w:rPr>
      </w:pPr>
    </w:p>
    <w:p>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pPr>
        <w:rPr>
          <w:bCs/>
          <w:szCs w:val="21"/>
        </w:rPr>
      </w:pPr>
      <w:r>
        <w:rPr>
          <w:rFonts w:hint="eastAsia"/>
          <w:bCs/>
          <w:szCs w:val="21"/>
        </w:rPr>
        <w:t xml:space="preserve"> </w:t>
      </w:r>
      <w:r>
        <w:rPr>
          <w:bCs/>
          <w:szCs w:val="21"/>
        </w:rPr>
        <w:t xml:space="preserve">  </w:t>
      </w:r>
    </w:p>
    <w:p>
      <w:pPr>
        <w:rPr>
          <w:bCs/>
          <w:szCs w:val="21"/>
        </w:rPr>
      </w:pPr>
    </w:p>
    <w:p>
      <w:pPr>
        <w:ind w:firstLine="480" w:firstLineChars="200"/>
        <w:rPr>
          <w:bCs/>
          <w:szCs w:val="21"/>
        </w:rPr>
      </w:pPr>
      <w:r>
        <w:rPr>
          <w:bCs/>
          <w:szCs w:val="21"/>
        </w:rPr>
        <w:t>3</w:t>
      </w:r>
      <w:r>
        <w:rPr>
          <w:rFonts w:hint="eastAsia"/>
          <w:bCs/>
          <w:szCs w:val="21"/>
        </w:rPr>
        <w:t xml:space="preserve">．我方郑重承诺：我方同意贵方有权要求我方按照用户需求书的要求提供货物和服务。 </w:t>
      </w:r>
    </w:p>
    <w:p>
      <w:pPr>
        <w:ind w:firstLine="480" w:firstLineChars="200"/>
        <w:rPr>
          <w:bCs/>
          <w:szCs w:val="21"/>
        </w:rPr>
      </w:pPr>
    </w:p>
    <w:p>
      <w:pPr>
        <w:ind w:firstLine="480" w:firstLineChars="200"/>
        <w:rPr>
          <w:bCs/>
          <w:szCs w:val="21"/>
        </w:rPr>
      </w:pPr>
      <w:r>
        <w:rPr>
          <w:bCs/>
          <w:szCs w:val="21"/>
        </w:rPr>
        <w:t>4</w:t>
      </w:r>
      <w:r>
        <w:rPr>
          <w:rFonts w:hint="eastAsia"/>
          <w:bCs/>
          <w:szCs w:val="21"/>
        </w:rPr>
        <w:t>．我方的方案报价文件自截止之日起有效期为为</w:t>
      </w:r>
      <w:r>
        <w:rPr>
          <w:bCs/>
          <w:szCs w:val="21"/>
        </w:rPr>
        <w:t>1年</w:t>
      </w:r>
      <w:r>
        <w:rPr>
          <w:rFonts w:hint="eastAsia"/>
          <w:bCs/>
          <w:szCs w:val="21"/>
        </w:rPr>
        <w:t>。</w:t>
      </w:r>
    </w:p>
    <w:p>
      <w:pPr>
        <w:ind w:firstLine="480" w:firstLineChars="200"/>
        <w:rPr>
          <w:bCs/>
          <w:szCs w:val="21"/>
        </w:rPr>
      </w:pPr>
    </w:p>
    <w:p>
      <w:pPr>
        <w:ind w:firstLine="480" w:firstLineChars="200"/>
        <w:rPr>
          <w:bCs/>
          <w:szCs w:val="21"/>
        </w:rPr>
      </w:pPr>
      <w:r>
        <w:rPr>
          <w:bCs/>
          <w:szCs w:val="21"/>
        </w:rPr>
        <w:t>5</w:t>
      </w:r>
      <w:r>
        <w:rPr>
          <w:rFonts w:hint="eastAsia"/>
          <w:bCs/>
          <w:szCs w:val="21"/>
        </w:rPr>
        <w:t>．我方同意提供按照贵方可能要求的与我方市场调研有关的一切数据或资料，理解贵方不一定要接受最低价的报价或收到的任何报价。</w:t>
      </w:r>
    </w:p>
    <w:p>
      <w:pPr>
        <w:ind w:firstLine="480" w:firstLineChars="200"/>
        <w:rPr>
          <w:bCs/>
          <w:szCs w:val="21"/>
        </w:rPr>
      </w:pPr>
    </w:p>
    <w:p>
      <w:pPr>
        <w:ind w:firstLine="480" w:firstLineChars="200"/>
        <w:rPr>
          <w:bCs/>
          <w:szCs w:val="21"/>
        </w:rPr>
      </w:pPr>
      <w:r>
        <w:rPr>
          <w:bCs/>
          <w:szCs w:val="21"/>
        </w:rPr>
        <w:t>6</w:t>
      </w:r>
      <w:r>
        <w:rPr>
          <w:rFonts w:hint="eastAsia"/>
          <w:bCs/>
          <w:szCs w:val="21"/>
        </w:rPr>
        <w:t>．与本谈判有关的一切正式往来通讯请寄：</w:t>
      </w:r>
    </w:p>
    <w:p>
      <w:pPr>
        <w:ind w:firstLine="480" w:firstLineChars="200"/>
        <w:rPr>
          <w:bCs/>
          <w:szCs w:val="21"/>
        </w:rPr>
      </w:pPr>
    </w:p>
    <w:p>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邮编：</w:t>
      </w:r>
    </w:p>
    <w:p>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pPr>
        <w:ind w:firstLine="480" w:firstLineChars="200"/>
        <w:rPr>
          <w:bCs/>
          <w:szCs w:val="21"/>
        </w:rPr>
      </w:pPr>
      <w:r>
        <w:rPr>
          <w:rFonts w:hint="eastAsia"/>
          <w:bCs/>
          <w:szCs w:val="21"/>
        </w:rPr>
        <w:t>供应商法定代表人姓名、职务（印刷体）：</w:t>
      </w:r>
    </w:p>
    <w:p>
      <w:pPr>
        <w:ind w:firstLine="480" w:firstLineChars="200"/>
        <w:rPr>
          <w:bCs/>
          <w:szCs w:val="21"/>
        </w:rPr>
      </w:pPr>
      <w:r>
        <w:rPr>
          <w:rFonts w:hint="eastAsia"/>
          <w:bCs/>
          <w:szCs w:val="21"/>
        </w:rPr>
        <w:t>移动电话：</w:t>
      </w:r>
    </w:p>
    <w:p>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w:t>
      </w:r>
      <w:r>
        <w:rPr>
          <w:bCs/>
          <w:szCs w:val="21"/>
        </w:rPr>
        <w:t xml:space="preserve"> </w:t>
      </w:r>
      <w:r>
        <w:rPr>
          <w:rFonts w:hint="eastAsia"/>
          <w:bCs/>
          <w:szCs w:val="21"/>
        </w:rPr>
        <w:t xml:space="preserve"> 年   月 </w:t>
      </w:r>
      <w:r>
        <w:rPr>
          <w:bCs/>
          <w:szCs w:val="21"/>
        </w:rPr>
        <w:t xml:space="preserve">  </w:t>
      </w:r>
      <w:r>
        <w:rPr>
          <w:rFonts w:hint="eastAsia"/>
          <w:bCs/>
          <w:szCs w:val="21"/>
        </w:rPr>
        <w:t>日</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jc w:val="center"/>
        <w:rPr>
          <w:b/>
          <w:szCs w:val="21"/>
        </w:rPr>
      </w:pPr>
    </w:p>
    <w:p>
      <w:pPr>
        <w:ind w:firstLine="480"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pPr>
        <w:spacing w:line="360" w:lineRule="auto"/>
        <w:ind w:firstLine="616" w:firstLineChars="257"/>
        <w:rPr>
          <w:rFonts w:cs="Arial"/>
          <w:szCs w:val="21"/>
        </w:rPr>
      </w:pPr>
    </w:p>
    <w:p>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pPr>
        <w:spacing w:line="360" w:lineRule="auto"/>
        <w:ind w:firstLine="616" w:firstLineChars="257"/>
        <w:rPr>
          <w:rFonts w:cs="Arial"/>
          <w:szCs w:val="21"/>
        </w:rPr>
      </w:pPr>
    </w:p>
    <w:p>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广医附属番禺中心医院医疗机构关键数据采集及追溯码拆零上传、医保调价开发及实施服务项目</w:t>
      </w:r>
      <w:r>
        <w:rPr>
          <w:rFonts w:hint="eastAsia" w:cs="Arial"/>
          <w:szCs w:val="21"/>
        </w:rPr>
        <w:t>》</w:t>
      </w:r>
      <w:r>
        <w:rPr>
          <w:rFonts w:cs="Arial"/>
          <w:szCs w:val="21"/>
        </w:rPr>
        <w:t>市场</w:t>
      </w:r>
      <w:r>
        <w:rPr>
          <w:rFonts w:hint="eastAsia" w:cs="Arial"/>
          <w:szCs w:val="21"/>
        </w:rPr>
        <w:t>调查活动。受委托人代理权限如下：</w:t>
      </w:r>
    </w:p>
    <w:p>
      <w:pPr>
        <w:numPr>
          <w:ilvl w:val="0"/>
          <w:numId w:val="7"/>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pPr>
        <w:numPr>
          <w:ilvl w:val="0"/>
          <w:numId w:val="7"/>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pPr>
        <w:numPr>
          <w:ilvl w:val="0"/>
          <w:numId w:val="7"/>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pPr>
        <w:numPr>
          <w:ilvl w:val="0"/>
          <w:numId w:val="7"/>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pPr>
        <w:numPr>
          <w:ilvl w:val="0"/>
          <w:numId w:val="7"/>
        </w:numPr>
        <w:tabs>
          <w:tab w:val="left" w:pos="360"/>
        </w:tabs>
        <w:spacing w:line="360" w:lineRule="auto"/>
        <w:ind w:left="0" w:firstLine="540"/>
        <w:rPr>
          <w:rFonts w:cs="Arial"/>
          <w:szCs w:val="21"/>
        </w:rPr>
      </w:pPr>
      <w:r>
        <w:rPr>
          <w:rFonts w:hint="eastAsia" w:cs="Arial"/>
          <w:szCs w:val="21"/>
        </w:rPr>
        <w:t>办理交货、参加工程验收、提供服务。</w:t>
      </w:r>
    </w:p>
    <w:p>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80" w:firstLineChars="200"/>
        <w:rPr>
          <w:rFonts w:cs="Arial"/>
          <w:szCs w:val="21"/>
        </w:rPr>
      </w:pPr>
    </w:p>
    <w:p>
      <w:pPr>
        <w:spacing w:line="360" w:lineRule="auto"/>
        <w:rPr>
          <w:rFonts w:cs="Arial"/>
          <w:szCs w:val="21"/>
        </w:rPr>
      </w:pPr>
    </w:p>
    <w:p>
      <w:pPr>
        <w:spacing w:line="360" w:lineRule="auto"/>
        <w:rPr>
          <w:rFonts w:cs="Arial"/>
          <w:szCs w:val="21"/>
        </w:rPr>
      </w:pPr>
    </w:p>
    <w:p>
      <w:pPr>
        <w:spacing w:line="360" w:lineRule="auto"/>
        <w:rPr>
          <w:rFonts w:cs="Arial"/>
          <w:szCs w:val="21"/>
        </w:rPr>
      </w:pPr>
    </w:p>
    <w:p>
      <w:pPr>
        <w:tabs>
          <w:tab w:val="left" w:pos="3780"/>
        </w:tabs>
        <w:spacing w:line="360" w:lineRule="auto"/>
        <w:jc w:val="right"/>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pPr>
        <w:spacing w:line="360" w:lineRule="auto"/>
        <w:ind w:left="4532"/>
        <w:rPr>
          <w:rFonts w:cs="Arial"/>
          <w:szCs w:val="21"/>
        </w:rPr>
      </w:pPr>
    </w:p>
    <w:p>
      <w:pPr>
        <w:spacing w:line="360" w:lineRule="auto"/>
        <w:jc w:val="right"/>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spacing w:line="360" w:lineRule="auto"/>
        <w:jc w:val="right"/>
        <w:rPr>
          <w:rFonts w:cs="Arial"/>
          <w:szCs w:val="21"/>
        </w:rPr>
      </w:pPr>
    </w:p>
    <w:p>
      <w:pPr>
        <w:spacing w:line="360" w:lineRule="auto"/>
        <w:jc w:val="right"/>
        <w:rPr>
          <w:szCs w:val="21"/>
        </w:rPr>
      </w:pPr>
    </w:p>
    <w:p>
      <w:pPr>
        <w:rPr>
          <w:szCs w:val="21"/>
        </w:rPr>
      </w:pPr>
    </w:p>
    <w:p>
      <w:pPr>
        <w:rPr>
          <w:szCs w:val="21"/>
        </w:rPr>
      </w:pPr>
    </w:p>
    <w:p>
      <w:pPr>
        <w:rPr>
          <w:rFonts w:hint="eastAsia" w:cs="Arial"/>
          <w:szCs w:val="21"/>
        </w:rPr>
      </w:pPr>
    </w:p>
    <w:p>
      <w:pPr>
        <w:spacing w:line="360" w:lineRule="auto"/>
        <w:jc w:val="center"/>
        <w:rPr>
          <w:b/>
        </w:rPr>
      </w:pPr>
      <w:r>
        <w:rPr>
          <w:rFonts w:hint="eastAsia"/>
          <w:b/>
        </w:rPr>
        <w:t>附件</w:t>
      </w:r>
      <w:r>
        <w:rPr>
          <w:b/>
        </w:rPr>
        <w:t>3</w:t>
      </w:r>
      <w:r>
        <w:rPr>
          <w:rFonts w:hint="eastAsia"/>
          <w:b/>
        </w:rPr>
        <w:t>、分项报价</w:t>
      </w:r>
    </w:p>
    <w:tbl>
      <w:tblPr>
        <w:tblStyle w:val="44"/>
        <w:tblW w:w="5000" w:type="pct"/>
        <w:tblInd w:w="0" w:type="dxa"/>
        <w:tblLayout w:type="autofit"/>
        <w:tblCellMar>
          <w:top w:w="0" w:type="dxa"/>
          <w:left w:w="108" w:type="dxa"/>
          <w:bottom w:w="0" w:type="dxa"/>
          <w:right w:w="108" w:type="dxa"/>
        </w:tblCellMar>
      </w:tblPr>
      <w:tblGrid>
        <w:gridCol w:w="417"/>
        <w:gridCol w:w="3016"/>
        <w:gridCol w:w="3082"/>
        <w:gridCol w:w="959"/>
        <w:gridCol w:w="1048"/>
      </w:tblGrid>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等线" w:hAnsi="等线" w:eastAsia="等线"/>
                <w:b/>
                <w:bCs/>
                <w:color w:val="000000"/>
                <w:sz w:val="28"/>
                <w:szCs w:val="28"/>
              </w:rPr>
            </w:pPr>
            <w:r>
              <w:rPr>
                <w:rFonts w:hint="eastAsia" w:ascii="等线" w:hAnsi="等线" w:eastAsia="等线"/>
                <w:b/>
                <w:bCs/>
                <w:color w:val="000000"/>
                <w:sz w:val="28"/>
                <w:szCs w:val="28"/>
              </w:rPr>
              <w:t>4.1.1医疗机构关键数据采集接口需求报价清单</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序号</w:t>
            </w:r>
          </w:p>
        </w:tc>
        <w:tc>
          <w:tcPr>
            <w:tcW w:w="103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产品名称</w:t>
            </w:r>
          </w:p>
        </w:tc>
        <w:tc>
          <w:tcPr>
            <w:tcW w:w="210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描述</w:t>
            </w:r>
          </w:p>
        </w:tc>
        <w:tc>
          <w:tcPr>
            <w:tcW w:w="795"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数量</w:t>
            </w:r>
          </w:p>
        </w:tc>
        <w:tc>
          <w:tcPr>
            <w:tcW w:w="869"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报价（￥）</w:t>
            </w:r>
          </w:p>
        </w:tc>
      </w:tr>
      <w:tr>
        <w:tblPrEx>
          <w:tblCellMar>
            <w:top w:w="0" w:type="dxa"/>
            <w:left w:w="108" w:type="dxa"/>
            <w:bottom w:w="0" w:type="dxa"/>
            <w:right w:w="108" w:type="dxa"/>
          </w:tblCellMar>
        </w:tblPrEx>
        <w:trPr>
          <w:trHeight w:val="66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1036" w:type="pct"/>
            <w:tcBorders>
              <w:top w:val="nil"/>
              <w:left w:val="nil"/>
              <w:bottom w:val="single" w:color="auto" w:sz="4" w:space="0"/>
              <w:right w:val="single" w:color="auto" w:sz="4" w:space="0"/>
            </w:tcBorders>
            <w:shd w:val="clear" w:color="000000" w:fill="FFFFFF"/>
            <w:noWrap/>
            <w:vAlign w:val="center"/>
          </w:tcPr>
          <w:p>
            <w:pPr>
              <w:rPr>
                <w:rFonts w:hint="eastAsia" w:ascii="微软雅黑" w:hAnsi="微软雅黑" w:eastAsia="微软雅黑"/>
                <w:sz w:val="20"/>
                <w:szCs w:val="20"/>
              </w:rPr>
            </w:pPr>
            <w:r>
              <w:rPr>
                <w:rFonts w:hint="eastAsia" w:ascii="微软雅黑" w:hAnsi="微软雅黑" w:eastAsia="微软雅黑"/>
                <w:sz w:val="20"/>
                <w:szCs w:val="20"/>
              </w:rPr>
              <w:t>数据日报接口</w:t>
            </w:r>
          </w:p>
        </w:tc>
        <w:tc>
          <w:tcPr>
            <w:tcW w:w="2106" w:type="pct"/>
            <w:tcBorders>
              <w:top w:val="nil"/>
              <w:left w:val="nil"/>
              <w:bottom w:val="single" w:color="auto" w:sz="4" w:space="0"/>
              <w:right w:val="single" w:color="auto" w:sz="4" w:space="0"/>
            </w:tcBorders>
            <w:shd w:val="clear" w:color="000000" w:fill="FFFFFF"/>
            <w:vAlign w:val="center"/>
          </w:tcPr>
          <w:p>
            <w:pPr>
              <w:rPr>
                <w:rFonts w:hint="eastAsia" w:ascii="微软雅黑" w:hAnsi="微软雅黑" w:eastAsia="微软雅黑"/>
                <w:sz w:val="20"/>
                <w:szCs w:val="20"/>
              </w:rPr>
            </w:pPr>
            <w:r>
              <w:rPr>
                <w:rFonts w:hint="eastAsia" w:ascii="微软雅黑" w:hAnsi="微软雅黑" w:eastAsia="微软雅黑"/>
                <w:sz w:val="20"/>
                <w:szCs w:val="20"/>
              </w:rPr>
              <w:t>医疗机构关键数据上传，频率为每小时上传当天的最新数据，7个指标项。</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　</w:t>
            </w:r>
          </w:p>
        </w:tc>
      </w:tr>
      <w:tr>
        <w:tblPrEx>
          <w:tblCellMar>
            <w:top w:w="0" w:type="dxa"/>
            <w:left w:w="108" w:type="dxa"/>
            <w:bottom w:w="0" w:type="dxa"/>
            <w:right w:w="108" w:type="dxa"/>
          </w:tblCellMar>
        </w:tblPrEx>
        <w:trPr>
          <w:trHeight w:val="66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2</w:t>
            </w:r>
          </w:p>
        </w:tc>
        <w:tc>
          <w:tcPr>
            <w:tcW w:w="1036" w:type="pct"/>
            <w:tcBorders>
              <w:top w:val="nil"/>
              <w:left w:val="nil"/>
              <w:bottom w:val="single" w:color="auto" w:sz="4" w:space="0"/>
              <w:right w:val="single" w:color="auto" w:sz="4" w:space="0"/>
            </w:tcBorders>
            <w:shd w:val="clear" w:color="000000" w:fill="FFFFFF"/>
            <w:noWrap/>
            <w:vAlign w:val="center"/>
          </w:tcPr>
          <w:p>
            <w:pPr>
              <w:rPr>
                <w:rFonts w:hint="eastAsia" w:ascii="微软雅黑" w:hAnsi="微软雅黑" w:eastAsia="微软雅黑"/>
                <w:sz w:val="20"/>
                <w:szCs w:val="20"/>
              </w:rPr>
            </w:pPr>
            <w:r>
              <w:rPr>
                <w:rFonts w:hint="eastAsia" w:ascii="微软雅黑" w:hAnsi="微软雅黑" w:eastAsia="微软雅黑"/>
                <w:sz w:val="20"/>
                <w:szCs w:val="20"/>
              </w:rPr>
              <w:t>医疗机构各科室就诊日报</w:t>
            </w:r>
          </w:p>
        </w:tc>
        <w:tc>
          <w:tcPr>
            <w:tcW w:w="2106" w:type="pct"/>
            <w:tcBorders>
              <w:top w:val="nil"/>
              <w:left w:val="nil"/>
              <w:bottom w:val="single" w:color="auto" w:sz="4" w:space="0"/>
              <w:right w:val="single" w:color="auto" w:sz="4" w:space="0"/>
            </w:tcBorders>
            <w:shd w:val="clear" w:color="000000" w:fill="FFFFFF"/>
            <w:vAlign w:val="center"/>
          </w:tcPr>
          <w:p>
            <w:pPr>
              <w:rPr>
                <w:rFonts w:hint="eastAsia" w:ascii="微软雅黑" w:hAnsi="微软雅黑" w:eastAsia="微软雅黑"/>
                <w:sz w:val="20"/>
                <w:szCs w:val="20"/>
              </w:rPr>
            </w:pPr>
            <w:r>
              <w:rPr>
                <w:rFonts w:hint="eastAsia" w:ascii="微软雅黑" w:hAnsi="微软雅黑" w:eastAsia="微软雅黑"/>
                <w:sz w:val="20"/>
                <w:szCs w:val="20"/>
              </w:rPr>
              <w:t>医疗机构关键数据上传，频率为每小时上传当天的最新数据，2个指标项。</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　</w:t>
            </w:r>
          </w:p>
        </w:tc>
      </w:tr>
      <w:tr>
        <w:tblPrEx>
          <w:tblCellMar>
            <w:top w:w="0" w:type="dxa"/>
            <w:left w:w="108" w:type="dxa"/>
            <w:bottom w:w="0" w:type="dxa"/>
            <w:right w:w="108" w:type="dxa"/>
          </w:tblCellMar>
        </w:tblPrEx>
        <w:trPr>
          <w:trHeight w:val="66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3</w:t>
            </w:r>
          </w:p>
        </w:tc>
        <w:tc>
          <w:tcPr>
            <w:tcW w:w="1036" w:type="pct"/>
            <w:tcBorders>
              <w:top w:val="nil"/>
              <w:left w:val="nil"/>
              <w:bottom w:val="single" w:color="auto" w:sz="4" w:space="0"/>
              <w:right w:val="single" w:color="auto" w:sz="4" w:space="0"/>
            </w:tcBorders>
            <w:shd w:val="clear" w:color="000000" w:fill="FFFFFF"/>
            <w:noWrap/>
            <w:vAlign w:val="center"/>
          </w:tcPr>
          <w:p>
            <w:pPr>
              <w:rPr>
                <w:rFonts w:hint="eastAsia" w:ascii="微软雅黑" w:hAnsi="微软雅黑" w:eastAsia="微软雅黑"/>
                <w:sz w:val="20"/>
                <w:szCs w:val="20"/>
              </w:rPr>
            </w:pPr>
            <w:r>
              <w:rPr>
                <w:rFonts w:hint="eastAsia" w:ascii="微软雅黑" w:hAnsi="微软雅黑" w:eastAsia="微软雅黑"/>
                <w:sz w:val="20"/>
                <w:szCs w:val="20"/>
              </w:rPr>
              <w:t>数据月报接口</w:t>
            </w:r>
          </w:p>
        </w:tc>
        <w:tc>
          <w:tcPr>
            <w:tcW w:w="2106" w:type="pct"/>
            <w:tcBorders>
              <w:top w:val="nil"/>
              <w:left w:val="nil"/>
              <w:bottom w:val="single" w:color="auto" w:sz="4" w:space="0"/>
              <w:right w:val="single" w:color="auto" w:sz="4" w:space="0"/>
            </w:tcBorders>
            <w:shd w:val="clear" w:color="000000" w:fill="FFFFFF"/>
            <w:vAlign w:val="center"/>
          </w:tcPr>
          <w:p>
            <w:pPr>
              <w:rPr>
                <w:rFonts w:hint="eastAsia" w:ascii="微软雅黑" w:hAnsi="微软雅黑" w:eastAsia="微软雅黑"/>
                <w:sz w:val="20"/>
                <w:szCs w:val="20"/>
              </w:rPr>
            </w:pPr>
            <w:r>
              <w:rPr>
                <w:rFonts w:hint="eastAsia" w:ascii="微软雅黑" w:hAnsi="微软雅黑" w:eastAsia="微软雅黑"/>
                <w:sz w:val="20"/>
                <w:szCs w:val="20"/>
              </w:rPr>
              <w:t>医疗机构关键数据上传，频率为每月3日上传前一个月的最新数据，13个指标项。</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　</w:t>
            </w:r>
          </w:p>
        </w:tc>
      </w:tr>
      <w:tr>
        <w:tblPrEx>
          <w:tblCellMar>
            <w:top w:w="0" w:type="dxa"/>
            <w:left w:w="108" w:type="dxa"/>
            <w:bottom w:w="0" w:type="dxa"/>
            <w:right w:w="108" w:type="dxa"/>
          </w:tblCellMar>
        </w:tblPrEx>
        <w:trPr>
          <w:trHeight w:val="66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4</w:t>
            </w:r>
          </w:p>
        </w:tc>
        <w:tc>
          <w:tcPr>
            <w:tcW w:w="1036" w:type="pct"/>
            <w:tcBorders>
              <w:top w:val="nil"/>
              <w:left w:val="nil"/>
              <w:bottom w:val="single" w:color="auto" w:sz="4" w:space="0"/>
              <w:right w:val="single" w:color="auto" w:sz="4" w:space="0"/>
            </w:tcBorders>
            <w:shd w:val="clear" w:color="000000" w:fill="FFFFFF"/>
            <w:noWrap/>
            <w:vAlign w:val="center"/>
          </w:tcPr>
          <w:p>
            <w:pPr>
              <w:rPr>
                <w:rFonts w:hint="eastAsia" w:ascii="微软雅黑" w:hAnsi="微软雅黑" w:eastAsia="微软雅黑"/>
                <w:sz w:val="20"/>
                <w:szCs w:val="20"/>
              </w:rPr>
            </w:pPr>
            <w:r>
              <w:rPr>
                <w:rFonts w:hint="eastAsia" w:ascii="微软雅黑" w:hAnsi="微软雅黑" w:eastAsia="微软雅黑"/>
                <w:sz w:val="20"/>
                <w:szCs w:val="20"/>
              </w:rPr>
              <w:t>数据加密</w:t>
            </w:r>
          </w:p>
        </w:tc>
        <w:tc>
          <w:tcPr>
            <w:tcW w:w="2106" w:type="pct"/>
            <w:tcBorders>
              <w:top w:val="nil"/>
              <w:left w:val="nil"/>
              <w:bottom w:val="single" w:color="auto" w:sz="4" w:space="0"/>
              <w:right w:val="single" w:color="auto" w:sz="4" w:space="0"/>
            </w:tcBorders>
            <w:shd w:val="clear" w:color="000000" w:fill="FFFFFF"/>
            <w:vAlign w:val="center"/>
          </w:tcPr>
          <w:p>
            <w:pPr>
              <w:rPr>
                <w:rFonts w:hint="eastAsia" w:ascii="微软雅黑" w:hAnsi="微软雅黑" w:eastAsia="微软雅黑"/>
                <w:sz w:val="20"/>
                <w:szCs w:val="20"/>
              </w:rPr>
            </w:pPr>
            <w:r>
              <w:rPr>
                <w:rFonts w:hint="eastAsia" w:ascii="微软雅黑" w:hAnsi="微软雅黑" w:eastAsia="微软雅黑"/>
                <w:sz w:val="20"/>
                <w:szCs w:val="20"/>
              </w:rPr>
              <w:t>获取SM4公钥钥匙，接口所有加密方式均使用SM4方式进行加密。</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5</w:t>
            </w:r>
          </w:p>
        </w:tc>
        <w:tc>
          <w:tcPr>
            <w:tcW w:w="1036" w:type="pct"/>
            <w:tcBorders>
              <w:top w:val="nil"/>
              <w:left w:val="nil"/>
              <w:bottom w:val="single" w:color="auto" w:sz="4" w:space="0"/>
              <w:right w:val="single" w:color="auto" w:sz="4" w:space="0"/>
            </w:tcBorders>
            <w:shd w:val="clear" w:color="000000" w:fill="FFFFFF"/>
            <w:noWrap/>
            <w:vAlign w:val="center"/>
          </w:tcPr>
          <w:p>
            <w:pPr>
              <w:rPr>
                <w:rFonts w:hint="eastAsia" w:ascii="微软雅黑" w:hAnsi="微软雅黑" w:eastAsia="微软雅黑"/>
                <w:sz w:val="20"/>
                <w:szCs w:val="20"/>
              </w:rPr>
            </w:pPr>
            <w:r>
              <w:rPr>
                <w:rFonts w:hint="eastAsia" w:ascii="微软雅黑" w:hAnsi="微软雅黑" w:eastAsia="微软雅黑"/>
                <w:sz w:val="20"/>
                <w:szCs w:val="20"/>
              </w:rPr>
              <w:t>上传日志表</w:t>
            </w:r>
          </w:p>
        </w:tc>
        <w:tc>
          <w:tcPr>
            <w:tcW w:w="2106" w:type="pct"/>
            <w:tcBorders>
              <w:top w:val="nil"/>
              <w:left w:val="nil"/>
              <w:bottom w:val="single" w:color="auto" w:sz="4" w:space="0"/>
              <w:right w:val="single" w:color="auto" w:sz="4" w:space="0"/>
            </w:tcBorders>
            <w:shd w:val="clear" w:color="000000" w:fill="FFFFFF"/>
            <w:vAlign w:val="center"/>
          </w:tcPr>
          <w:p>
            <w:pPr>
              <w:rPr>
                <w:rFonts w:hint="eastAsia" w:ascii="微软雅黑" w:hAnsi="微软雅黑" w:eastAsia="微软雅黑"/>
                <w:sz w:val="20"/>
                <w:szCs w:val="20"/>
              </w:rPr>
            </w:pPr>
            <w:r>
              <w:rPr>
                <w:rFonts w:hint="eastAsia" w:ascii="微软雅黑" w:hAnsi="微软雅黑" w:eastAsia="微软雅黑"/>
                <w:sz w:val="20"/>
                <w:szCs w:val="20"/>
              </w:rPr>
              <w:t>所有上传留存记录表，方便对账</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　</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color w:val="000000"/>
                <w:sz w:val="22"/>
                <w:szCs w:val="22"/>
              </w:rPr>
            </w:pPr>
            <w:r>
              <w:rPr>
                <w:rFonts w:hint="eastAsia" w:ascii="等线" w:hAnsi="等线" w:eastAsia="等线"/>
                <w:color w:val="000000"/>
                <w:sz w:val="22"/>
                <w:szCs w:val="22"/>
              </w:rPr>
              <w:t>总价：</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b/>
                <w:bCs/>
                <w:color w:val="000000"/>
                <w:sz w:val="28"/>
                <w:szCs w:val="28"/>
              </w:rPr>
            </w:pPr>
            <w:r>
              <w:rPr>
                <w:rFonts w:hint="eastAsia" w:ascii="等线" w:hAnsi="等线" w:eastAsia="等线"/>
                <w:b/>
                <w:bCs/>
                <w:color w:val="000000"/>
                <w:sz w:val="28"/>
                <w:szCs w:val="28"/>
              </w:rPr>
              <w:t>4.1.2医保药品追溯码接口需求报价清单</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序号</w:t>
            </w:r>
          </w:p>
        </w:tc>
        <w:tc>
          <w:tcPr>
            <w:tcW w:w="103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产品名称</w:t>
            </w:r>
          </w:p>
        </w:tc>
        <w:tc>
          <w:tcPr>
            <w:tcW w:w="210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描述</w:t>
            </w:r>
          </w:p>
        </w:tc>
        <w:tc>
          <w:tcPr>
            <w:tcW w:w="795"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数量</w:t>
            </w:r>
          </w:p>
        </w:tc>
        <w:tc>
          <w:tcPr>
            <w:tcW w:w="869"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报价（￥）</w:t>
            </w:r>
          </w:p>
        </w:tc>
      </w:tr>
      <w:tr>
        <w:tblPrEx>
          <w:tblCellMar>
            <w:top w:w="0" w:type="dxa"/>
            <w:left w:w="108" w:type="dxa"/>
            <w:bottom w:w="0" w:type="dxa"/>
            <w:right w:w="108" w:type="dxa"/>
          </w:tblCellMar>
        </w:tblPrEx>
        <w:trPr>
          <w:trHeight w:val="132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1036"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住院发药</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在住院发药界面，病区发药扣库存成功后，病区汇总单不拆零药品增加弹框录入追溯码信息的功能，并支持扫码操作。零散拆零药品增加追溯码预录入功能，录入之后在发药扣库存时自动匹配追溯码记录相应追溯码信息。</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66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2</w:t>
            </w:r>
          </w:p>
        </w:tc>
        <w:tc>
          <w:tcPr>
            <w:tcW w:w="1036"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住院退药</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在住院退药界面，患者在退药成功后，不拆零药品增加弹框录入追溯码信息的功能，并支持扫码操作。</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66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3</w:t>
            </w:r>
          </w:p>
        </w:tc>
        <w:tc>
          <w:tcPr>
            <w:tcW w:w="1036"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特定科室上传追溯码</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血透病区在销售上传时，同时处理药库退库、本院入库接口、本院销售上传处理、可以指定医院医保代码</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66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4</w:t>
            </w:r>
          </w:p>
        </w:tc>
        <w:tc>
          <w:tcPr>
            <w:tcW w:w="1036"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互联网医院配发药</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零散拆零药品增加追溯码预录入功能，录入之后在发药扣库存时自动匹配追溯码记录相应追溯码信息、以及结算信息上传</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99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5</w:t>
            </w:r>
          </w:p>
        </w:tc>
        <w:tc>
          <w:tcPr>
            <w:tcW w:w="1036"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门诊拆零药品的预录入功能</w:t>
            </w:r>
          </w:p>
        </w:tc>
        <w:tc>
          <w:tcPr>
            <w:tcW w:w="2106" w:type="pct"/>
            <w:tcBorders>
              <w:top w:val="nil"/>
              <w:left w:val="nil"/>
              <w:bottom w:val="single" w:color="auto" w:sz="4" w:space="0"/>
              <w:right w:val="single" w:color="auto" w:sz="4" w:space="0"/>
            </w:tcBorders>
            <w:shd w:val="clear" w:color="000000" w:fill="FFFFFF"/>
            <w:vAlign w:val="center"/>
          </w:tcPr>
          <w:p>
            <w:pPr>
              <w:rPr>
                <w:rFonts w:hint="eastAsia" w:ascii="微软雅黑" w:hAnsi="微软雅黑" w:eastAsia="微软雅黑"/>
                <w:sz w:val="20"/>
                <w:szCs w:val="20"/>
              </w:rPr>
            </w:pPr>
            <w:r>
              <w:rPr>
                <w:rFonts w:hint="eastAsia" w:ascii="微软雅黑" w:hAnsi="微软雅黑" w:eastAsia="微软雅黑"/>
                <w:sz w:val="20"/>
                <w:szCs w:val="20"/>
              </w:rPr>
              <w:t>在门诊发药界面，发药扣库存成功后，汇总单不拆零药品增加弹框录入追溯码信息的功能，并支持扫码操作。零散拆零药品增加追溯码预录入功能，录入之后在发药扣库存时自动匹配追溯码记录相应追溯码信息。</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6</w:t>
            </w:r>
          </w:p>
        </w:tc>
        <w:tc>
          <w:tcPr>
            <w:tcW w:w="1036" w:type="pct"/>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其他系统基数药追溯码接口</w:t>
            </w:r>
          </w:p>
        </w:tc>
        <w:tc>
          <w:tcPr>
            <w:tcW w:w="2106" w:type="pct"/>
            <w:tcBorders>
              <w:top w:val="nil"/>
              <w:left w:val="nil"/>
              <w:bottom w:val="single" w:color="auto" w:sz="4" w:space="0"/>
              <w:right w:val="single" w:color="auto" w:sz="4" w:space="0"/>
            </w:tcBorders>
            <w:shd w:val="clear" w:color="000000" w:fill="FFFFFF"/>
            <w:vAlign w:val="center"/>
          </w:tcPr>
          <w:p>
            <w:pPr>
              <w:rPr>
                <w:rFonts w:hint="eastAsia" w:ascii="微软雅黑" w:hAnsi="微软雅黑" w:eastAsia="微软雅黑"/>
                <w:sz w:val="20"/>
                <w:szCs w:val="20"/>
              </w:rPr>
            </w:pPr>
            <w:r>
              <w:rPr>
                <w:rFonts w:hint="eastAsia" w:ascii="微软雅黑" w:hAnsi="微软雅黑" w:eastAsia="微软雅黑"/>
                <w:sz w:val="20"/>
                <w:szCs w:val="20"/>
              </w:rPr>
              <w:t>根据实际需求改造</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color w:val="000000"/>
                <w:sz w:val="22"/>
                <w:szCs w:val="22"/>
              </w:rPr>
            </w:pPr>
            <w:r>
              <w:rPr>
                <w:rFonts w:hint="eastAsia" w:ascii="等线" w:hAnsi="等线" w:eastAsia="等线"/>
                <w:color w:val="000000"/>
                <w:sz w:val="22"/>
                <w:szCs w:val="22"/>
              </w:rPr>
              <w:t>总价：</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b/>
                <w:bCs/>
                <w:color w:val="000000"/>
                <w:sz w:val="28"/>
                <w:szCs w:val="28"/>
              </w:rPr>
            </w:pPr>
            <w:r>
              <w:rPr>
                <w:rFonts w:hint="eastAsia" w:ascii="等线" w:hAnsi="等线" w:eastAsia="等线"/>
                <w:b/>
                <w:bCs/>
                <w:color w:val="000000"/>
                <w:sz w:val="28"/>
                <w:szCs w:val="28"/>
              </w:rPr>
              <w:t>4.13医保调价需求报价清单</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序号</w:t>
            </w:r>
          </w:p>
        </w:tc>
        <w:tc>
          <w:tcPr>
            <w:tcW w:w="103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产品名称</w:t>
            </w:r>
          </w:p>
        </w:tc>
        <w:tc>
          <w:tcPr>
            <w:tcW w:w="210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描述</w:t>
            </w:r>
          </w:p>
        </w:tc>
        <w:tc>
          <w:tcPr>
            <w:tcW w:w="795"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数量</w:t>
            </w:r>
          </w:p>
        </w:tc>
        <w:tc>
          <w:tcPr>
            <w:tcW w:w="869"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报价（￥）</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医保</w:t>
            </w:r>
          </w:p>
        </w:tc>
        <w:tc>
          <w:tcPr>
            <w:tcW w:w="210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护理级别费用、儿童加收调整</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 xml:space="preserve">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2</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医保</w:t>
            </w:r>
          </w:p>
        </w:tc>
        <w:tc>
          <w:tcPr>
            <w:tcW w:w="210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检查项目费用重复计算调整</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 xml:space="preserve">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3</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医保</w:t>
            </w:r>
          </w:p>
        </w:tc>
        <w:tc>
          <w:tcPr>
            <w:tcW w:w="210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住院门诊会诊费根据医生职称带出对应的费用</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 xml:space="preserve">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4</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医保</w:t>
            </w:r>
          </w:p>
        </w:tc>
        <w:tc>
          <w:tcPr>
            <w:tcW w:w="210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后续医保及收费项目调整</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 xml:space="preserve"> </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color w:val="000000"/>
                <w:sz w:val="22"/>
                <w:szCs w:val="22"/>
              </w:rPr>
            </w:pPr>
            <w:r>
              <w:rPr>
                <w:rFonts w:hint="eastAsia" w:ascii="等线" w:hAnsi="等线" w:eastAsia="等线"/>
                <w:color w:val="000000"/>
                <w:sz w:val="22"/>
                <w:szCs w:val="22"/>
              </w:rPr>
              <w:t>总价：</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b/>
                <w:bCs/>
                <w:color w:val="000000"/>
                <w:sz w:val="28"/>
                <w:szCs w:val="28"/>
              </w:rPr>
            </w:pPr>
            <w:r>
              <w:rPr>
                <w:rFonts w:hint="eastAsia" w:ascii="等线" w:hAnsi="等线" w:eastAsia="等线"/>
                <w:b/>
                <w:bCs/>
                <w:color w:val="000000"/>
                <w:sz w:val="28"/>
                <w:szCs w:val="28"/>
              </w:rPr>
              <w:t>4.14DIP需求报价清单</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序号</w:t>
            </w:r>
          </w:p>
        </w:tc>
        <w:tc>
          <w:tcPr>
            <w:tcW w:w="103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产品名称</w:t>
            </w:r>
          </w:p>
        </w:tc>
        <w:tc>
          <w:tcPr>
            <w:tcW w:w="210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描述</w:t>
            </w:r>
          </w:p>
        </w:tc>
        <w:tc>
          <w:tcPr>
            <w:tcW w:w="795"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数量</w:t>
            </w:r>
          </w:p>
        </w:tc>
        <w:tc>
          <w:tcPr>
            <w:tcW w:w="869"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报价（￥）</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门诊医生工作站-智审接口</w:t>
            </w:r>
          </w:p>
        </w:tc>
        <w:tc>
          <w:tcPr>
            <w:tcW w:w="210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开具处方、诊断调用智能监控服务上传费用数据信息</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0"/>
                <w:szCs w:val="20"/>
              </w:rPr>
            </w:pPr>
            <w:r>
              <w:rPr>
                <w:rFonts w:hint="eastAsia" w:ascii="等线" w:hAnsi="等线" w:eastAsia="等线"/>
                <w:color w:val="000000"/>
                <w:sz w:val="20"/>
                <w:szCs w:val="20"/>
              </w:rPr>
              <w:t>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2</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住院医生工作站-智审接口</w:t>
            </w:r>
          </w:p>
        </w:tc>
        <w:tc>
          <w:tcPr>
            <w:tcW w:w="210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开具医嘱、诊断调用智能监控服务上传费用数据信息</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0"/>
                <w:szCs w:val="20"/>
              </w:rPr>
            </w:pPr>
            <w:r>
              <w:rPr>
                <w:rFonts w:hint="eastAsia" w:ascii="等线" w:hAnsi="等线" w:eastAsia="等线"/>
                <w:color w:val="000000"/>
                <w:sz w:val="20"/>
                <w:szCs w:val="20"/>
              </w:rPr>
              <w:t>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3</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病案管理系统-DIP接口</w:t>
            </w:r>
          </w:p>
        </w:tc>
        <w:tc>
          <w:tcPr>
            <w:tcW w:w="210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首页提交调用智能监控</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0"/>
                <w:szCs w:val="20"/>
              </w:rPr>
            </w:pPr>
            <w:r>
              <w:rPr>
                <w:rFonts w:hint="eastAsia" w:ascii="等线" w:hAnsi="等线" w:eastAsia="等线"/>
                <w:color w:val="000000"/>
                <w:sz w:val="20"/>
                <w:szCs w:val="20"/>
              </w:rPr>
              <w:t>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4</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基础视图对接-接口</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职工，科室，出入院，转科，费用明细，检查，检验，诊断等</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0"/>
                <w:szCs w:val="20"/>
              </w:rPr>
            </w:pPr>
            <w:r>
              <w:rPr>
                <w:rFonts w:hint="eastAsia" w:ascii="等线" w:hAnsi="等线" w:eastAsia="等线"/>
                <w:color w:val="000000"/>
                <w:sz w:val="20"/>
                <w:szCs w:val="20"/>
              </w:rPr>
              <w:t>　</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color w:val="000000"/>
                <w:sz w:val="22"/>
                <w:szCs w:val="22"/>
              </w:rPr>
            </w:pPr>
            <w:r>
              <w:rPr>
                <w:rFonts w:hint="eastAsia" w:ascii="等线" w:hAnsi="等线" w:eastAsia="等线"/>
                <w:color w:val="000000"/>
                <w:sz w:val="22"/>
                <w:szCs w:val="22"/>
              </w:rPr>
              <w:t>总价：</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b/>
                <w:bCs/>
                <w:color w:val="000000"/>
                <w:sz w:val="28"/>
                <w:szCs w:val="28"/>
              </w:rPr>
            </w:pPr>
            <w:r>
              <w:rPr>
                <w:rFonts w:hint="eastAsia" w:ascii="等线" w:hAnsi="等线" w:eastAsia="等线"/>
                <w:b/>
                <w:bCs/>
                <w:color w:val="000000"/>
                <w:sz w:val="28"/>
                <w:szCs w:val="28"/>
              </w:rPr>
              <w:t>4.15瑞铭病案对接需求配置报价清单</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序号</w:t>
            </w:r>
          </w:p>
        </w:tc>
        <w:tc>
          <w:tcPr>
            <w:tcW w:w="103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产品名称</w:t>
            </w:r>
          </w:p>
        </w:tc>
        <w:tc>
          <w:tcPr>
            <w:tcW w:w="210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描述</w:t>
            </w:r>
          </w:p>
        </w:tc>
        <w:tc>
          <w:tcPr>
            <w:tcW w:w="795"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数量</w:t>
            </w:r>
          </w:p>
        </w:tc>
        <w:tc>
          <w:tcPr>
            <w:tcW w:w="869"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报价（￥）</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基础视图对接</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职工，科室，出入院，转科，费用明细，首页状态视图</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2</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病案数据状态变更接口</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提供给病案系统病案回退的功能接口</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3</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消息系统对接</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提供给病案系统病案发送消息到临床的接口</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4</w:t>
            </w:r>
          </w:p>
        </w:tc>
        <w:tc>
          <w:tcPr>
            <w:tcW w:w="1036" w:type="pct"/>
            <w:tcBorders>
              <w:top w:val="nil"/>
              <w:left w:val="nil"/>
              <w:bottom w:val="single" w:color="auto" w:sz="4" w:space="0"/>
              <w:right w:val="single" w:color="auto" w:sz="4" w:space="0"/>
            </w:tcBorders>
            <w:shd w:val="clear" w:color="000000" w:fill="FFFFFF"/>
            <w:noWrap/>
            <w:vAlign w:val="center"/>
          </w:tcPr>
          <w:p>
            <w:pPr>
              <w:rPr>
                <w:rFonts w:hint="eastAsia" w:ascii="微软雅黑" w:hAnsi="微软雅黑" w:eastAsia="微软雅黑"/>
                <w:sz w:val="20"/>
                <w:szCs w:val="20"/>
              </w:rPr>
            </w:pPr>
            <w:r>
              <w:rPr>
                <w:rFonts w:hint="eastAsia" w:ascii="微软雅黑" w:hAnsi="微软雅黑" w:eastAsia="微软雅黑"/>
                <w:sz w:val="20"/>
                <w:szCs w:val="20"/>
              </w:rPr>
              <w:t>质控接口对接</w:t>
            </w:r>
          </w:p>
        </w:tc>
        <w:tc>
          <w:tcPr>
            <w:tcW w:w="2106" w:type="pct"/>
            <w:tcBorders>
              <w:top w:val="nil"/>
              <w:left w:val="nil"/>
              <w:bottom w:val="single" w:color="auto" w:sz="4" w:space="0"/>
              <w:right w:val="single" w:color="auto" w:sz="4" w:space="0"/>
            </w:tcBorders>
            <w:shd w:val="clear" w:color="000000" w:fill="FFFFFF"/>
            <w:vAlign w:val="center"/>
          </w:tcPr>
          <w:p>
            <w:pPr>
              <w:rPr>
                <w:rFonts w:hint="eastAsia" w:ascii="微软雅黑" w:hAnsi="微软雅黑" w:eastAsia="微软雅黑"/>
                <w:sz w:val="20"/>
                <w:szCs w:val="20"/>
              </w:rPr>
            </w:pPr>
            <w:r>
              <w:rPr>
                <w:rFonts w:hint="eastAsia" w:ascii="微软雅黑" w:hAnsi="微软雅黑" w:eastAsia="微软雅黑"/>
                <w:sz w:val="20"/>
                <w:szCs w:val="20"/>
              </w:rPr>
              <w:t>调用病案质控接口，并根据质控返回做出相应限制，禁止，警告，通过</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5</w:t>
            </w:r>
          </w:p>
        </w:tc>
        <w:tc>
          <w:tcPr>
            <w:tcW w:w="1036" w:type="pct"/>
            <w:tcBorders>
              <w:top w:val="nil"/>
              <w:left w:val="nil"/>
              <w:bottom w:val="single" w:color="auto" w:sz="4" w:space="0"/>
              <w:right w:val="single" w:color="auto" w:sz="4" w:space="0"/>
            </w:tcBorders>
            <w:shd w:val="clear" w:color="000000" w:fill="FFFFFF"/>
            <w:noWrap/>
            <w:vAlign w:val="center"/>
          </w:tcPr>
          <w:p>
            <w:pPr>
              <w:rPr>
                <w:rFonts w:hint="eastAsia" w:ascii="微软雅黑" w:hAnsi="微软雅黑" w:eastAsia="微软雅黑"/>
                <w:sz w:val="20"/>
                <w:szCs w:val="20"/>
              </w:rPr>
            </w:pPr>
            <w:r>
              <w:rPr>
                <w:rFonts w:hint="eastAsia" w:ascii="微软雅黑" w:hAnsi="微软雅黑" w:eastAsia="微软雅黑"/>
                <w:sz w:val="20"/>
                <w:szCs w:val="20"/>
              </w:rPr>
              <w:t>质控页面对接</w:t>
            </w:r>
          </w:p>
        </w:tc>
        <w:tc>
          <w:tcPr>
            <w:tcW w:w="2106" w:type="pct"/>
            <w:tcBorders>
              <w:top w:val="nil"/>
              <w:left w:val="nil"/>
              <w:bottom w:val="single" w:color="auto" w:sz="4" w:space="0"/>
              <w:right w:val="single" w:color="auto" w:sz="4" w:space="0"/>
            </w:tcBorders>
            <w:shd w:val="clear" w:color="000000" w:fill="FFFFFF"/>
            <w:vAlign w:val="center"/>
          </w:tcPr>
          <w:p>
            <w:pPr>
              <w:rPr>
                <w:rFonts w:hint="eastAsia" w:ascii="微软雅黑" w:hAnsi="微软雅黑" w:eastAsia="微软雅黑"/>
                <w:sz w:val="20"/>
                <w:szCs w:val="20"/>
              </w:rPr>
            </w:pPr>
            <w:r>
              <w:rPr>
                <w:rFonts w:hint="eastAsia" w:ascii="微软雅黑" w:hAnsi="微软雅黑" w:eastAsia="微软雅黑"/>
                <w:sz w:val="20"/>
                <w:szCs w:val="20"/>
              </w:rPr>
              <w:t>包含审批流程界面对接，质控返回界面对接</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color w:val="000000"/>
                <w:sz w:val="22"/>
                <w:szCs w:val="22"/>
              </w:rPr>
            </w:pPr>
            <w:r>
              <w:rPr>
                <w:rFonts w:hint="eastAsia" w:ascii="等线" w:hAnsi="等线" w:eastAsia="等线"/>
                <w:color w:val="000000"/>
                <w:sz w:val="22"/>
                <w:szCs w:val="22"/>
              </w:rPr>
              <w:t>总价：</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等线" w:hAnsi="等线" w:eastAsia="等线"/>
                <w:b/>
                <w:bCs/>
                <w:color w:val="000000"/>
                <w:sz w:val="28"/>
                <w:szCs w:val="28"/>
              </w:rPr>
            </w:pPr>
            <w:r>
              <w:rPr>
                <w:rFonts w:hint="eastAsia" w:ascii="等线" w:hAnsi="等线" w:eastAsia="等线"/>
                <w:b/>
                <w:bCs/>
                <w:color w:val="000000"/>
                <w:sz w:val="28"/>
                <w:szCs w:val="28"/>
              </w:rPr>
              <w:t>4.2诊断，病案首页模块需求配置报价清单</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序号</w:t>
            </w:r>
          </w:p>
        </w:tc>
        <w:tc>
          <w:tcPr>
            <w:tcW w:w="103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产品名称</w:t>
            </w:r>
          </w:p>
        </w:tc>
        <w:tc>
          <w:tcPr>
            <w:tcW w:w="210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描述</w:t>
            </w:r>
          </w:p>
        </w:tc>
        <w:tc>
          <w:tcPr>
            <w:tcW w:w="795"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数量</w:t>
            </w:r>
          </w:p>
        </w:tc>
        <w:tc>
          <w:tcPr>
            <w:tcW w:w="869"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报价（￥）</w:t>
            </w:r>
          </w:p>
        </w:tc>
      </w:tr>
      <w:tr>
        <w:tblPrEx>
          <w:tblCellMar>
            <w:top w:w="0" w:type="dxa"/>
            <w:left w:w="108" w:type="dxa"/>
            <w:bottom w:w="0" w:type="dxa"/>
            <w:right w:w="108" w:type="dxa"/>
          </w:tblCellMar>
        </w:tblPrEx>
        <w:trPr>
          <w:trHeight w:val="66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诊断模块、病案首页模块</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1、住院医生工作站诊断功能模块优化；2、首页填写页面优化和首页校验规则维护3、手术操作列表优化</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198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2</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EMR病历文书目录及模板管理功能</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 xml:space="preserve">1、改造文书目录架构，增加子目录、分类功能；          </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 xml:space="preserve">2、设置院级基础模板、全院共享模板、科室模板； </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 xml:space="preserve">3、结构化模板要素的维护，支持同身份的模板批量维护更新                                                                        </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 xml:space="preserve">4、每一种模板设置身份标识，衍生的子模板、按身份标识归类。                                                                </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5、科级模板增加目录结构，按科存放，科室夹内按名称按医生存放，支持子目录</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198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3</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病案质控系统功能维护</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1、病历质控数据统计表优化；</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2、病历评分标准维护；</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3、各功能模块查询功能优化；（终末、运行、核心制度），解决数据不准确，功能设计不合理的问题；</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 xml:space="preserve">4、 病历文书完成时限监测    </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5、科室目录优化</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99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4</w:t>
            </w:r>
          </w:p>
        </w:tc>
        <w:tc>
          <w:tcPr>
            <w:tcW w:w="1036" w:type="pct"/>
            <w:tcBorders>
              <w:top w:val="nil"/>
              <w:left w:val="nil"/>
              <w:bottom w:val="single" w:color="auto" w:sz="4" w:space="0"/>
              <w:right w:val="single" w:color="auto" w:sz="4" w:space="0"/>
            </w:tcBorders>
            <w:shd w:val="clear" w:color="000000" w:fill="FFFFFF"/>
            <w:noWrap/>
            <w:vAlign w:val="center"/>
          </w:tcPr>
          <w:p>
            <w:pPr>
              <w:rPr>
                <w:rFonts w:hint="eastAsia" w:ascii="微软雅黑" w:hAnsi="微软雅黑" w:eastAsia="微软雅黑"/>
                <w:sz w:val="20"/>
                <w:szCs w:val="20"/>
              </w:rPr>
            </w:pPr>
            <w:r>
              <w:rPr>
                <w:rFonts w:hint="eastAsia" w:ascii="微软雅黑" w:hAnsi="微软雅黑" w:eastAsia="微软雅黑"/>
                <w:sz w:val="20"/>
                <w:szCs w:val="20"/>
              </w:rPr>
              <w:t>会诊模块的优化改造</w:t>
            </w:r>
          </w:p>
        </w:tc>
        <w:tc>
          <w:tcPr>
            <w:tcW w:w="2106" w:type="pct"/>
            <w:tcBorders>
              <w:top w:val="nil"/>
              <w:left w:val="nil"/>
              <w:bottom w:val="single" w:color="auto" w:sz="4" w:space="0"/>
              <w:right w:val="single" w:color="auto" w:sz="4" w:space="0"/>
            </w:tcBorders>
            <w:shd w:val="clear" w:color="000000" w:fill="FFFFFF"/>
            <w:vAlign w:val="center"/>
          </w:tcPr>
          <w:p>
            <w:pPr>
              <w:rPr>
                <w:rFonts w:hint="eastAsia" w:ascii="微软雅黑" w:hAnsi="微软雅黑" w:eastAsia="微软雅黑"/>
                <w:sz w:val="20"/>
                <w:szCs w:val="20"/>
              </w:rPr>
            </w:pPr>
            <w:r>
              <w:rPr>
                <w:rFonts w:hint="eastAsia" w:ascii="微软雅黑" w:hAnsi="微软雅黑" w:eastAsia="微软雅黑"/>
                <w:sz w:val="20"/>
                <w:szCs w:val="20"/>
              </w:rPr>
              <w:t>1、会诊申请功能优化；</w:t>
            </w:r>
            <w:r>
              <w:rPr>
                <w:rFonts w:hint="eastAsia" w:ascii="微软雅黑" w:hAnsi="微软雅黑" w:eastAsia="微软雅黑"/>
                <w:sz w:val="20"/>
                <w:szCs w:val="20"/>
              </w:rPr>
              <w:br w:type="textWrapping"/>
            </w:r>
            <w:r>
              <w:rPr>
                <w:rFonts w:hint="eastAsia" w:ascii="微软雅黑" w:hAnsi="微软雅黑" w:eastAsia="微软雅黑"/>
                <w:sz w:val="20"/>
                <w:szCs w:val="20"/>
              </w:rPr>
              <w:t>2、增加多学科会诊模块，能生成多学科会诊记录；</w:t>
            </w:r>
            <w:r>
              <w:rPr>
                <w:rFonts w:hint="eastAsia" w:ascii="微软雅黑" w:hAnsi="微软雅黑" w:eastAsia="微软雅黑"/>
                <w:sz w:val="20"/>
                <w:szCs w:val="20"/>
              </w:rPr>
              <w:br w:type="textWrapping"/>
            </w:r>
            <w:r>
              <w:rPr>
                <w:rFonts w:hint="eastAsia" w:ascii="微软雅黑" w:hAnsi="微软雅黑" w:eastAsia="微软雅黑"/>
                <w:sz w:val="20"/>
                <w:szCs w:val="20"/>
              </w:rPr>
              <w:t>3、支持分院区、多院区间会诊业务</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color w:val="000000"/>
                <w:sz w:val="20"/>
                <w:szCs w:val="20"/>
              </w:rPr>
            </w:pPr>
            <w:r>
              <w:rPr>
                <w:rFonts w:hint="eastAsia" w:ascii="等线" w:hAnsi="等线" w:eastAsia="等线"/>
                <w:color w:val="000000"/>
                <w:sz w:val="20"/>
                <w:szCs w:val="20"/>
              </w:rPr>
              <w:t>总价：</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等线" w:hAnsi="等线" w:eastAsia="等线"/>
                <w:b/>
                <w:bCs/>
                <w:color w:val="000000"/>
                <w:sz w:val="28"/>
                <w:szCs w:val="28"/>
              </w:rPr>
            </w:pPr>
            <w:r>
              <w:rPr>
                <w:rFonts w:hint="eastAsia" w:ascii="等线" w:hAnsi="等线" w:eastAsia="等线"/>
                <w:b/>
                <w:bCs/>
                <w:color w:val="000000"/>
                <w:sz w:val="28"/>
                <w:szCs w:val="28"/>
              </w:rPr>
              <w:t>4.3药房治疗系统、线上服务模块需求配置报价清单</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序号</w:t>
            </w:r>
          </w:p>
        </w:tc>
        <w:tc>
          <w:tcPr>
            <w:tcW w:w="103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产品名称</w:t>
            </w:r>
          </w:p>
        </w:tc>
        <w:tc>
          <w:tcPr>
            <w:tcW w:w="210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描述</w:t>
            </w:r>
          </w:p>
        </w:tc>
        <w:tc>
          <w:tcPr>
            <w:tcW w:w="795"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数量</w:t>
            </w:r>
          </w:p>
        </w:tc>
        <w:tc>
          <w:tcPr>
            <w:tcW w:w="869"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报价（￥）</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自助机接口</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药房发药报到系统内嵌或对接到自助机</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66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2</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互联网发药</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优化互联网医院患者发起退药，更改取药方式，药房配发药全流程标志的互动对接</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66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3</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电子凭证及健康码</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医生工作站，药方系统，治疗系统等系统全流程支持医保电子凭证和电子健康码（2.0）的使用</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4</w:t>
            </w:r>
          </w:p>
        </w:tc>
        <w:tc>
          <w:tcPr>
            <w:tcW w:w="1036" w:type="pct"/>
            <w:tcBorders>
              <w:top w:val="nil"/>
              <w:left w:val="nil"/>
              <w:bottom w:val="single" w:color="auto" w:sz="4" w:space="0"/>
              <w:right w:val="single" w:color="auto" w:sz="4" w:space="0"/>
            </w:tcBorders>
            <w:shd w:val="clear" w:color="000000" w:fill="FFFFFF"/>
            <w:noWrap/>
            <w:vAlign w:val="center"/>
          </w:tcPr>
          <w:p>
            <w:pPr>
              <w:rPr>
                <w:rFonts w:hint="eastAsia" w:ascii="微软雅黑" w:hAnsi="微软雅黑" w:eastAsia="微软雅黑"/>
                <w:sz w:val="20"/>
                <w:szCs w:val="20"/>
              </w:rPr>
            </w:pPr>
            <w:r>
              <w:rPr>
                <w:rFonts w:hint="eastAsia" w:ascii="微软雅黑" w:hAnsi="微软雅黑" w:eastAsia="微软雅黑"/>
                <w:sz w:val="20"/>
                <w:szCs w:val="20"/>
              </w:rPr>
              <w:t>互联网医院线上线下一体化</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互联网医院线上线下病历处方等数据同步</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color w:val="000000"/>
                <w:sz w:val="20"/>
                <w:szCs w:val="20"/>
              </w:rPr>
            </w:pPr>
            <w:r>
              <w:rPr>
                <w:rFonts w:hint="eastAsia" w:ascii="等线" w:hAnsi="等线" w:eastAsia="等线"/>
                <w:color w:val="000000"/>
                <w:sz w:val="20"/>
                <w:szCs w:val="20"/>
              </w:rPr>
              <w:t>总价：</w:t>
            </w:r>
          </w:p>
        </w:tc>
      </w:tr>
      <w:tr>
        <w:tblPrEx>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b/>
                <w:bCs/>
                <w:color w:val="000000"/>
                <w:sz w:val="28"/>
                <w:szCs w:val="28"/>
              </w:rPr>
            </w:pPr>
            <w:r>
              <w:rPr>
                <w:rFonts w:hint="eastAsia" w:ascii="等线" w:hAnsi="等线" w:eastAsia="等线"/>
                <w:b/>
                <w:bCs/>
                <w:color w:val="000000"/>
                <w:sz w:val="28"/>
                <w:szCs w:val="28"/>
              </w:rPr>
              <w:t>4.4门诊少纸化需求配置报价清单</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序号</w:t>
            </w:r>
          </w:p>
        </w:tc>
        <w:tc>
          <w:tcPr>
            <w:tcW w:w="103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产品名称</w:t>
            </w:r>
          </w:p>
        </w:tc>
        <w:tc>
          <w:tcPr>
            <w:tcW w:w="2106"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描述</w:t>
            </w:r>
          </w:p>
        </w:tc>
        <w:tc>
          <w:tcPr>
            <w:tcW w:w="795"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数量</w:t>
            </w:r>
          </w:p>
        </w:tc>
        <w:tc>
          <w:tcPr>
            <w:tcW w:w="869" w:type="pct"/>
            <w:tcBorders>
              <w:top w:val="nil"/>
              <w:left w:val="nil"/>
              <w:bottom w:val="single" w:color="auto" w:sz="4" w:space="0"/>
              <w:right w:val="single" w:color="auto" w:sz="4" w:space="0"/>
            </w:tcBorders>
            <w:shd w:val="clear" w:color="000000" w:fill="8DC553"/>
            <w:vAlign w:val="center"/>
          </w:tcPr>
          <w:p>
            <w:pPr>
              <w:jc w:val="center"/>
              <w:rPr>
                <w:rFonts w:hint="eastAsia" w:ascii="微软雅黑" w:hAnsi="微软雅黑" w:eastAsia="微软雅黑"/>
                <w:b/>
                <w:bCs/>
                <w:color w:val="000000"/>
                <w:sz w:val="20"/>
                <w:szCs w:val="20"/>
              </w:rPr>
            </w:pPr>
            <w:r>
              <w:rPr>
                <w:rFonts w:hint="eastAsia" w:ascii="微软雅黑" w:hAnsi="微软雅黑" w:eastAsia="微软雅黑"/>
                <w:b/>
                <w:bCs/>
                <w:color w:val="000000"/>
                <w:sz w:val="20"/>
                <w:szCs w:val="20"/>
              </w:rPr>
              <w:t>报价（￥）</w:t>
            </w:r>
          </w:p>
        </w:tc>
      </w:tr>
      <w:tr>
        <w:tblPrEx>
          <w:tblCellMar>
            <w:top w:w="0" w:type="dxa"/>
            <w:left w:w="108" w:type="dxa"/>
            <w:bottom w:w="0" w:type="dxa"/>
            <w:right w:w="108" w:type="dxa"/>
          </w:tblCellMar>
        </w:tblPrEx>
        <w:trPr>
          <w:trHeight w:val="66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导诊单内容优化及相关接口推送</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处方、检查检验、治疗、中药等导诊单内容优化及调整、打印默认勾选、取药地点等，外配处方相关接口推送等</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0"/>
                <w:szCs w:val="20"/>
              </w:rPr>
            </w:pPr>
            <w:r>
              <w:rPr>
                <w:rFonts w:hint="eastAsia" w:ascii="等线" w:hAnsi="等线" w:eastAsia="等线"/>
                <w:color w:val="000000"/>
                <w:sz w:val="20"/>
                <w:szCs w:val="20"/>
              </w:rPr>
              <w:t>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2</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门诊配发药系统无纸化改造</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药房处方配发药改造、中药报到等</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0"/>
                <w:szCs w:val="20"/>
              </w:rPr>
            </w:pPr>
            <w:r>
              <w:rPr>
                <w:rFonts w:hint="eastAsia" w:ascii="等线" w:hAnsi="等线" w:eastAsia="等线"/>
                <w:color w:val="000000"/>
                <w:sz w:val="20"/>
                <w:szCs w:val="20"/>
              </w:rPr>
              <w:t>　</w:t>
            </w:r>
          </w:p>
        </w:tc>
      </w:tr>
      <w:tr>
        <w:tblPrEx>
          <w:tblCellMar>
            <w:top w:w="0" w:type="dxa"/>
            <w:left w:w="108" w:type="dxa"/>
            <w:bottom w:w="0" w:type="dxa"/>
            <w:right w:w="108" w:type="dxa"/>
          </w:tblCellMar>
        </w:tblPrEx>
        <w:trPr>
          <w:trHeight w:val="66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3</w:t>
            </w:r>
          </w:p>
        </w:tc>
        <w:tc>
          <w:tcPr>
            <w:tcW w:w="1036" w:type="pct"/>
            <w:tcBorders>
              <w:top w:val="nil"/>
              <w:left w:val="nil"/>
              <w:bottom w:val="single" w:color="auto" w:sz="4" w:space="0"/>
              <w:right w:val="single" w:color="auto" w:sz="4" w:space="0"/>
            </w:tcBorders>
            <w:shd w:val="clear" w:color="auto" w:fill="auto"/>
            <w:vAlign w:val="center"/>
          </w:tcPr>
          <w:p>
            <w:pP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门诊无纸化退费闭环流程优化及相关接口</w:t>
            </w:r>
          </w:p>
        </w:tc>
        <w:tc>
          <w:tcPr>
            <w:tcW w:w="2106" w:type="pct"/>
            <w:tcBorders>
              <w:top w:val="nil"/>
              <w:left w:val="nil"/>
              <w:bottom w:val="single" w:color="auto" w:sz="4" w:space="0"/>
              <w:right w:val="single" w:color="auto" w:sz="4" w:space="0"/>
            </w:tcBorders>
            <w:shd w:val="clear" w:color="auto" w:fill="auto"/>
          </w:tcPr>
          <w:p>
            <w:pPr>
              <w:jc w:val="both"/>
              <w:rPr>
                <w:rFonts w:hint="eastAsia" w:ascii="微软雅黑" w:hAnsi="微软雅黑" w:eastAsia="微软雅黑"/>
                <w:color w:val="000000"/>
                <w:sz w:val="20"/>
                <w:szCs w:val="20"/>
              </w:rPr>
            </w:pPr>
            <w:r>
              <w:rPr>
                <w:rFonts w:hint="eastAsia" w:ascii="微软雅黑" w:hAnsi="微软雅黑" w:eastAsia="微软雅黑"/>
                <w:color w:val="000000"/>
                <w:sz w:val="20"/>
                <w:szCs w:val="20"/>
              </w:rPr>
              <w:t>根据实际退费流程，调整对应业务功能</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0"/>
                <w:szCs w:val="20"/>
              </w:rPr>
            </w:pPr>
            <w:r>
              <w:rPr>
                <w:rFonts w:hint="eastAsia" w:ascii="等线" w:hAnsi="等线" w:eastAsia="等线"/>
                <w:color w:val="000000"/>
                <w:sz w:val="20"/>
                <w:szCs w:val="20"/>
              </w:rPr>
              <w:t>　</w:t>
            </w:r>
          </w:p>
        </w:tc>
      </w:tr>
      <w:tr>
        <w:tblPrEx>
          <w:tblCellMar>
            <w:top w:w="0" w:type="dxa"/>
            <w:left w:w="108" w:type="dxa"/>
            <w:bottom w:w="0" w:type="dxa"/>
            <w:right w:w="108" w:type="dxa"/>
          </w:tblCellMar>
        </w:tblPrEx>
        <w:trPr>
          <w:trHeight w:val="330" w:hRule="atLeast"/>
        </w:trPr>
        <w:tc>
          <w:tcPr>
            <w:tcW w:w="194"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4</w:t>
            </w:r>
          </w:p>
        </w:tc>
        <w:tc>
          <w:tcPr>
            <w:tcW w:w="1036" w:type="pct"/>
            <w:tcBorders>
              <w:top w:val="nil"/>
              <w:left w:val="nil"/>
              <w:bottom w:val="single" w:color="auto" w:sz="4" w:space="0"/>
              <w:right w:val="single" w:color="auto" w:sz="4" w:space="0"/>
            </w:tcBorders>
            <w:shd w:val="clear" w:color="000000" w:fill="FFFFFF"/>
            <w:noWrap/>
            <w:vAlign w:val="center"/>
          </w:tcPr>
          <w:p>
            <w:pPr>
              <w:rPr>
                <w:rFonts w:hint="eastAsia" w:ascii="微软雅黑" w:hAnsi="微软雅黑" w:eastAsia="微软雅黑"/>
                <w:sz w:val="20"/>
                <w:szCs w:val="20"/>
              </w:rPr>
            </w:pPr>
            <w:r>
              <w:rPr>
                <w:rFonts w:hint="eastAsia" w:ascii="微软雅黑" w:hAnsi="微软雅黑" w:eastAsia="微软雅黑"/>
                <w:sz w:val="20"/>
                <w:szCs w:val="20"/>
              </w:rPr>
              <w:t>门诊各业务系统接口无纸化改造</w:t>
            </w:r>
          </w:p>
        </w:tc>
        <w:tc>
          <w:tcPr>
            <w:tcW w:w="2106" w:type="pct"/>
            <w:tcBorders>
              <w:top w:val="nil"/>
              <w:left w:val="nil"/>
              <w:bottom w:val="single" w:color="auto" w:sz="4" w:space="0"/>
              <w:right w:val="single" w:color="auto" w:sz="4" w:space="0"/>
            </w:tcBorders>
            <w:shd w:val="clear" w:color="000000" w:fill="FFFFFF"/>
            <w:vAlign w:val="center"/>
          </w:tcPr>
          <w:p>
            <w:pPr>
              <w:rPr>
                <w:rFonts w:hint="eastAsia" w:ascii="微软雅黑" w:hAnsi="微软雅黑" w:eastAsia="微软雅黑"/>
                <w:sz w:val="20"/>
                <w:szCs w:val="20"/>
              </w:rPr>
            </w:pPr>
            <w:r>
              <w:rPr>
                <w:rFonts w:hint="eastAsia" w:ascii="微软雅黑" w:hAnsi="微软雅黑" w:eastAsia="微软雅黑"/>
                <w:sz w:val="20"/>
                <w:szCs w:val="20"/>
              </w:rPr>
              <w:t>根据实际流程对接口改造</w:t>
            </w:r>
          </w:p>
        </w:tc>
        <w:tc>
          <w:tcPr>
            <w:tcW w:w="795" w:type="pct"/>
            <w:tcBorders>
              <w:top w:val="nil"/>
              <w:left w:val="nil"/>
              <w:bottom w:val="single" w:color="auto" w:sz="4" w:space="0"/>
              <w:right w:val="single" w:color="auto" w:sz="4" w:space="0"/>
            </w:tcBorders>
            <w:shd w:val="clear" w:color="000000" w:fill="FFFFFF"/>
            <w:vAlign w:val="center"/>
          </w:tcPr>
          <w:p>
            <w:pPr>
              <w:jc w:val="center"/>
              <w:rPr>
                <w:rFonts w:hint="eastAsia" w:ascii="微软雅黑" w:hAnsi="微软雅黑" w:eastAsia="微软雅黑"/>
                <w:sz w:val="20"/>
                <w:szCs w:val="20"/>
              </w:rPr>
            </w:pPr>
            <w:r>
              <w:rPr>
                <w:rFonts w:hint="eastAsia" w:ascii="微软雅黑" w:hAnsi="微软雅黑" w:eastAsia="微软雅黑"/>
                <w:sz w:val="20"/>
                <w:szCs w:val="20"/>
              </w:rPr>
              <w:t>1</w:t>
            </w:r>
          </w:p>
        </w:tc>
        <w:tc>
          <w:tcPr>
            <w:tcW w:w="869" w:type="pct"/>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0"/>
                <w:szCs w:val="20"/>
              </w:rPr>
            </w:pPr>
            <w:r>
              <w:rPr>
                <w:rFonts w:hint="eastAsia" w:ascii="等线" w:hAnsi="等线" w:eastAsia="等线"/>
                <w:color w:val="000000"/>
                <w:sz w:val="20"/>
                <w:szCs w:val="20"/>
              </w:rPr>
              <w:t>　</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等线" w:hAnsi="等线" w:eastAsia="等线"/>
                <w:color w:val="000000"/>
                <w:sz w:val="20"/>
                <w:szCs w:val="20"/>
              </w:rPr>
            </w:pPr>
            <w:r>
              <w:rPr>
                <w:rFonts w:hint="eastAsia" w:ascii="等线" w:hAnsi="等线" w:eastAsia="等线"/>
                <w:color w:val="000000"/>
                <w:sz w:val="20"/>
                <w:szCs w:val="20"/>
              </w:rPr>
              <w:t>总价：</w:t>
            </w:r>
          </w:p>
        </w:tc>
      </w:tr>
    </w:tbl>
    <w:p>
      <w:pPr>
        <w:spacing w:line="360" w:lineRule="auto"/>
        <w:jc w:val="center"/>
        <w:rPr>
          <w:b/>
          <w:u w:val="single"/>
        </w:rPr>
      </w:pPr>
      <w:r>
        <w:rPr>
          <w:rFonts w:hint="eastAsia"/>
          <w:b/>
        </w:rPr>
        <w:t>合计：</w:t>
      </w:r>
      <w:r>
        <w:rPr>
          <w:rFonts w:hint="eastAsia"/>
          <w:b/>
          <w:u w:val="single"/>
        </w:rPr>
        <w:t xml:space="preserve"> </w:t>
      </w:r>
      <w:r>
        <w:rPr>
          <w:b/>
          <w:u w:val="single"/>
        </w:rPr>
        <w:t xml:space="preserve">                </w:t>
      </w:r>
    </w:p>
    <w:p>
      <w:pPr>
        <w:spacing w:before="100" w:beforeAutospacing="1" w:after="100" w:afterAutospacing="1"/>
        <w:ind w:firstLine="6000" w:firstLineChars="2500"/>
        <w:rPr>
          <w:rFonts w:ascii="微软雅黑" w:hAnsi="微软雅黑" w:eastAsia="微软雅黑"/>
          <w:color w:val="000000"/>
        </w:rPr>
      </w:pPr>
      <w:r>
        <w:rPr>
          <w:rFonts w:hint="eastAsia" w:ascii="微软雅黑" w:hAnsi="微软雅黑" w:eastAsia="微软雅黑"/>
          <w:color w:val="000000"/>
        </w:rPr>
        <w:t>供应商名称：</w:t>
      </w:r>
    </w:p>
    <w:p>
      <w:pPr>
        <w:spacing w:before="100" w:beforeAutospacing="1" w:after="100" w:afterAutospacing="1"/>
        <w:ind w:firstLine="6720" w:firstLineChars="2800"/>
        <w:rPr>
          <w:rFonts w:ascii="微软雅黑" w:hAnsi="微软雅黑" w:eastAsia="微软雅黑"/>
          <w:color w:val="000000"/>
        </w:rPr>
      </w:pPr>
      <w:r>
        <w:rPr>
          <w:rFonts w:hint="eastAsia" w:ascii="微软雅黑" w:hAnsi="微软雅黑" w:eastAsia="微软雅黑"/>
          <w:color w:val="000000"/>
        </w:rPr>
        <w:t>日期：</w:t>
      </w:r>
    </w:p>
    <w:p>
      <w:pPr>
        <w:spacing w:before="100" w:beforeAutospacing="1" w:after="100" w:afterAutospacing="1"/>
        <w:ind w:firstLine="6727" w:firstLineChars="2800"/>
        <w:rPr>
          <w:rFonts w:hint="eastAsia" w:cs="Arial"/>
          <w:b/>
        </w:rPr>
      </w:pPr>
    </w:p>
    <w:p>
      <w:pPr>
        <w:spacing w:line="360" w:lineRule="auto"/>
        <w:jc w:val="center"/>
        <w:rPr>
          <w:b/>
        </w:rPr>
      </w:pPr>
      <w:r>
        <w:rPr>
          <w:rFonts w:hint="eastAsia"/>
          <w:b/>
        </w:rPr>
        <w:t>附件</w:t>
      </w:r>
      <w:r>
        <w:rPr>
          <w:b/>
        </w:rPr>
        <w:t>4</w:t>
      </w:r>
      <w:r>
        <w:rPr>
          <w:rFonts w:hint="eastAsia"/>
          <w:b/>
        </w:rPr>
        <w:t>、其他资料</w:t>
      </w:r>
    </w:p>
    <w:p>
      <w:pPr>
        <w:spacing w:line="360" w:lineRule="auto"/>
        <w:jc w:val="center"/>
        <w:rPr>
          <w:b/>
        </w:rPr>
      </w:pPr>
    </w:p>
    <w:p>
      <w:pPr>
        <w:spacing w:line="360" w:lineRule="auto"/>
        <w:ind w:left="720" w:hanging="720" w:hangingChars="300"/>
        <w:rPr>
          <w:color w:val="FF0000"/>
        </w:rPr>
      </w:pPr>
      <w:r>
        <w:rPr>
          <w:color w:val="FF0000"/>
        </w:rPr>
        <w:t>1</w:t>
      </w:r>
      <w:r>
        <w:rPr>
          <w:rFonts w:hint="eastAsia"/>
          <w:color w:val="FF0000"/>
        </w:rPr>
        <w:t>、公司简介、营业执照扫描件、（大、中、小）企业声明函、资质证书等</w:t>
      </w:r>
    </w:p>
    <w:p>
      <w:pPr>
        <w:spacing w:line="360" w:lineRule="auto"/>
        <w:rPr>
          <w:bCs/>
          <w:color w:val="FF0000"/>
          <w:szCs w:val="21"/>
        </w:rPr>
      </w:pPr>
      <w:r>
        <w:rPr>
          <w:bCs/>
          <w:color w:val="FF0000"/>
          <w:szCs w:val="21"/>
        </w:rPr>
        <w:t>2</w:t>
      </w:r>
      <w:r>
        <w:rPr>
          <w:rFonts w:hint="eastAsia"/>
          <w:bCs/>
          <w:color w:val="FF0000"/>
          <w:szCs w:val="21"/>
        </w:rPr>
        <w:t xml:space="preserve">、企业规模声明函    </w:t>
      </w:r>
    </w:p>
    <w:p>
      <w:pPr>
        <w:spacing w:line="360" w:lineRule="auto"/>
        <w:ind w:left="720" w:hanging="720" w:hangingChars="300"/>
        <w:rPr>
          <w:bCs/>
          <w:color w:val="FF0000"/>
          <w:szCs w:val="21"/>
        </w:rPr>
      </w:pPr>
      <w:r>
        <w:rPr>
          <w:bCs/>
          <w:color w:val="FF0000"/>
          <w:szCs w:val="21"/>
        </w:rPr>
        <w:t>3</w:t>
      </w:r>
      <w:r>
        <w:rPr>
          <w:rFonts w:hint="eastAsia"/>
          <w:bCs/>
          <w:color w:val="FF0000"/>
          <w:szCs w:val="21"/>
        </w:rPr>
        <w:t>、报价依据：需提供至少一个同类项目合同扫描件或合同首页复印件。</w:t>
      </w:r>
    </w:p>
    <w:p>
      <w:pPr>
        <w:spacing w:line="360" w:lineRule="auto"/>
        <w:ind w:left="720" w:hanging="720" w:hangingChars="300"/>
        <w:rPr>
          <w:bCs/>
          <w:color w:val="FF0000"/>
          <w:szCs w:val="21"/>
        </w:rPr>
      </w:pPr>
      <w:r>
        <w:rPr>
          <w:rFonts w:hint="eastAsia"/>
          <w:bCs/>
          <w:color w:val="FF0000"/>
          <w:szCs w:val="21"/>
        </w:rPr>
        <w:t>4、近三年同类业绩</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928"/>
        <w:gridCol w:w="2469"/>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序号</w:t>
            </w:r>
          </w:p>
        </w:tc>
        <w:tc>
          <w:tcPr>
            <w:tcW w:w="1928" w:type="dxa"/>
          </w:tcPr>
          <w:p>
            <w:pPr>
              <w:widowControl w:val="0"/>
              <w:spacing w:line="360" w:lineRule="auto"/>
              <w:ind w:firstLine="480" w:firstLineChars="200"/>
              <w:jc w:val="both"/>
              <w:rPr>
                <w:bCs/>
                <w:color w:val="FF0000"/>
                <w:szCs w:val="21"/>
              </w:rPr>
            </w:pPr>
            <w:r>
              <w:rPr>
                <w:rFonts w:hint="eastAsia"/>
                <w:bCs/>
                <w:color w:val="FF0000"/>
                <w:szCs w:val="21"/>
              </w:rPr>
              <w:t>内容</w:t>
            </w:r>
          </w:p>
        </w:tc>
        <w:tc>
          <w:tcPr>
            <w:tcW w:w="2469" w:type="dxa"/>
          </w:tcPr>
          <w:p>
            <w:pPr>
              <w:widowControl w:val="0"/>
              <w:spacing w:line="360" w:lineRule="auto"/>
              <w:jc w:val="both"/>
              <w:rPr>
                <w:bCs/>
                <w:color w:val="FF0000"/>
                <w:szCs w:val="21"/>
              </w:rPr>
            </w:pPr>
            <w:r>
              <w:rPr>
                <w:rFonts w:hint="eastAsia"/>
                <w:bCs/>
                <w:color w:val="FF0000"/>
                <w:szCs w:val="21"/>
              </w:rPr>
              <w:t>实施单位</w:t>
            </w:r>
          </w:p>
        </w:tc>
        <w:tc>
          <w:tcPr>
            <w:tcW w:w="2388" w:type="dxa"/>
          </w:tcPr>
          <w:p>
            <w:pPr>
              <w:widowControl w:val="0"/>
              <w:spacing w:line="360" w:lineRule="auto"/>
              <w:jc w:val="both"/>
              <w:rPr>
                <w:bCs/>
                <w:color w:val="FF0000"/>
                <w:szCs w:val="21"/>
              </w:rPr>
            </w:pPr>
            <w:r>
              <w:rPr>
                <w:rFonts w:hint="eastAsia"/>
                <w:bCs/>
                <w:color w:val="FF0000"/>
                <w:szCs w:val="21"/>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1</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2</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3</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4</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5</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bl>
    <w:p>
      <w:pPr>
        <w:spacing w:line="360" w:lineRule="auto"/>
        <w:rPr>
          <w:bCs/>
          <w:color w:val="FF0000"/>
          <w:szCs w:val="21"/>
        </w:rPr>
      </w:pPr>
      <w:r>
        <w:rPr>
          <w:rFonts w:hint="eastAsia"/>
          <w:bCs/>
          <w:color w:val="FF0000"/>
          <w:szCs w:val="21"/>
        </w:rPr>
        <w:t>（提供合同复印件）</w:t>
      </w: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before="100" w:beforeAutospacing="1" w:after="100" w:afterAutospacing="1"/>
        <w:ind w:firstLine="4860" w:firstLineChars="1800"/>
        <w:rPr>
          <w:rFonts w:ascii="微软雅黑" w:hAnsi="微软雅黑" w:eastAsia="微软雅黑"/>
          <w:color w:val="000000"/>
          <w:sz w:val="27"/>
          <w:szCs w:val="27"/>
        </w:rPr>
      </w:pPr>
      <w:r>
        <w:rPr>
          <w:rFonts w:hint="eastAsia" w:ascii="微软雅黑" w:hAnsi="微软雅黑" w:eastAsia="微软雅黑"/>
          <w:color w:val="000000"/>
          <w:sz w:val="27"/>
          <w:szCs w:val="27"/>
        </w:rPr>
        <w:t>供应商名称：</w:t>
      </w:r>
    </w:p>
    <w:p>
      <w:pPr>
        <w:spacing w:before="100" w:beforeAutospacing="1" w:after="100" w:afterAutospacing="1"/>
        <w:ind w:firstLine="5670" w:firstLineChars="2100"/>
        <w:rPr>
          <w:rFonts w:cs="Arial"/>
          <w:b/>
          <w:szCs w:val="21"/>
        </w:rPr>
      </w:pPr>
      <w:r>
        <w:rPr>
          <w:rFonts w:hint="eastAsia" w:ascii="微软雅黑" w:hAnsi="微软雅黑" w:eastAsia="微软雅黑"/>
          <w:color w:val="000000"/>
          <w:sz w:val="27"/>
          <w:szCs w:val="27"/>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auto"/>
    <w:pitch w:val="default"/>
    <w:sig w:usb0="A10006FF" w:usb1="4000205B" w:usb2="00000010" w:usb3="00000000" w:csb0="2000019F"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Microsoft YaHei UI">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Futura Bk">
    <w:altName w:val="Times New Roman"/>
    <w:panose1 w:val="00000000000000000000"/>
    <w:charset w:val="00"/>
    <w:family w:val="auto"/>
    <w:pitch w:val="default"/>
    <w:sig w:usb0="00000000" w:usb1="00000000" w:usb2="00000000" w:usb3="00000000" w:csb0="000000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MingLiU">
    <w:altName w:val="汉仪中等线KW"/>
    <w:panose1 w:val="02010609000101010101"/>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00034C5C"/>
    <w:rsid w:val="000357FE"/>
    <w:rsid w:val="0004433F"/>
    <w:rsid w:val="000566F4"/>
    <w:rsid w:val="000E2FB2"/>
    <w:rsid w:val="000E42BF"/>
    <w:rsid w:val="00111339"/>
    <w:rsid w:val="00145713"/>
    <w:rsid w:val="001B6319"/>
    <w:rsid w:val="001B745E"/>
    <w:rsid w:val="001F4E6A"/>
    <w:rsid w:val="001F6215"/>
    <w:rsid w:val="00214797"/>
    <w:rsid w:val="0021549B"/>
    <w:rsid w:val="00222D5F"/>
    <w:rsid w:val="002278AD"/>
    <w:rsid w:val="0025517C"/>
    <w:rsid w:val="00256B9C"/>
    <w:rsid w:val="00270428"/>
    <w:rsid w:val="00273087"/>
    <w:rsid w:val="002870C9"/>
    <w:rsid w:val="00320E78"/>
    <w:rsid w:val="003221E4"/>
    <w:rsid w:val="00352FB3"/>
    <w:rsid w:val="00357A20"/>
    <w:rsid w:val="00382ADE"/>
    <w:rsid w:val="003A170C"/>
    <w:rsid w:val="003A6687"/>
    <w:rsid w:val="003B37A6"/>
    <w:rsid w:val="003C2127"/>
    <w:rsid w:val="003C6FAB"/>
    <w:rsid w:val="003D068D"/>
    <w:rsid w:val="00407688"/>
    <w:rsid w:val="00412CE1"/>
    <w:rsid w:val="00412D05"/>
    <w:rsid w:val="00412D87"/>
    <w:rsid w:val="00435B79"/>
    <w:rsid w:val="004563DC"/>
    <w:rsid w:val="00474A09"/>
    <w:rsid w:val="004B1F02"/>
    <w:rsid w:val="004C7B5D"/>
    <w:rsid w:val="005174B2"/>
    <w:rsid w:val="00520B31"/>
    <w:rsid w:val="00522804"/>
    <w:rsid w:val="00544857"/>
    <w:rsid w:val="00553DC1"/>
    <w:rsid w:val="005545B9"/>
    <w:rsid w:val="005552F7"/>
    <w:rsid w:val="0058134C"/>
    <w:rsid w:val="005C520E"/>
    <w:rsid w:val="005F2F70"/>
    <w:rsid w:val="00612C9B"/>
    <w:rsid w:val="006768F3"/>
    <w:rsid w:val="00696DB9"/>
    <w:rsid w:val="00697BEA"/>
    <w:rsid w:val="00704D9A"/>
    <w:rsid w:val="00714261"/>
    <w:rsid w:val="00762F69"/>
    <w:rsid w:val="007639BB"/>
    <w:rsid w:val="0076489C"/>
    <w:rsid w:val="007B04C1"/>
    <w:rsid w:val="007C03BD"/>
    <w:rsid w:val="007C33E2"/>
    <w:rsid w:val="007D0E91"/>
    <w:rsid w:val="007D4781"/>
    <w:rsid w:val="007F4CDF"/>
    <w:rsid w:val="007F62E3"/>
    <w:rsid w:val="00800F92"/>
    <w:rsid w:val="008037B3"/>
    <w:rsid w:val="00817397"/>
    <w:rsid w:val="00827130"/>
    <w:rsid w:val="008506D4"/>
    <w:rsid w:val="00866C70"/>
    <w:rsid w:val="008841B5"/>
    <w:rsid w:val="008A423E"/>
    <w:rsid w:val="008D700E"/>
    <w:rsid w:val="008F75A0"/>
    <w:rsid w:val="00907F63"/>
    <w:rsid w:val="00935215"/>
    <w:rsid w:val="009447EE"/>
    <w:rsid w:val="00982FCE"/>
    <w:rsid w:val="009857F5"/>
    <w:rsid w:val="009A3634"/>
    <w:rsid w:val="009F56C2"/>
    <w:rsid w:val="00A36EB4"/>
    <w:rsid w:val="00A426DB"/>
    <w:rsid w:val="00A54DEF"/>
    <w:rsid w:val="00A56863"/>
    <w:rsid w:val="00A80BE1"/>
    <w:rsid w:val="00AD48FA"/>
    <w:rsid w:val="00AE183A"/>
    <w:rsid w:val="00B42F20"/>
    <w:rsid w:val="00B4399F"/>
    <w:rsid w:val="00B7113B"/>
    <w:rsid w:val="00B93FDF"/>
    <w:rsid w:val="00BB0A90"/>
    <w:rsid w:val="00BC1846"/>
    <w:rsid w:val="00BC6E03"/>
    <w:rsid w:val="00BD1705"/>
    <w:rsid w:val="00BD1ED9"/>
    <w:rsid w:val="00C1205F"/>
    <w:rsid w:val="00C405E0"/>
    <w:rsid w:val="00C53114"/>
    <w:rsid w:val="00C83A35"/>
    <w:rsid w:val="00CA5C62"/>
    <w:rsid w:val="00CF2B02"/>
    <w:rsid w:val="00D03030"/>
    <w:rsid w:val="00D6362C"/>
    <w:rsid w:val="00D83193"/>
    <w:rsid w:val="00DB4069"/>
    <w:rsid w:val="00DD73A9"/>
    <w:rsid w:val="00E514CC"/>
    <w:rsid w:val="00E526F7"/>
    <w:rsid w:val="00E5399F"/>
    <w:rsid w:val="00E54041"/>
    <w:rsid w:val="00E662AB"/>
    <w:rsid w:val="00E972E7"/>
    <w:rsid w:val="00EA6DEC"/>
    <w:rsid w:val="00F053CD"/>
    <w:rsid w:val="00F17A8B"/>
    <w:rsid w:val="00F227AE"/>
    <w:rsid w:val="00F34790"/>
    <w:rsid w:val="00F571CC"/>
    <w:rsid w:val="00F72B32"/>
    <w:rsid w:val="00F9759D"/>
    <w:rsid w:val="00FA26CF"/>
    <w:rsid w:val="00FB63DD"/>
    <w:rsid w:val="00FC3694"/>
    <w:rsid w:val="06AF4D07"/>
    <w:rsid w:val="09016473"/>
    <w:rsid w:val="0A1B260B"/>
    <w:rsid w:val="0A544CC8"/>
    <w:rsid w:val="0B186D54"/>
    <w:rsid w:val="0BD240F7"/>
    <w:rsid w:val="0E39045D"/>
    <w:rsid w:val="0FB32491"/>
    <w:rsid w:val="15767062"/>
    <w:rsid w:val="16F21AF1"/>
    <w:rsid w:val="17FA6EAF"/>
    <w:rsid w:val="18BC23B6"/>
    <w:rsid w:val="18E13BCB"/>
    <w:rsid w:val="1A385803"/>
    <w:rsid w:val="1AE46C20"/>
    <w:rsid w:val="1BF75C9B"/>
    <w:rsid w:val="1E805F74"/>
    <w:rsid w:val="22135C3C"/>
    <w:rsid w:val="25E96BDB"/>
    <w:rsid w:val="28F65C41"/>
    <w:rsid w:val="2A5BA850"/>
    <w:rsid w:val="2B053021"/>
    <w:rsid w:val="2C2E7A38"/>
    <w:rsid w:val="2C7B33A7"/>
    <w:rsid w:val="330662B0"/>
    <w:rsid w:val="355542AC"/>
    <w:rsid w:val="36796EF8"/>
    <w:rsid w:val="369E2CA4"/>
    <w:rsid w:val="38C74734"/>
    <w:rsid w:val="3B5F0C53"/>
    <w:rsid w:val="3BC1190E"/>
    <w:rsid w:val="3D4B3CCE"/>
    <w:rsid w:val="3E5720B6"/>
    <w:rsid w:val="3FFD897F"/>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6FE1A74F"/>
    <w:rsid w:val="77EB3293"/>
    <w:rsid w:val="7DC26844"/>
    <w:rsid w:val="FBDE28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3">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4">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5">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6">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7">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8">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9">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0">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260"/>
    </w:pPr>
    <w:rPr>
      <w:rFonts w:ascii="Calibri" w:hAnsi="Calibri" w:cs="Times New Roman"/>
      <w:kern w:val="2"/>
      <w:sz w:val="18"/>
      <w:szCs w:val="18"/>
    </w:rPr>
  </w:style>
  <w:style w:type="paragraph" w:styleId="12">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3">
    <w:name w:val="caption"/>
    <w:basedOn w:val="1"/>
    <w:next w:val="1"/>
    <w:qFormat/>
    <w:uiPriority w:val="35"/>
    <w:pPr>
      <w:widowControl w:val="0"/>
      <w:jc w:val="both"/>
    </w:pPr>
    <w:rPr>
      <w:rFonts w:ascii="Arial" w:hAnsi="Arial" w:eastAsia="黑体" w:cs="Arial"/>
      <w:kern w:val="2"/>
      <w:sz w:val="20"/>
      <w:szCs w:val="20"/>
    </w:rPr>
  </w:style>
  <w:style w:type="paragraph" w:styleId="14">
    <w:name w:val="Document Map"/>
    <w:basedOn w:val="1"/>
    <w:link w:val="73"/>
    <w:unhideWhenUsed/>
    <w:qFormat/>
    <w:uiPriority w:val="0"/>
    <w:pPr>
      <w:widowControl w:val="0"/>
      <w:jc w:val="both"/>
    </w:pPr>
    <w:rPr>
      <w:rFonts w:hAnsi="Times New Roman" w:cs="Times New Roman"/>
      <w:sz w:val="18"/>
      <w:szCs w:val="18"/>
      <w:lang w:val="zh-CN"/>
    </w:rPr>
  </w:style>
  <w:style w:type="paragraph" w:styleId="15">
    <w:name w:val="annotation text"/>
    <w:basedOn w:val="1"/>
    <w:link w:val="75"/>
    <w:unhideWhenUsed/>
    <w:qFormat/>
    <w:uiPriority w:val="99"/>
    <w:pPr>
      <w:widowControl w:val="0"/>
    </w:pPr>
    <w:rPr>
      <w:rFonts w:ascii="Times New Roman" w:hAnsi="Times New Roman" w:cs="Times New Roman"/>
      <w:sz w:val="20"/>
    </w:rPr>
  </w:style>
  <w:style w:type="paragraph" w:styleId="16">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7">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99"/>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uiPriority w:val="0"/>
    <w:rPr>
      <w:rFonts w:ascii="Cambria" w:hAnsi="Cambria"/>
      <w:sz w:val="21"/>
      <w:szCs w:val="21"/>
    </w:rPr>
  </w:style>
  <w:style w:type="character" w:customStyle="1" w:styleId="181">
    <w:name w:val="页脚 字符1"/>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uiPriority w:val="0"/>
    <w:rPr>
      <w:kern w:val="2"/>
      <w:sz w:val="21"/>
      <w:szCs w:val="24"/>
    </w:rPr>
  </w:style>
  <w:style w:type="character" w:customStyle="1" w:styleId="197">
    <w:name w:val="段落加粗 Char Char"/>
    <w:link w:val="198"/>
    <w:uiPriority w:val="0"/>
    <w:rPr>
      <w:b/>
      <w:szCs w:val="21"/>
    </w:rPr>
  </w:style>
  <w:style w:type="paragraph" w:customStyle="1" w:styleId="198">
    <w:name w:val="段落加粗"/>
    <w:basedOn w:val="199"/>
    <w:link w:val="197"/>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locked/>
    <w:uiPriority w:val="0"/>
    <w:rPr>
      <w:rFonts w:ascii="宋体" w:hAnsi="Courier New" w:cs="Courier New"/>
      <w:szCs w:val="21"/>
    </w:rPr>
  </w:style>
  <w:style w:type="paragraph" w:customStyle="1" w:styleId="266">
    <w:name w:val="纯文本_0"/>
    <w:basedOn w:val="123"/>
    <w:link w:val="265"/>
    <w:unhideWhenUsed/>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locked/>
    <w:uiPriority w:val="0"/>
    <w:rPr>
      <w:rFonts w:ascii="宋体" w:hAnsi="Courier New" w:cs="Courier New"/>
      <w:szCs w:val="21"/>
    </w:rPr>
  </w:style>
  <w:style w:type="paragraph" w:customStyle="1" w:styleId="272">
    <w:name w:val="纯文本1"/>
    <w:basedOn w:val="273"/>
    <w:link w:val="271"/>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uiPriority w:val="0"/>
    <w:rPr>
      <w:rFonts w:ascii="宋体" w:hAnsi="Arial"/>
      <w:b/>
      <w:sz w:val="32"/>
    </w:rPr>
  </w:style>
  <w:style w:type="paragraph" w:customStyle="1" w:styleId="281">
    <w:name w:val="样式1_0_0"/>
    <w:basedOn w:val="226"/>
    <w:link w:val="280"/>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uiPriority w:val="0"/>
    <w:pPr>
      <w:numPr>
        <w:ilvl w:val="2"/>
      </w:numPr>
      <w:spacing w:before="0" w:after="0"/>
      <w:outlineLvl w:val="2"/>
    </w:pPr>
  </w:style>
  <w:style w:type="paragraph" w:customStyle="1" w:styleId="310">
    <w:name w:val="章标题"/>
    <w:next w:val="1"/>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uiPriority w:val="0"/>
  </w:style>
  <w:style w:type="paragraph" w:customStyle="1" w:styleId="322">
    <w:name w:val="插图标注（绿盟科技）"/>
    <w:next w:val="176"/>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uiPriority w:val="0"/>
    <w:pPr>
      <w:widowControl w:val="0"/>
      <w:jc w:val="both"/>
    </w:pPr>
    <w:rPr>
      <w:rFonts w:ascii="Tahoma" w:hAnsi="Tahoma" w:cs="Times New Roman"/>
      <w:kern w:val="2"/>
      <w:szCs w:val="20"/>
    </w:rPr>
  </w:style>
  <w:style w:type="paragraph" w:customStyle="1" w:styleId="326">
    <w:name w:val="xl23"/>
    <w:basedOn w:val="1"/>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qFormat/>
    <w:uiPriority w:val="0"/>
    <w:pPr>
      <w:spacing w:before="100" w:beforeAutospacing="1" w:after="100" w:afterAutospacing="1"/>
    </w:pPr>
  </w:style>
  <w:style w:type="paragraph" w:customStyle="1" w:styleId="335">
    <w:name w:val="xl45"/>
    <w:basedOn w:val="1"/>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qFormat/>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uiPriority w:val="0"/>
    <w:pPr>
      <w:spacing w:before="100" w:beforeAutospacing="1" w:after="100" w:afterAutospacing="1"/>
    </w:pPr>
  </w:style>
  <w:style w:type="paragraph" w:customStyle="1" w:styleId="365">
    <w:name w:val="题注4"/>
    <w:basedOn w:val="1"/>
    <w:next w:val="13"/>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uiPriority w:val="0"/>
    <w:pPr>
      <w:shd w:val="clear" w:color="auto" w:fill="CC9CCC"/>
      <w:spacing w:before="100" w:beforeAutospacing="1" w:after="100" w:afterAutospacing="1"/>
    </w:p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uiPriority w:val="0"/>
    <w:pPr>
      <w:numPr>
        <w:ilvl w:val="4"/>
      </w:numPr>
      <w:outlineLvl w:val="4"/>
    </w:pPr>
  </w:style>
  <w:style w:type="paragraph" w:customStyle="1" w:styleId="372">
    <w:name w:val="二级条标题"/>
    <w:basedOn w:val="309"/>
    <w:next w:val="1"/>
    <w:uiPriority w:val="0"/>
    <w:pPr>
      <w:numPr>
        <w:ilvl w:val="3"/>
      </w:numPr>
      <w:outlineLvl w:val="3"/>
    </w:pPr>
  </w:style>
  <w:style w:type="paragraph" w:customStyle="1" w:styleId="373">
    <w:name w:val="1_0"/>
    <w:basedOn w:val="273"/>
    <w:next w:val="272"/>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uiPriority w:val="0"/>
    <w:pPr>
      <w:numPr>
        <w:ilvl w:val="6"/>
      </w:numPr>
      <w:outlineLvl w:val="6"/>
    </w:pPr>
  </w:style>
  <w:style w:type="paragraph" w:customStyle="1" w:styleId="382">
    <w:name w:val="四级条标题"/>
    <w:basedOn w:val="371"/>
    <w:next w:val="1"/>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uiPriority w:val="0"/>
    <w:pPr>
      <w:widowControl w:val="0"/>
      <w:ind w:left="420" w:hanging="420"/>
      <w:jc w:val="both"/>
    </w:pPr>
    <w:rPr>
      <w:rFonts w:ascii="Calibri" w:hAnsi="Calibri" w:cs="Times New Roman"/>
      <w:kern w:val="2"/>
    </w:rPr>
  </w:style>
  <w:style w:type="paragraph" w:customStyle="1" w:styleId="387">
    <w:name w:val="xl44"/>
    <w:basedOn w:val="1"/>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uiPriority w:val="0"/>
    <w:pPr>
      <w:spacing w:after="160" w:line="240" w:lineRule="exact"/>
    </w:pPr>
    <w:rPr>
      <w:rFonts w:ascii="Times New Roman" w:hAnsi="Times New Roman" w:cs="Times New Roman"/>
      <w:kern w:val="2"/>
    </w:rPr>
  </w:style>
  <w:style w:type="paragraph" w:customStyle="1" w:styleId="404">
    <w:name w:val="1"/>
    <w:basedOn w:val="1"/>
    <w:next w:val="22"/>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uiPriority w:val="99"/>
    <w:rPr>
      <w:rFonts w:ascii="Times New Roman" w:hAnsi="Times New Roman" w:eastAsia="宋体" w:cs="Times New Roman"/>
      <w:kern w:val="2"/>
      <w:sz w:val="21"/>
      <w:szCs w:val="24"/>
      <w:lang w:val="en-US" w:eastAsia="zh-CN" w:bidi="ar-SA"/>
    </w:rPr>
  </w:style>
  <w:style w:type="paragraph" w:customStyle="1" w:styleId="425">
    <w:name w:val="xl24"/>
    <w:basedOn w:val="1"/>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uiPriority w:val="0"/>
    <w:pPr>
      <w:widowControl w:val="0"/>
      <w:jc w:val="both"/>
    </w:pPr>
    <w:rPr>
      <w:rFonts w:ascii="Calibri" w:hAnsi="Calibri" w:cs="Times New Roman"/>
      <w:kern w:val="2"/>
      <w:sz w:val="21"/>
      <w:szCs w:val="22"/>
    </w:rPr>
  </w:style>
  <w:style w:type="paragraph" w:customStyle="1" w:styleId="431">
    <w:name w:val="f12"/>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uiPriority w:val="0"/>
    <w:pPr>
      <w:widowControl w:val="0"/>
      <w:spacing w:afterLines="50"/>
      <w:jc w:val="both"/>
    </w:pPr>
    <w:rPr>
      <w:rFonts w:ascii="Times New Roman" w:hAnsi="Times New Roman" w:cs="Times New Roman"/>
      <w:kern w:val="2"/>
      <w:sz w:val="21"/>
    </w:rPr>
  </w:style>
  <w:style w:type="paragraph" w:customStyle="1" w:styleId="456">
    <w:name w:val="f10"/>
    <w:basedOn w:val="1"/>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uiPriority w:val="0"/>
    <w:pPr>
      <w:widowControl w:val="0"/>
      <w:jc w:val="both"/>
    </w:pPr>
    <w:rPr>
      <w:rFonts w:ascii="Tahoma" w:hAnsi="Tahoma" w:cs="Times New Roman"/>
      <w:kern w:val="2"/>
      <w:szCs w:val="22"/>
    </w:rPr>
  </w:style>
  <w:style w:type="paragraph" w:customStyle="1" w:styleId="461">
    <w:name w:val="xl2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uiPriority w:val="0"/>
    <w:pPr>
      <w:widowControl w:val="0"/>
      <w:jc w:val="both"/>
    </w:pPr>
    <w:rPr>
      <w:rFonts w:ascii="Tahoma" w:hAnsi="Tahoma" w:cs="Times New Roman"/>
      <w:kern w:val="2"/>
      <w:szCs w:val="22"/>
    </w:rPr>
  </w:style>
  <w:style w:type="paragraph" w:customStyle="1" w:styleId="464">
    <w:name w:val="标题3"/>
    <w:basedOn w:val="4"/>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3"/>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20">
    <w:name w:val="Table Paragraph"/>
    <w:basedOn w:val="1"/>
    <w:qFormat/>
    <w:uiPriority w:val="1"/>
    <w:pPr>
      <w:widowControl w:val="0"/>
      <w:jc w:val="both"/>
    </w:pPr>
    <w:rPr>
      <w:rFonts w:ascii="楷体" w:hAnsi="楷体" w:eastAsia="楷体" w:cs="楷体"/>
      <w:kern w:val="2"/>
      <w:sz w:val="2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F3FEE7AC-41FB-48FB-870B-5DF6301538BA}">
  <ds:schemaRefs/>
</ds:datastoreItem>
</file>

<file path=docProps/app.xml><?xml version="1.0" encoding="utf-8"?>
<Properties xmlns="http://schemas.openxmlformats.org/officeDocument/2006/extended-properties" xmlns:vt="http://schemas.openxmlformats.org/officeDocument/2006/docPropsVTypes">
  <Company>china</Company>
  <Pages>1</Pages>
  <Words>544</Words>
  <Characters>3103</Characters>
  <Lines>25</Lines>
  <Paragraphs>7</Paragraphs>
  <TotalTime>134</TotalTime>
  <ScaleCrop>false</ScaleCrop>
  <LinksUpToDate>false</LinksUpToDate>
  <CharactersWithSpaces>3640</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2024-12-04T23:29:00Z</dcterms:created>
  <dc:creator>X GJ</dc:creator>
  <cp:lastModifiedBy>Administrator</cp:lastModifiedBy>
  <dcterms:modified xsi:type="dcterms:W3CDTF">2025-08-12T17:17:36Z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