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9C" w:rsidRDefault="00833DE4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眼科设备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项目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市场调查公告</w:t>
      </w:r>
    </w:p>
    <w:p w:rsidR="0010759C" w:rsidRDefault="0010759C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sz w:val="24"/>
        </w:rPr>
      </w:pPr>
    </w:p>
    <w:p w:rsidR="0010759C" w:rsidRDefault="00833DE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广州医科大学附属番禺中心医院现对</w:t>
      </w:r>
      <w:r>
        <w:rPr>
          <w:rFonts w:ascii="宋体" w:hAnsi="宋体" w:cs="宋体" w:hint="eastAsia"/>
          <w:sz w:val="24"/>
        </w:rPr>
        <w:t>眼科</w:t>
      </w:r>
      <w:r>
        <w:rPr>
          <w:rFonts w:ascii="宋体" w:hAnsi="宋体" w:cs="宋体" w:hint="eastAsia"/>
          <w:sz w:val="24"/>
        </w:rPr>
        <w:t>设备采购项目进行市场调查，请有意向的供应商按以下要求提交资料。所提</w:t>
      </w:r>
      <w:r>
        <w:rPr>
          <w:rFonts w:ascii="宋体" w:hAnsi="宋体" w:cs="宋体"/>
          <w:sz w:val="24"/>
        </w:rPr>
        <w:t>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10759C" w:rsidRDefault="00833DE4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6"/>
        <w:tblW w:w="8881" w:type="dxa"/>
        <w:jc w:val="center"/>
        <w:tblLook w:val="04A0" w:firstRow="1" w:lastRow="0" w:firstColumn="1" w:lastColumn="0" w:noHBand="0" w:noVBand="1"/>
      </w:tblPr>
      <w:tblGrid>
        <w:gridCol w:w="718"/>
        <w:gridCol w:w="2968"/>
        <w:gridCol w:w="751"/>
        <w:gridCol w:w="4444"/>
      </w:tblGrid>
      <w:tr w:rsidR="0010759C">
        <w:trPr>
          <w:jc w:val="center"/>
        </w:trPr>
        <w:tc>
          <w:tcPr>
            <w:tcW w:w="718" w:type="dxa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751" w:type="dxa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4444" w:type="dxa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10759C">
        <w:trPr>
          <w:jc w:val="center"/>
        </w:trPr>
        <w:tc>
          <w:tcPr>
            <w:tcW w:w="718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角膜内皮计</w:t>
            </w:r>
          </w:p>
        </w:tc>
        <w:tc>
          <w:tcPr>
            <w:tcW w:w="751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4444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测量角膜内皮密度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</w:tc>
      </w:tr>
      <w:tr w:rsidR="0010759C">
        <w:trPr>
          <w:jc w:val="center"/>
        </w:trPr>
        <w:tc>
          <w:tcPr>
            <w:tcW w:w="718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2</w:t>
            </w:r>
          </w:p>
        </w:tc>
        <w:tc>
          <w:tcPr>
            <w:tcW w:w="2968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多波长眼底激光治疗仪</w:t>
            </w:r>
          </w:p>
        </w:tc>
        <w:tc>
          <w:tcPr>
            <w:tcW w:w="751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4444" w:type="dxa"/>
            <w:vAlign w:val="center"/>
          </w:tcPr>
          <w:p w:rsidR="0010759C" w:rsidRDefault="00833DE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眼科治疗眼底疾病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</w:tc>
      </w:tr>
    </w:tbl>
    <w:p w:rsidR="0010759C" w:rsidRDefault="00833DE4">
      <w:pPr>
        <w:pStyle w:val="a7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571" w:type="dxa"/>
        <w:tblLook w:val="04A0" w:firstRow="1" w:lastRow="0" w:firstColumn="1" w:lastColumn="0" w:noHBand="0" w:noVBand="1"/>
      </w:tblPr>
      <w:tblGrid>
        <w:gridCol w:w="1944"/>
        <w:gridCol w:w="4899"/>
        <w:gridCol w:w="1728"/>
      </w:tblGrid>
      <w:tr w:rsidR="0010759C">
        <w:trPr>
          <w:trHeight w:val="802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0759C" w:rsidRDefault="00833DE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0759C" w:rsidRDefault="00833DE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/>
                <w:b/>
                <w:bCs/>
                <w:sz w:val="24"/>
              </w:rPr>
              <w:t>（仅参考）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0759C" w:rsidRDefault="00833DE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配置清单</w:t>
            </w:r>
          </w:p>
        </w:tc>
      </w:tr>
      <w:tr w:rsidR="0010759C">
        <w:trPr>
          <w:trHeight w:val="634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0759C" w:rsidRDefault="00833D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角膜内皮计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0759C" w:rsidRDefault="00833DE4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主要应用于测量角膜内皮密度，是眼科常规的检查设备之一，可用于眼科病人术前、术后检查。</w:t>
            </w:r>
          </w:p>
          <w:p w:rsidR="0010759C" w:rsidRDefault="00833D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10759C" w:rsidRDefault="00833D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可测量数据：包含但不限于细胞密度、细胞面积变异系数、平均细胞面积、角膜厚度、六边形细胞比例等。</w:t>
            </w:r>
          </w:p>
          <w:p w:rsidR="0010759C" w:rsidRDefault="00833D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测量精准度：最大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最小细胞面积误差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≤20%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10759C" w:rsidRDefault="00833DE4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成像系统：可清晰显示细胞形态细节，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可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支持广角拍照模式。</w:t>
            </w:r>
          </w:p>
          <w:p w:rsidR="0010759C" w:rsidRDefault="00833DE4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4.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支持触摸屏操作，对焦方式支持自动、半自动、手动三种模式可选。</w:t>
            </w:r>
          </w:p>
          <w:p w:rsidR="0010759C" w:rsidRDefault="00833DE4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5.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具备快速自动测量和分析功能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0759C" w:rsidRDefault="00833DE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标准配置</w:t>
            </w:r>
          </w:p>
        </w:tc>
      </w:tr>
      <w:tr w:rsidR="0010759C">
        <w:trPr>
          <w:trHeight w:val="4367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0759C" w:rsidRDefault="00833DE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lastRenderedPageBreak/>
              <w:t>多波长眼底激光治疗仪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0759C" w:rsidRDefault="00833DE4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主要应用于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眼科治疗眼底疾病，通过不同波长的激光精准作用于视网膜病变部位，达到治疗目的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10759C" w:rsidRDefault="00833D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参数需求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10759C" w:rsidRDefault="00833DE4">
            <w:pPr>
              <w:spacing w:line="360" w:lineRule="auto"/>
              <w:rPr>
                <w:rFonts w:eastAsiaTheme="major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输出激光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‌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包含但不限于三种波长激光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10759C" w:rsidRDefault="00833DE4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输出能量：能满足各类眼底疾病的需求，输出功率、能量密度稳定，输出误差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≤±20%</w:t>
            </w:r>
            <w:r>
              <w:rPr>
                <w:rFonts w:eastAsiaTheme="majorEastAsia"/>
                <w:sz w:val="24"/>
                <w:lang w:bidi="ar"/>
              </w:rPr>
              <w:t>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10759C" w:rsidRDefault="00833DE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冷却系统能保障设备长时间运行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0759C" w:rsidRDefault="00833DE4">
            <w:pPr>
              <w:pStyle w:val="TableParagraph"/>
              <w:spacing w:before="67" w:line="313" w:lineRule="exac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需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配置安全防护装置。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0759C" w:rsidRDefault="00833DE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标准配置</w:t>
            </w:r>
          </w:p>
        </w:tc>
      </w:tr>
    </w:tbl>
    <w:p w:rsidR="0010759C" w:rsidRDefault="00833DE4">
      <w:pPr>
        <w:pStyle w:val="a5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10759C" w:rsidRDefault="00833DE4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</w:p>
    <w:p w:rsidR="0010759C" w:rsidRDefault="00833DE4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10759C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/</w:t>
            </w:r>
          </w:p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10759C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759C" w:rsidRDefault="001075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10759C" w:rsidRDefault="00833DE4">
      <w:pPr>
        <w:tabs>
          <w:tab w:val="left" w:pos="780"/>
        </w:tabs>
        <w:spacing w:line="360" w:lineRule="exact"/>
        <w:ind w:firstLineChars="200" w:firstLine="442"/>
        <w:rPr>
          <w:rFonts w:ascii="仿宋" w:eastAsia="仿宋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</w:t>
      </w:r>
      <w:r>
        <w:rPr>
          <w:rFonts w:ascii="仿宋" w:eastAsia="仿宋" w:hAnsi="仿宋" w:hint="eastAsia"/>
          <w:b/>
          <w:bCs/>
          <w:sz w:val="22"/>
          <w:szCs w:val="22"/>
        </w:rPr>
        <w:t>联系人、联系电话；</w:t>
      </w:r>
    </w:p>
    <w:p w:rsidR="0010759C" w:rsidRDefault="00833DE4">
      <w:pPr>
        <w:tabs>
          <w:tab w:val="left" w:pos="780"/>
        </w:tabs>
        <w:spacing w:line="360" w:lineRule="exact"/>
        <w:ind w:firstLineChars="200" w:firstLine="442"/>
        <w:rPr>
          <w:rFonts w:ascii="仿宋" w:eastAsia="仿宋_GB2312" w:hAnsi="仿宋"/>
          <w:b/>
          <w:bCs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22"/>
          <w:szCs w:val="22"/>
        </w:rPr>
        <w:t>★设备使用年限多少年。</w:t>
      </w:r>
    </w:p>
    <w:p w:rsidR="0010759C" w:rsidRDefault="00833DE4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10759C" w:rsidRDefault="00833DE4"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/>
          <w:bCs/>
          <w:szCs w:val="21"/>
          <w:shd w:val="clear" w:color="auto" w:fill="FFFFFF"/>
        </w:rPr>
        <w:t>耗材</w:t>
      </w:r>
      <w:r>
        <w:rPr>
          <w:rFonts w:ascii="宋体" w:hAnsi="宋体" w:hint="eastAsia"/>
          <w:bCs/>
          <w:szCs w:val="21"/>
          <w:shd w:val="clear" w:color="auto" w:fill="FFFFFF"/>
        </w:rPr>
        <w:t>试剂</w:t>
      </w:r>
      <w:r>
        <w:rPr>
          <w:rFonts w:ascii="宋体" w:hAnsi="宋体"/>
          <w:bCs/>
          <w:szCs w:val="21"/>
          <w:shd w:val="clear" w:color="auto" w:fill="FFFFFF"/>
        </w:rPr>
        <w:t>报价</w:t>
      </w:r>
      <w:r>
        <w:rPr>
          <w:rFonts w:ascii="宋体" w:hAnsi="宋体" w:hint="eastAsia"/>
          <w:bCs/>
          <w:szCs w:val="21"/>
          <w:shd w:val="clear" w:color="auto" w:fill="FFFFFF"/>
        </w:rPr>
        <w:t>、设备主要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10813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930"/>
        <w:gridCol w:w="1432"/>
        <w:gridCol w:w="1241"/>
        <w:gridCol w:w="845"/>
        <w:gridCol w:w="968"/>
        <w:gridCol w:w="1159"/>
        <w:gridCol w:w="1105"/>
        <w:gridCol w:w="1104"/>
        <w:gridCol w:w="1064"/>
        <w:gridCol w:w="965"/>
      </w:tblGrid>
      <w:tr w:rsidR="0010759C">
        <w:tc>
          <w:tcPr>
            <w:tcW w:w="930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32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耗材产品名称</w:t>
            </w:r>
          </w:p>
        </w:tc>
        <w:tc>
          <w:tcPr>
            <w:tcW w:w="1241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耗材规格型号</w:t>
            </w:r>
          </w:p>
        </w:tc>
        <w:tc>
          <w:tcPr>
            <w:tcW w:w="845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968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159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1105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医保码</w:t>
            </w:r>
            <w:proofErr w:type="gramEnd"/>
          </w:p>
        </w:tc>
        <w:tc>
          <w:tcPr>
            <w:tcW w:w="1104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是否一次性使用耗材</w:t>
            </w:r>
          </w:p>
        </w:tc>
        <w:tc>
          <w:tcPr>
            <w:tcW w:w="1064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是否专机专用耗材</w:t>
            </w:r>
          </w:p>
        </w:tc>
        <w:tc>
          <w:tcPr>
            <w:tcW w:w="965" w:type="dxa"/>
          </w:tcPr>
          <w:p w:rsidR="0010759C" w:rsidRDefault="00833D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0759C">
        <w:tc>
          <w:tcPr>
            <w:tcW w:w="930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2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41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5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8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5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4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4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5" w:type="dxa"/>
          </w:tcPr>
          <w:p w:rsidR="0010759C" w:rsidRDefault="00107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</w:tbl>
    <w:p w:rsidR="0010759C" w:rsidRDefault="00833DE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（如有）提供耗材试剂单份、单人成本效益分析。</w:t>
      </w:r>
    </w:p>
    <w:p w:rsidR="0010759C" w:rsidRDefault="00833D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3.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 w:rsidR="0010759C" w:rsidRDefault="00833DE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4.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 w:rsidR="0010759C" w:rsidRDefault="00833DE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5.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szCs w:val="21"/>
          <w:shd w:val="clear" w:color="auto" w:fill="FFFFFF"/>
        </w:rPr>
        <w:t>或备案表</w:t>
      </w:r>
    </w:p>
    <w:p w:rsidR="0010759C" w:rsidRDefault="00833D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>6.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ascii="宋体" w:hAnsi="宋体" w:hint="eastAsia"/>
          <w:szCs w:val="21"/>
          <w:shd w:val="clear" w:color="auto" w:fill="FFFFFF"/>
        </w:rPr>
        <w:t>资质证明材料</w:t>
      </w:r>
    </w:p>
    <w:p w:rsidR="0010759C" w:rsidRDefault="00833DE4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szCs w:val="21"/>
          <w:shd w:val="clear" w:color="auto" w:fill="FFFFFF"/>
        </w:rPr>
        <w:t>中小企业声明函（货物）</w:t>
      </w:r>
    </w:p>
    <w:p w:rsidR="0010759C" w:rsidRDefault="00833D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同型号设备用户名单（</w:t>
      </w:r>
      <w:proofErr w:type="gramStart"/>
      <w:r>
        <w:rPr>
          <w:rFonts w:ascii="宋体" w:hAnsi="宋体" w:hint="eastAsia"/>
          <w:szCs w:val="21"/>
        </w:rPr>
        <w:t>附引进</w:t>
      </w:r>
      <w:proofErr w:type="gramEnd"/>
      <w:r>
        <w:rPr>
          <w:rFonts w:ascii="宋体" w:hAnsi="宋体" w:hint="eastAsia"/>
          <w:szCs w:val="21"/>
        </w:rPr>
        <w:t>日期）</w:t>
      </w:r>
    </w:p>
    <w:p w:rsidR="0010759C" w:rsidRDefault="00833D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lastRenderedPageBreak/>
        <w:t>9.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ascii="宋体" w:hAnsi="宋体" w:hint="eastAsia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</w:t>
      </w:r>
      <w:r>
        <w:rPr>
          <w:rFonts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份</w:t>
      </w:r>
      <w:r>
        <w:rPr>
          <w:rFonts w:ascii="宋体" w:hAnsi="宋体" w:hint="eastAsia"/>
          <w:szCs w:val="21"/>
          <w:shd w:val="clear" w:color="auto" w:fill="FFFFFF"/>
        </w:rPr>
        <w:t>，优先提供中山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医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系统、南方医院系统、广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医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10759C" w:rsidRDefault="00833DE4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ascii="宋体" w:hAnsi="宋体" w:hint="eastAsia"/>
          <w:szCs w:val="21"/>
          <w:shd w:val="clear" w:color="auto" w:fill="FFFFFF"/>
        </w:rPr>
        <w:t>0.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ascii="宋体" w:hAnsi="宋体" w:hint="eastAsia"/>
          <w:szCs w:val="21"/>
          <w:shd w:val="clear" w:color="auto" w:fill="FFFFFF"/>
        </w:rPr>
        <w:t>、产品介绍</w:t>
      </w:r>
    </w:p>
    <w:p w:rsidR="0010759C" w:rsidRDefault="00833DE4">
      <w:pPr>
        <w:pStyle w:val="a3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proofErr w:type="gramStart"/>
      <w:r>
        <w:rPr>
          <w:rFonts w:ascii="宋体" w:hAnsi="宋体"/>
          <w:kern w:val="2"/>
          <w:sz w:val="21"/>
          <w:szCs w:val="21"/>
          <w:shd w:val="clear" w:color="auto" w:fill="FFFFFF"/>
        </w:rPr>
        <w:t>作出</w:t>
      </w:r>
      <w:proofErr w:type="gramEnd"/>
      <w:r>
        <w:rPr>
          <w:rFonts w:ascii="宋体" w:hAnsi="宋体"/>
          <w:kern w:val="2"/>
          <w:sz w:val="21"/>
          <w:szCs w:val="21"/>
          <w:shd w:val="clear" w:color="auto" w:fill="FFFFFF"/>
        </w:rPr>
        <w:t>明确响应，列明</w:t>
      </w:r>
      <w:proofErr w:type="gramStart"/>
      <w:r>
        <w:rPr>
          <w:rFonts w:ascii="宋体" w:hAnsi="宋体"/>
          <w:kern w:val="2"/>
          <w:sz w:val="21"/>
          <w:szCs w:val="21"/>
          <w:shd w:val="clear" w:color="auto" w:fill="FFFFFF"/>
        </w:rPr>
        <w:t>具体响应</w:t>
      </w:r>
      <w:proofErr w:type="gramEnd"/>
      <w:r>
        <w:rPr>
          <w:rFonts w:ascii="宋体" w:hAnsi="宋体"/>
          <w:kern w:val="2"/>
          <w:sz w:val="21"/>
          <w:szCs w:val="21"/>
          <w:shd w:val="clear" w:color="auto" w:fill="FFFFFF"/>
        </w:rPr>
        <w:t>数值或内容）</w:t>
      </w:r>
    </w:p>
    <w:p w:rsidR="0010759C" w:rsidRDefault="00833DE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  <w:shd w:val="clear" w:color="auto" w:fill="FFFFFF"/>
        </w:rPr>
        <w:t>（二）生产厂家所属企业类型（大型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号）文件精神，中小企业划型标准如下：</w:t>
      </w:r>
    </w:p>
    <w:p w:rsidR="0010759C" w:rsidRDefault="00833DE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10759C" w:rsidRDefault="00833DE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（三）报名材料提交时间</w:t>
      </w:r>
      <w:r>
        <w:rPr>
          <w:rFonts w:ascii="宋体" w:hAnsi="宋体" w:cs="宋体" w:hint="eastAsia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9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1</w:t>
      </w:r>
      <w:r>
        <w:rPr>
          <w:rFonts w:ascii="宋体" w:hAnsi="宋体" w:cs="宋体"/>
          <w:szCs w:val="21"/>
          <w:shd w:val="clear" w:color="auto" w:fill="FFFFFF"/>
        </w:rPr>
        <w:t>8</w:t>
      </w:r>
      <w:r>
        <w:rPr>
          <w:rFonts w:ascii="宋体" w:hAnsi="宋体" w:cs="宋体" w:hint="eastAsia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9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24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szCs w:val="21"/>
          <w:shd w:val="clear" w:color="auto" w:fill="FFFFFF"/>
        </w:rPr>
        <w:t>，后续等通知邀请现场会议。</w:t>
      </w:r>
    </w:p>
    <w:p w:rsidR="0010759C" w:rsidRDefault="00833DE4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szCs w:val="21"/>
          <w:shd w:val="clear" w:color="auto" w:fill="FFFFFF"/>
        </w:rPr>
        <w:t>纸质材料一式六份（一正五副），先寄一份正本纸质材料到医院地点。</w:t>
      </w:r>
    </w:p>
    <w:p w:rsidR="0010759C" w:rsidRDefault="00833DE4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szCs w:val="21"/>
          <w:shd w:val="clear" w:color="auto" w:fill="FFFFFF"/>
        </w:rPr>
        <w:t>扫描一份市场调研材料以</w:t>
      </w:r>
      <w:r>
        <w:rPr>
          <w:rFonts w:ascii="宋体" w:hAnsi="宋体" w:cs="宋体" w:hint="eastAsia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szCs w:val="21"/>
          <w:shd w:val="clear" w:color="auto" w:fill="FFFFFF"/>
        </w:rPr>
        <w:t>pyz</w:t>
      </w:r>
      <w:r>
        <w:rPr>
          <w:rFonts w:ascii="宋体" w:hAnsi="宋体" w:cs="宋体" w:hint="eastAsia"/>
          <w:szCs w:val="21"/>
          <w:shd w:val="clear" w:color="auto" w:fill="FFFFFF"/>
        </w:rPr>
        <w:t>xyysbk@163.com</w:t>
      </w:r>
      <w:r>
        <w:rPr>
          <w:rFonts w:ascii="宋体" w:hAnsi="宋体" w:cs="宋体" w:hint="eastAsia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szCs w:val="21"/>
          <w:shd w:val="clear" w:color="auto" w:fill="FFFFFF"/>
        </w:rPr>
        <w:t>+</w:t>
      </w:r>
      <w:r>
        <w:rPr>
          <w:rFonts w:ascii="宋体" w:hAnsi="宋体" w:cs="宋体" w:hint="eastAsia"/>
          <w:szCs w:val="21"/>
          <w:shd w:val="clear" w:color="auto" w:fill="FFFFFF"/>
        </w:rPr>
        <w:t>供应商。</w:t>
      </w:r>
    </w:p>
    <w:p w:rsidR="0010759C" w:rsidRDefault="00833DE4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后续通过电子邮件</w:t>
      </w:r>
      <w:r>
        <w:rPr>
          <w:rFonts w:ascii="宋体" w:hAnsi="宋体" w:cs="宋体" w:hint="eastAsia"/>
          <w:szCs w:val="21"/>
          <w:shd w:val="clear" w:color="auto" w:fill="FFFFFF"/>
        </w:rPr>
        <w:t>/</w:t>
      </w:r>
      <w:r>
        <w:rPr>
          <w:rFonts w:ascii="宋体" w:hAnsi="宋体" w:cs="宋体" w:hint="eastAsia"/>
          <w:szCs w:val="21"/>
          <w:shd w:val="clear" w:color="auto" w:fill="FFFFFF"/>
        </w:rPr>
        <w:t>电话通知市场调查会议时间，会议当天准备多带几份纸质材料。</w:t>
      </w:r>
    </w:p>
    <w:p w:rsidR="0010759C" w:rsidRDefault="00833DE4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（四）医院联系方式</w:t>
      </w:r>
    </w:p>
    <w:p w:rsidR="0010759C" w:rsidRDefault="00833D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番禺中心医院设备科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戴</w:t>
      </w:r>
      <w:r>
        <w:rPr>
          <w:rFonts w:ascii="宋体" w:hAnsi="宋体" w:hint="eastAsia"/>
          <w:szCs w:val="21"/>
        </w:rPr>
        <w:t>工，</w:t>
      </w:r>
      <w:r>
        <w:rPr>
          <w:rFonts w:ascii="宋体" w:hAnsi="宋体" w:hint="eastAsia"/>
          <w:szCs w:val="21"/>
        </w:rPr>
        <w:t>020-</w:t>
      </w:r>
      <w:r>
        <w:rPr>
          <w:rFonts w:ascii="宋体" w:hAnsi="宋体"/>
          <w:szCs w:val="21"/>
        </w:rPr>
        <w:t>34858223</w:t>
      </w:r>
    </w:p>
    <w:p w:rsidR="0010759C" w:rsidRDefault="00833DE4"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szCs w:val="21"/>
        </w:rPr>
        <w:t>收件地址：广州市</w:t>
      </w:r>
      <w:proofErr w:type="gramStart"/>
      <w:r>
        <w:rPr>
          <w:rFonts w:ascii="宋体" w:hAnsi="宋体" w:hint="eastAsia"/>
          <w:szCs w:val="21"/>
        </w:rPr>
        <w:t>番禺区</w:t>
      </w:r>
      <w:proofErr w:type="gramEnd"/>
      <w:r>
        <w:rPr>
          <w:rFonts w:ascii="宋体" w:hAnsi="宋体" w:hint="eastAsia"/>
          <w:szCs w:val="21"/>
        </w:rPr>
        <w:t>桥南街福</w:t>
      </w:r>
      <w:proofErr w:type="gramStart"/>
      <w:r>
        <w:rPr>
          <w:rFonts w:ascii="宋体" w:hAnsi="宋体" w:hint="eastAsia"/>
          <w:szCs w:val="21"/>
        </w:rPr>
        <w:t>愉</w:t>
      </w:r>
      <w:proofErr w:type="gramEnd"/>
      <w:r>
        <w:rPr>
          <w:rFonts w:ascii="宋体" w:hAnsi="宋体" w:hint="eastAsia"/>
          <w:szCs w:val="21"/>
        </w:rPr>
        <w:t>东路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号儿童发热门诊大楼三</w:t>
      </w:r>
      <w:proofErr w:type="gramStart"/>
      <w:r>
        <w:rPr>
          <w:rFonts w:ascii="宋体" w:hAnsi="宋体" w:hint="eastAsia"/>
          <w:szCs w:val="21"/>
        </w:rPr>
        <w:t>楼设备</w:t>
      </w:r>
      <w:proofErr w:type="gramEnd"/>
      <w:r>
        <w:rPr>
          <w:rFonts w:ascii="宋体" w:hAnsi="宋体" w:hint="eastAsia"/>
          <w:szCs w:val="21"/>
        </w:rPr>
        <w:t>科</w:t>
      </w:r>
    </w:p>
    <w:p w:rsidR="0010759C" w:rsidRDefault="0010759C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 w:rsidR="0010759C" w:rsidRDefault="00833DE4">
      <w:pPr>
        <w:tabs>
          <w:tab w:val="left" w:pos="114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shd w:val="clear" w:color="auto" w:fill="FFFFFF"/>
        </w:rPr>
        <w:t>附件：</w:t>
      </w:r>
      <w:r>
        <w:rPr>
          <w:rFonts w:ascii="宋体" w:hAnsi="宋体" w:hint="eastAsia"/>
          <w:szCs w:val="21"/>
        </w:rPr>
        <w:t>广州医科大学附属番禺中心医院</w:t>
      </w:r>
      <w:r>
        <w:rPr>
          <w:rFonts w:ascii="宋体" w:hAnsi="宋体" w:hint="eastAsia"/>
          <w:szCs w:val="21"/>
        </w:rPr>
        <w:t>眼科</w:t>
      </w:r>
      <w:r>
        <w:rPr>
          <w:rFonts w:ascii="宋体" w:hAnsi="宋体" w:hint="eastAsia"/>
          <w:szCs w:val="21"/>
        </w:rPr>
        <w:t>设备采购项目市场调查公告</w:t>
      </w:r>
    </w:p>
    <w:p w:rsidR="0010759C" w:rsidRDefault="0010759C">
      <w:pPr>
        <w:spacing w:line="360" w:lineRule="auto"/>
        <w:rPr>
          <w:rFonts w:ascii="宋体" w:hAnsi="宋体"/>
          <w:szCs w:val="21"/>
        </w:rPr>
      </w:pPr>
    </w:p>
    <w:p w:rsidR="0010759C" w:rsidRDefault="00833DE4">
      <w:pPr>
        <w:pStyle w:val="a7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广州医科大学附属番禺中心医院</w:t>
      </w:r>
    </w:p>
    <w:p w:rsidR="0010759C" w:rsidRDefault="00833DE4" w:rsidP="00833DE4">
      <w:pPr>
        <w:pStyle w:val="a7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hint="eastAsia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日</w:t>
      </w:r>
    </w:p>
    <w:sectPr w:rsidR="0010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C"/>
    <w:rsid w:val="FFE6A886"/>
    <w:rsid w:val="0010759C"/>
    <w:rsid w:val="00833DE4"/>
    <w:rsid w:val="56590242"/>
    <w:rsid w:val="597638E0"/>
    <w:rsid w:val="6A25F0A5"/>
    <w:rsid w:val="7E4F840D"/>
    <w:rsid w:val="7FF8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BE039"/>
  <w15:docId w15:val="{F3C4B107-7826-48E9-9AAB-85B15C99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rFonts w:ascii="Times New Roman" w:eastAsia="宋体" w:hAnsi="Times New Roman" w:cs="Times New Roman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3DE4"/>
    <w:rPr>
      <w:sz w:val="18"/>
      <w:szCs w:val="18"/>
    </w:rPr>
  </w:style>
  <w:style w:type="character" w:customStyle="1" w:styleId="a9">
    <w:name w:val="批注框文本 字符"/>
    <w:basedOn w:val="a0"/>
    <w:link w:val="a8"/>
    <w:rsid w:val="00833D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肖翔</cp:lastModifiedBy>
  <cp:revision>2</cp:revision>
  <dcterms:created xsi:type="dcterms:W3CDTF">2025-09-18T01:24:00Z</dcterms:created>
  <dcterms:modified xsi:type="dcterms:W3CDTF">2025-09-18T00:07:00Z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eyJoZGlkIjoiMTBlZGQzNWVkODA4Mzg5NDNkOTA2NDhiYjJiZmQ0YjQiLCJ1c2VySWQiOiI2NTc3NDQxODYifQ==</vt:lpwstr>
  </property>
  <property fmtid="{D5CDD505-2E9C-101B-9397-08002B2CF9AE}" pid="4" name="ICV">
    <vt:lpwstr>6D9CA53FF45743DC901C4A62752D9C9D_12</vt:lpwstr>
  </property>
</Properties>
</file>