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87" w:rsidRDefault="00BA3932">
      <w:pPr>
        <w:spacing w:line="360" w:lineRule="auto"/>
        <w:ind w:leftChars="200" w:left="42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广州医科大学附属番禺中心医院</w:t>
      </w:r>
      <w:r>
        <w:rPr>
          <w:rFonts w:hint="eastAsia"/>
          <w:b/>
          <w:bCs/>
          <w:sz w:val="44"/>
          <w:szCs w:val="44"/>
        </w:rPr>
        <w:t>工会委员会员工秋游</w:t>
      </w:r>
      <w:r>
        <w:rPr>
          <w:rFonts w:hint="eastAsia"/>
          <w:b/>
          <w:bCs/>
          <w:sz w:val="44"/>
          <w:szCs w:val="44"/>
        </w:rPr>
        <w:t>服务用户需求书</w:t>
      </w:r>
    </w:p>
    <w:p w:rsidR="008E1A87" w:rsidRDefault="00BA3932">
      <w:pPr>
        <w:numPr>
          <w:ilvl w:val="0"/>
          <w:numId w:val="1"/>
        </w:numPr>
        <w:spacing w:line="360" w:lineRule="auto"/>
        <w:ind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项目概况</w:t>
      </w:r>
    </w:p>
    <w:tbl>
      <w:tblPr>
        <w:tblpPr w:leftFromText="180" w:rightFromText="180" w:vertAnchor="text" w:horzAnchor="margin" w:tblpXSpec="center" w:tblpY="71"/>
        <w:tblW w:w="8998" w:type="dxa"/>
        <w:tblBorders>
          <w:top w:val="single" w:sz="4" w:space="0" w:color="auto"/>
          <w:left w:val="single" w:sz="4" w:space="0" w:color="auto"/>
          <w:bottom w:val="single" w:sz="6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7"/>
        <w:gridCol w:w="2233"/>
        <w:gridCol w:w="1559"/>
        <w:gridCol w:w="1559"/>
      </w:tblGrid>
      <w:tr w:rsidR="008E1A87">
        <w:trPr>
          <w:trHeight w:val="923"/>
        </w:trPr>
        <w:tc>
          <w:tcPr>
            <w:tcW w:w="3647" w:type="dxa"/>
            <w:vAlign w:val="center"/>
          </w:tcPr>
          <w:p w:rsidR="008E1A87" w:rsidRDefault="00BA393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使用科室</w:t>
            </w:r>
          </w:p>
        </w:tc>
        <w:tc>
          <w:tcPr>
            <w:tcW w:w="2233" w:type="dxa"/>
            <w:vAlign w:val="center"/>
          </w:tcPr>
          <w:p w:rsidR="008E1A87" w:rsidRDefault="00BA393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1559" w:type="dxa"/>
            <w:vAlign w:val="center"/>
          </w:tcPr>
          <w:p w:rsidR="008E1A87" w:rsidRDefault="00BA393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预算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总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金额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559" w:type="dxa"/>
            <w:vAlign w:val="center"/>
          </w:tcPr>
          <w:p w:rsidR="008E1A87" w:rsidRDefault="00BA393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最高单价限价（元）</w:t>
            </w:r>
          </w:p>
        </w:tc>
      </w:tr>
      <w:tr w:rsidR="008E1A87">
        <w:trPr>
          <w:trHeight w:val="743"/>
        </w:trPr>
        <w:tc>
          <w:tcPr>
            <w:tcW w:w="3647" w:type="dxa"/>
            <w:vAlign w:val="center"/>
          </w:tcPr>
          <w:p w:rsidR="008E1A87" w:rsidRDefault="00BA393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bookmarkStart w:id="0" w:name="_Hlk161997151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广州医科大学附属番禺中心医院</w:t>
            </w:r>
            <w:bookmarkEnd w:id="0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工会委员会</w:t>
            </w:r>
          </w:p>
        </w:tc>
        <w:tc>
          <w:tcPr>
            <w:tcW w:w="2233" w:type="dxa"/>
            <w:vAlign w:val="center"/>
          </w:tcPr>
          <w:p w:rsidR="008E1A87" w:rsidRDefault="00BA39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员工秋游活动</w:t>
            </w:r>
          </w:p>
        </w:tc>
        <w:tc>
          <w:tcPr>
            <w:tcW w:w="1559" w:type="dxa"/>
            <w:vAlign w:val="center"/>
          </w:tcPr>
          <w:p w:rsidR="008E1A87" w:rsidRDefault="00BA39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203100</w:t>
            </w:r>
          </w:p>
        </w:tc>
        <w:tc>
          <w:tcPr>
            <w:tcW w:w="1559" w:type="dxa"/>
            <w:vAlign w:val="center"/>
          </w:tcPr>
          <w:p w:rsidR="008E1A87" w:rsidRDefault="00BA393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130</w:t>
            </w:r>
          </w:p>
        </w:tc>
      </w:tr>
    </w:tbl>
    <w:p w:rsidR="008E1A87" w:rsidRDefault="008E1A87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8E1A87" w:rsidRDefault="00BA3932">
      <w:pPr>
        <w:pStyle w:val="af"/>
        <w:numPr>
          <w:ilvl w:val="0"/>
          <w:numId w:val="2"/>
        </w:numPr>
        <w:tabs>
          <w:tab w:val="left" w:pos="709"/>
          <w:tab w:val="left" w:pos="3570"/>
        </w:tabs>
        <w:ind w:lef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报价范围的定义</w:t>
      </w:r>
    </w:p>
    <w:p w:rsidR="008E1A87" w:rsidRDefault="00BA393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包含发生的车费、午餐费、</w:t>
      </w:r>
      <w:r>
        <w:rPr>
          <w:rFonts w:ascii="仿宋_GB2312" w:eastAsia="仿宋_GB2312" w:hAnsi="仿宋_GB2312" w:cs="仿宋_GB2312" w:hint="eastAsia"/>
          <w:sz w:val="28"/>
          <w:szCs w:val="28"/>
        </w:rPr>
        <w:t>门票、</w:t>
      </w:r>
      <w:r>
        <w:rPr>
          <w:rFonts w:ascii="仿宋_GB2312" w:eastAsia="仿宋_GB2312" w:hAnsi="仿宋_GB2312" w:cs="仿宋_GB2312" w:hint="eastAsia"/>
          <w:sz w:val="28"/>
          <w:szCs w:val="28"/>
        </w:rPr>
        <w:t>保险费和水费（矿泉水每人一支）</w:t>
      </w:r>
      <w:r>
        <w:rPr>
          <w:rFonts w:ascii="仿宋_GB2312" w:eastAsia="仿宋_GB2312" w:hAnsi="仿宋_GB2312" w:cs="仿宋_GB2312" w:hint="eastAsia"/>
          <w:sz w:val="28"/>
          <w:szCs w:val="28"/>
        </w:rPr>
        <w:t>等</w:t>
      </w:r>
      <w:r>
        <w:rPr>
          <w:rFonts w:ascii="仿宋_GB2312" w:eastAsia="仿宋_GB2312" w:hAnsi="仿宋_GB2312" w:cs="仿宋_GB2312" w:hint="eastAsia"/>
          <w:sz w:val="28"/>
          <w:szCs w:val="28"/>
        </w:rPr>
        <w:t>含税费用，</w:t>
      </w:r>
      <w:r w:rsidRPr="00BA3932">
        <w:rPr>
          <w:rFonts w:ascii="仿宋_GB2312" w:eastAsia="仿宋_GB2312" w:hAnsi="仿宋_GB2312" w:cs="仿宋_GB2312" w:hint="eastAsia"/>
          <w:color w:val="0D0D0D"/>
          <w:sz w:val="28"/>
          <w:szCs w:val="28"/>
        </w:rPr>
        <w:t>采购结算金额以</w:t>
      </w:r>
      <w:r w:rsidRPr="00BA3932">
        <w:rPr>
          <w:rFonts w:ascii="仿宋_GB2312" w:eastAsia="仿宋_GB2312" w:hAnsi="仿宋_GB2312" w:cs="仿宋_GB2312"/>
          <w:color w:val="0D0D0D"/>
          <w:sz w:val="28"/>
          <w:szCs w:val="28"/>
        </w:rPr>
        <w:t>成交</w:t>
      </w:r>
      <w:r w:rsidRPr="00BA3932">
        <w:rPr>
          <w:rFonts w:ascii="仿宋_GB2312" w:eastAsia="仿宋_GB2312" w:hAnsi="仿宋_GB2312" w:cs="仿宋_GB2312" w:hint="eastAsia"/>
          <w:color w:val="0D0D0D"/>
          <w:sz w:val="28"/>
          <w:szCs w:val="28"/>
        </w:rPr>
        <w:t>单价</w:t>
      </w:r>
      <w:r w:rsidRPr="00BA3932">
        <w:rPr>
          <w:rFonts w:ascii="仿宋_GB2312" w:eastAsia="仿宋_GB2312" w:hAnsi="仿宋_GB2312" w:cs="仿宋_GB2312"/>
          <w:color w:val="0D0D0D"/>
          <w:sz w:val="28"/>
          <w:szCs w:val="28"/>
          <w:lang w:bidi="ar"/>
        </w:rPr>
        <w:t>*</w:t>
      </w:r>
      <w:r w:rsidRPr="00BA3932">
        <w:rPr>
          <w:rFonts w:ascii="仿宋_GB2312" w:eastAsia="仿宋_GB2312" w:hAnsi="仿宋_GB2312" w:cs="仿宋_GB2312"/>
          <w:color w:val="0D0D0D"/>
          <w:sz w:val="28"/>
          <w:szCs w:val="28"/>
          <w:lang w:bidi="ar"/>
        </w:rPr>
        <w:t>实际出行人数</w:t>
      </w:r>
      <w:r w:rsidRPr="00BA3932">
        <w:rPr>
          <w:rFonts w:ascii="仿宋_GB2312" w:eastAsia="仿宋_GB2312" w:hAnsi="仿宋_GB2312" w:cs="仿宋_GB2312"/>
          <w:color w:val="0D0D0D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。项目结算金额不得超过本项目采购预算金额。</w:t>
      </w:r>
    </w:p>
    <w:p w:rsidR="008E1A87" w:rsidRDefault="00BA3932">
      <w:pPr>
        <w:pStyle w:val="af"/>
        <w:numPr>
          <w:ilvl w:val="0"/>
          <w:numId w:val="2"/>
        </w:numPr>
        <w:tabs>
          <w:tab w:val="left" w:pos="709"/>
          <w:tab w:val="left" w:pos="3570"/>
        </w:tabs>
        <w:ind w:lef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资格要求</w:t>
      </w:r>
    </w:p>
    <w:p w:rsidR="008E1A87" w:rsidRDefault="00BA3932">
      <w:pPr>
        <w:pStyle w:val="af"/>
        <w:numPr>
          <w:ilvl w:val="255"/>
          <w:numId w:val="0"/>
        </w:numPr>
        <w:tabs>
          <w:tab w:val="left" w:pos="709"/>
          <w:tab w:val="left" w:pos="3570"/>
        </w:tabs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供应商具有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《旅行社业务经营许可证》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E1A87" w:rsidRDefault="00BA3932">
      <w:pPr>
        <w:pStyle w:val="af"/>
        <w:numPr>
          <w:ilvl w:val="0"/>
          <w:numId w:val="2"/>
        </w:numPr>
        <w:tabs>
          <w:tab w:val="left" w:pos="709"/>
          <w:tab w:val="left" w:pos="3570"/>
        </w:tabs>
        <w:ind w:lef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是否进口产品</w:t>
      </w:r>
    </w:p>
    <w:p w:rsidR="008E1A87" w:rsidRDefault="00BA3932">
      <w:pPr>
        <w:pStyle w:val="af"/>
        <w:tabs>
          <w:tab w:val="left" w:pos="709"/>
          <w:tab w:val="left" w:pos="3570"/>
        </w:tabs>
        <w:ind w:firstLine="56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</w:p>
    <w:p w:rsidR="008E1A87" w:rsidRDefault="00BA3932">
      <w:pPr>
        <w:pStyle w:val="af"/>
        <w:numPr>
          <w:ilvl w:val="0"/>
          <w:numId w:val="2"/>
        </w:numPr>
        <w:tabs>
          <w:tab w:val="left" w:pos="709"/>
          <w:tab w:val="left" w:pos="3570"/>
        </w:tabs>
        <w:ind w:lef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是否接受联合体投标</w:t>
      </w:r>
    </w:p>
    <w:p w:rsidR="008E1A87" w:rsidRDefault="00BA3932">
      <w:pPr>
        <w:pStyle w:val="af"/>
        <w:tabs>
          <w:tab w:val="left" w:pos="709"/>
          <w:tab w:val="left" w:pos="3570"/>
        </w:tabs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</w:p>
    <w:p w:rsidR="008E1A87" w:rsidRDefault="00BA3932">
      <w:pPr>
        <w:pStyle w:val="af"/>
        <w:numPr>
          <w:ilvl w:val="0"/>
          <w:numId w:val="2"/>
        </w:numPr>
        <w:tabs>
          <w:tab w:val="left" w:pos="709"/>
          <w:tab w:val="left" w:pos="3570"/>
        </w:tabs>
        <w:ind w:left="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技术要求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报价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方式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: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最高限价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为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130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人，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根据线路分别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报价。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t>供应商须对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t>两条旅游线路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t>进行报价，并在详细报价书体现响应单价，成交后实际结算时按实际服务与成交单价计算结算金额，按人数计算的费用，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lastRenderedPageBreak/>
        <w:t>作为采购人后期结算依据。即响应单价（元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t>人）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t>*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t>人数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t>=</w:t>
      </w:r>
      <w:r>
        <w:rPr>
          <w:rFonts w:ascii="仿宋_GB2312" w:eastAsia="仿宋_GB2312" w:hAnsi="仿宋_GB2312" w:cs="仿宋_GB2312" w:hint="eastAsia"/>
          <w:color w:val="383838"/>
          <w:sz w:val="28"/>
          <w:szCs w:val="28"/>
          <w:shd w:val="clear" w:color="auto" w:fill="FFFFFF"/>
        </w:rPr>
        <w:t>总价。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二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服务期：</w:t>
      </w:r>
      <w:r>
        <w:rPr>
          <w:rFonts w:ascii="仿宋_GB2312" w:eastAsia="仿宋_GB2312" w:hAnsi="仿宋_GB2312" w:cs="仿宋_GB2312" w:hint="eastAsia"/>
          <w:sz w:val="28"/>
          <w:szCs w:val="28"/>
        </w:rPr>
        <w:t>从</w:t>
      </w:r>
      <w:r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--2025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31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或达到采购预算金额则合同终止。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（三）活动</w:t>
      </w:r>
      <w:r>
        <w:rPr>
          <w:rFonts w:ascii="仿宋_GB2312" w:eastAsia="仿宋_GB2312" w:hAnsi="仿宋_GB2312" w:cs="仿宋_GB2312" w:hint="eastAsia"/>
          <w:sz w:val="28"/>
          <w:szCs w:val="28"/>
        </w:rPr>
        <w:t>形式：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活动分批进行，出发地点：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广州医科大学附属番禺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中心医院和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广州市番禺第七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人民医院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每批时间为一天，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计划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从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2025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10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31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日开始，持续到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11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23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日，共计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批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按实际需求调整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。活动安排在周五、周六和周日进行（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时间参考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见下表）。</w:t>
      </w: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1925"/>
        <w:gridCol w:w="1095"/>
        <w:gridCol w:w="1095"/>
        <w:gridCol w:w="1095"/>
        <w:gridCol w:w="1095"/>
        <w:gridCol w:w="1095"/>
        <w:gridCol w:w="1095"/>
      </w:tblGrid>
      <w:tr w:rsidR="008E1A87">
        <w:trPr>
          <w:tblHeader/>
          <w:jc w:val="center"/>
        </w:trPr>
        <w:tc>
          <w:tcPr>
            <w:tcW w:w="192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星期二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星期三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星期四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星期五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星期六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星期日</w:t>
            </w:r>
          </w:p>
        </w:tc>
      </w:tr>
      <w:tr w:rsidR="008E1A87">
        <w:trPr>
          <w:jc w:val="center"/>
        </w:trPr>
        <w:tc>
          <w:tcPr>
            <w:tcW w:w="192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ind w:firstLine="64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ind w:firstLine="64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1A87">
        <w:trPr>
          <w:jc w:val="center"/>
        </w:trPr>
        <w:tc>
          <w:tcPr>
            <w:tcW w:w="192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bookmarkStart w:id="1" w:name="OLE_LINK3" w:colFirst="1" w:colLast="4"/>
            <w:bookmarkStart w:id="2" w:name="_Hlk210143047"/>
            <w:bookmarkStart w:id="3" w:name="OLE_LINK4" w:colFirst="1" w:colLast="4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</w:tr>
      <w:tr w:rsidR="008E1A87">
        <w:trPr>
          <w:jc w:val="center"/>
        </w:trPr>
        <w:tc>
          <w:tcPr>
            <w:tcW w:w="192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bookmarkStart w:id="4" w:name="_Hlk210143063"/>
            <w:bookmarkStart w:id="5" w:name="OLE_LINK6" w:colFirst="0" w:colLast="6"/>
            <w:bookmarkStart w:id="6" w:name="OLE_LINK5" w:colFirst="0" w:colLast="6"/>
            <w:bookmarkEnd w:id="1"/>
            <w:bookmarkEnd w:id="2"/>
            <w:bookmarkEnd w:id="3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8E1A87">
        <w:trPr>
          <w:jc w:val="center"/>
        </w:trPr>
        <w:tc>
          <w:tcPr>
            <w:tcW w:w="192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bookmarkStart w:id="7" w:name="_Hlk210143106"/>
            <w:bookmarkStart w:id="8" w:name="OLE_LINK8" w:colFirst="0" w:colLast="6"/>
            <w:bookmarkStart w:id="9" w:name="OLE_LINK7" w:colFirst="0" w:colLast="6"/>
            <w:bookmarkEnd w:id="4"/>
            <w:bookmarkEnd w:id="5"/>
            <w:bookmarkEnd w:id="6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bookmarkEnd w:id="7"/>
      <w:bookmarkEnd w:id="8"/>
      <w:bookmarkEnd w:id="9"/>
      <w:tr w:rsidR="008E1A87">
        <w:trPr>
          <w:jc w:val="center"/>
        </w:trPr>
        <w:tc>
          <w:tcPr>
            <w:tcW w:w="192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8E1A87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1095" w:type="dxa"/>
            <w:vAlign w:val="center"/>
          </w:tcPr>
          <w:p w:rsidR="008E1A87" w:rsidRDefault="00BA3932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23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</w:tr>
    </w:tbl>
    <w:p w:rsidR="008E1A87" w:rsidRDefault="00BA3932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（四）活动线路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8E1A87" w:rsidRDefault="00BA3932">
      <w:pPr>
        <w:numPr>
          <w:ilvl w:val="0"/>
          <w:numId w:val="3"/>
        </w:numPr>
        <w:spacing w:line="360" w:lineRule="auto"/>
        <w:ind w:left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南沙大湾区文化体育中心、湿地廉洁文化教育基地“清莲湾一天团</w:t>
      </w:r>
    </w:p>
    <w:p w:rsidR="008E1A87" w:rsidRDefault="00BA3932">
      <w:pPr>
        <w:numPr>
          <w:ilvl w:val="0"/>
          <w:numId w:val="3"/>
        </w:numPr>
        <w:spacing w:line="360" w:lineRule="auto"/>
        <w:ind w:left="84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顺德顺峰山公园、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逢简水乡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一天团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六、商务要求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一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车辆：按实际人数安排豪华旅游空调大巴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具备营运资质车辆及专业持证上岗司机服务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建议每批以车为单位，每车人数控制在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45-50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人之间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用餐：已含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1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正餐（午餐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至少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40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餐，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10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人一席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) 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领队：每台车安排一名专业领队服务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需要具备导游资格证，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lastRenderedPageBreak/>
        <w:t>签订合同</w:t>
      </w:r>
      <w:proofErr w:type="gramStart"/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时或发</w:t>
      </w:r>
      <w:proofErr w:type="gramEnd"/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团前提供相关资料备案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）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保险：旅游意外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险最高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保额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20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人和旅行社责任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险最高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保额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100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万元。按保险公司条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例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进行赔付。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五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服务期间内，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需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成立专门后勤小组负责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24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小时专人专线服务，为每团服务提供细致专业的后勤服务（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含提供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特发事件应急方案、如交通事故、食品安全等），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且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独立承包操作每团的所有项目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</w:p>
    <w:p w:rsidR="008E1A87" w:rsidRDefault="00BA3932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六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付款方式</w:t>
      </w:r>
    </w:p>
    <w:p w:rsidR="008E1A87" w:rsidRDefault="00BA393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提交签到表等相关资料</w:t>
      </w:r>
      <w:r>
        <w:rPr>
          <w:rFonts w:ascii="仿宋_GB2312" w:eastAsia="仿宋_GB2312" w:hAnsi="仿宋_GB2312" w:cs="仿宋_GB2312" w:hint="eastAsia"/>
          <w:sz w:val="28"/>
          <w:szCs w:val="28"/>
        </w:rPr>
        <w:t>、发票、结算单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请款函</w:t>
      </w:r>
      <w:r>
        <w:rPr>
          <w:rFonts w:ascii="仿宋_GB2312" w:eastAsia="仿宋_GB2312" w:hAnsi="仿宋_GB2312" w:cs="仿宋_GB2312" w:hint="eastAsia"/>
          <w:sz w:val="28"/>
          <w:szCs w:val="28"/>
        </w:rPr>
        <w:t>给采购人，采购人收到供应商提交的签收凭证、发票，核对无误后，于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个工作日内办理支付。</w:t>
      </w:r>
    </w:p>
    <w:p w:rsidR="008E1A87" w:rsidRDefault="00BA3932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结算金额</w:t>
      </w:r>
      <w:r>
        <w:rPr>
          <w:rFonts w:ascii="仿宋_GB2312" w:eastAsia="仿宋_GB2312" w:hAnsi="仿宋_GB2312" w:cs="仿宋_GB2312" w:hint="eastAsia"/>
          <w:sz w:val="28"/>
          <w:szCs w:val="28"/>
        </w:rPr>
        <w:t>=</w:t>
      </w:r>
      <w:r>
        <w:rPr>
          <w:rFonts w:ascii="仿宋_GB2312" w:eastAsia="仿宋_GB2312" w:hAnsi="仿宋_GB2312" w:cs="仿宋_GB2312" w:hint="eastAsia"/>
          <w:sz w:val="28"/>
          <w:szCs w:val="28"/>
        </w:rPr>
        <w:t>∑（</w:t>
      </w:r>
      <w:r>
        <w:rPr>
          <w:rFonts w:ascii="仿宋_GB2312" w:eastAsia="仿宋_GB2312" w:hAnsi="仿宋_GB2312" w:cs="仿宋_GB2312" w:hint="eastAsia"/>
          <w:sz w:val="28"/>
          <w:szCs w:val="28"/>
        </w:rPr>
        <w:t>成交</w:t>
      </w:r>
      <w:r>
        <w:rPr>
          <w:rFonts w:ascii="仿宋_GB2312" w:eastAsia="仿宋_GB2312" w:hAnsi="仿宋_GB2312" w:cs="仿宋_GB2312"/>
          <w:sz w:val="28"/>
          <w:szCs w:val="28"/>
        </w:rPr>
        <w:t>价</w:t>
      </w:r>
      <w:r>
        <w:rPr>
          <w:rFonts w:ascii="仿宋_GB2312" w:eastAsia="仿宋_GB2312" w:hAnsi="仿宋_GB2312" w:cs="仿宋_GB2312" w:hint="eastAsia"/>
          <w:sz w:val="28"/>
          <w:szCs w:val="28"/>
        </w:rPr>
        <w:t>×</w:t>
      </w:r>
      <w:r>
        <w:rPr>
          <w:rFonts w:ascii="仿宋_GB2312" w:eastAsia="仿宋_GB2312" w:hAnsi="仿宋_GB2312" w:cs="仿宋_GB2312"/>
          <w:sz w:val="28"/>
          <w:szCs w:val="28"/>
        </w:rPr>
        <w:t>实际出行人数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8E1A87" w:rsidRDefault="00BA3932" w:rsidP="00BA3932">
      <w:pPr>
        <w:numPr>
          <w:ilvl w:val="0"/>
          <w:numId w:val="4"/>
        </w:num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人数统计</w:t>
      </w:r>
    </w:p>
    <w:p w:rsidR="008E1A87" w:rsidRDefault="00BA3932" w:rsidP="00BA3932">
      <w:pPr>
        <w:numPr>
          <w:ilvl w:val="255"/>
          <w:numId w:val="0"/>
        </w:numPr>
        <w:spacing w:line="360" w:lineRule="auto"/>
        <w:ind w:left="1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</w:rPr>
        <w:t>采购完成后由中标供应商</w:t>
      </w:r>
      <w:r>
        <w:rPr>
          <w:rFonts w:ascii="仿宋_GB2312" w:eastAsia="仿宋_GB2312" w:hAnsi="仿宋_GB2312" w:cs="仿宋_GB2312"/>
          <w:sz w:val="28"/>
          <w:szCs w:val="28"/>
        </w:rPr>
        <w:t>负责出行人数统计，至少在每批次出发前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天汇总报给项目负责人。</w:t>
      </w:r>
    </w:p>
    <w:p w:rsidR="008E1A87" w:rsidRDefault="008E1A87" w:rsidP="00BA3932">
      <w:pPr>
        <w:numPr>
          <w:ilvl w:val="255"/>
          <w:numId w:val="0"/>
        </w:numPr>
        <w:spacing w:line="360" w:lineRule="auto"/>
        <w:ind w:left="140"/>
        <w:rPr>
          <w:rFonts w:ascii="仿宋_GB2312" w:eastAsia="仿宋_GB2312" w:hAnsi="仿宋_GB2312" w:cs="仿宋_GB2312"/>
          <w:sz w:val="28"/>
          <w:szCs w:val="28"/>
        </w:rPr>
      </w:pPr>
      <w:bookmarkStart w:id="10" w:name="_GoBack"/>
    </w:p>
    <w:p w:rsidR="008E1A87" w:rsidRDefault="008E1A87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bookmarkEnd w:id="10"/>
    <w:p w:rsidR="008E1A87" w:rsidRDefault="008E1A87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8E1A87" w:rsidRDefault="00BA3932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广州医科大学附属番禺中心医院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工会委员会</w:t>
      </w:r>
    </w:p>
    <w:p w:rsidR="008E1A87" w:rsidRDefault="00BA3932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13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8E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DA557D"/>
    <w:multiLevelType w:val="singleLevel"/>
    <w:tmpl w:val="97DA557D"/>
    <w:lvl w:ilvl="0">
      <w:start w:val="7"/>
      <w:numFmt w:val="chineseCounting"/>
      <w:suff w:val="nothing"/>
      <w:lvlText w:val="(%1）"/>
      <w:lvlJc w:val="left"/>
      <w:pPr>
        <w:ind w:left="140" w:firstLine="0"/>
      </w:pPr>
      <w:rPr>
        <w:rFonts w:hint="eastAsia"/>
      </w:rPr>
    </w:lvl>
  </w:abstractNum>
  <w:abstractNum w:abstractNumId="1" w15:restartNumberingAfterBreak="0">
    <w:nsid w:val="DAC6887B"/>
    <w:multiLevelType w:val="singleLevel"/>
    <w:tmpl w:val="DAC6887B"/>
    <w:lvl w:ilvl="0">
      <w:start w:val="1"/>
      <w:numFmt w:val="chineseCounting"/>
      <w:suff w:val="nothing"/>
      <w:lvlText w:val="%1、"/>
      <w:lvlJc w:val="left"/>
      <w:pPr>
        <w:ind w:left="278" w:firstLine="420"/>
      </w:pPr>
      <w:rPr>
        <w:rFonts w:cs="Times New Roman" w:hint="eastAsia"/>
      </w:rPr>
    </w:lvl>
  </w:abstractNum>
  <w:abstractNum w:abstractNumId="2" w15:restartNumberingAfterBreak="0">
    <w:nsid w:val="FE9D2218"/>
    <w:multiLevelType w:val="singleLevel"/>
    <w:tmpl w:val="FE9D221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208384F"/>
    <w:multiLevelType w:val="multilevel"/>
    <w:tmpl w:val="5208384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trackRevision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NzA5NjdlZjU0YzNjM2ExYjA1OWY3NWQyZWZkYzUifQ=="/>
    <w:docVar w:name="KGWebUrl" w:val="https://10.2.240.65:11335/seeyon/officeservlet"/>
  </w:docVars>
  <w:rsids>
    <w:rsidRoot w:val="678760B6"/>
    <w:rsid w:val="8F3B320D"/>
    <w:rsid w:val="9CFF1FB9"/>
    <w:rsid w:val="9FDF7665"/>
    <w:rsid w:val="9FFB29B9"/>
    <w:rsid w:val="9FFF872D"/>
    <w:rsid w:val="A47F4887"/>
    <w:rsid w:val="B23FCB3E"/>
    <w:rsid w:val="BC87CD0D"/>
    <w:rsid w:val="BDFF1880"/>
    <w:rsid w:val="BEBE8ECB"/>
    <w:rsid w:val="BEEF636E"/>
    <w:rsid w:val="BEF6B13B"/>
    <w:rsid w:val="BF671C29"/>
    <w:rsid w:val="C6DCB5C6"/>
    <w:rsid w:val="CEE704D6"/>
    <w:rsid w:val="DEFFCBD7"/>
    <w:rsid w:val="DF6FA6A9"/>
    <w:rsid w:val="DF7D0111"/>
    <w:rsid w:val="DFFF01E9"/>
    <w:rsid w:val="E7D360DD"/>
    <w:rsid w:val="E7F85C2F"/>
    <w:rsid w:val="ECD67589"/>
    <w:rsid w:val="EDFA538F"/>
    <w:rsid w:val="EF7A26B3"/>
    <w:rsid w:val="EFFD7332"/>
    <w:rsid w:val="F4F9F034"/>
    <w:rsid w:val="F6873B39"/>
    <w:rsid w:val="F777F5C6"/>
    <w:rsid w:val="F7AF0CD2"/>
    <w:rsid w:val="F85DB829"/>
    <w:rsid w:val="F8FF522E"/>
    <w:rsid w:val="F9FFD121"/>
    <w:rsid w:val="FA3E0CE8"/>
    <w:rsid w:val="FB395BCD"/>
    <w:rsid w:val="FB7EBD38"/>
    <w:rsid w:val="FBBF05DB"/>
    <w:rsid w:val="FBBFF5A3"/>
    <w:rsid w:val="FE5F1082"/>
    <w:rsid w:val="FF114A0C"/>
    <w:rsid w:val="FF331032"/>
    <w:rsid w:val="FF6F5522"/>
    <w:rsid w:val="FFAE545E"/>
    <w:rsid w:val="FFCF8932"/>
    <w:rsid w:val="FFFF3E3F"/>
    <w:rsid w:val="00090A90"/>
    <w:rsid w:val="000F2F73"/>
    <w:rsid w:val="00112297"/>
    <w:rsid w:val="001711A0"/>
    <w:rsid w:val="00172F4B"/>
    <w:rsid w:val="001D42AD"/>
    <w:rsid w:val="001D4E91"/>
    <w:rsid w:val="001D5FB6"/>
    <w:rsid w:val="001E49D0"/>
    <w:rsid w:val="00220653"/>
    <w:rsid w:val="00232EF7"/>
    <w:rsid w:val="00264687"/>
    <w:rsid w:val="002A08CD"/>
    <w:rsid w:val="002A2031"/>
    <w:rsid w:val="002B23E7"/>
    <w:rsid w:val="002B3712"/>
    <w:rsid w:val="002C1B75"/>
    <w:rsid w:val="002D1E0E"/>
    <w:rsid w:val="002E3F0F"/>
    <w:rsid w:val="00302CED"/>
    <w:rsid w:val="00320EA9"/>
    <w:rsid w:val="0037134E"/>
    <w:rsid w:val="00374815"/>
    <w:rsid w:val="004063F2"/>
    <w:rsid w:val="00443359"/>
    <w:rsid w:val="00474BA0"/>
    <w:rsid w:val="004B0917"/>
    <w:rsid w:val="004C7A6B"/>
    <w:rsid w:val="00500FB4"/>
    <w:rsid w:val="00506F53"/>
    <w:rsid w:val="00521AC2"/>
    <w:rsid w:val="00554D7E"/>
    <w:rsid w:val="005F54BC"/>
    <w:rsid w:val="005F5C58"/>
    <w:rsid w:val="00627196"/>
    <w:rsid w:val="006403F3"/>
    <w:rsid w:val="006A359B"/>
    <w:rsid w:val="006B2F48"/>
    <w:rsid w:val="006E324E"/>
    <w:rsid w:val="0071346E"/>
    <w:rsid w:val="00713C38"/>
    <w:rsid w:val="00733A18"/>
    <w:rsid w:val="00746D2C"/>
    <w:rsid w:val="00755233"/>
    <w:rsid w:val="00762AD3"/>
    <w:rsid w:val="0076781D"/>
    <w:rsid w:val="00770909"/>
    <w:rsid w:val="00786780"/>
    <w:rsid w:val="007A35BA"/>
    <w:rsid w:val="007B314F"/>
    <w:rsid w:val="00806810"/>
    <w:rsid w:val="008226D8"/>
    <w:rsid w:val="00823DCF"/>
    <w:rsid w:val="00844D49"/>
    <w:rsid w:val="00864D55"/>
    <w:rsid w:val="00867E8F"/>
    <w:rsid w:val="00880BC2"/>
    <w:rsid w:val="008E1A87"/>
    <w:rsid w:val="0093004C"/>
    <w:rsid w:val="0094708F"/>
    <w:rsid w:val="00967A17"/>
    <w:rsid w:val="009B484D"/>
    <w:rsid w:val="009D47DE"/>
    <w:rsid w:val="00A24B3A"/>
    <w:rsid w:val="00AC3F9A"/>
    <w:rsid w:val="00AC5634"/>
    <w:rsid w:val="00B16FA2"/>
    <w:rsid w:val="00B43962"/>
    <w:rsid w:val="00B8756E"/>
    <w:rsid w:val="00BA0D0A"/>
    <w:rsid w:val="00BA3932"/>
    <w:rsid w:val="00BB7392"/>
    <w:rsid w:val="00BD7B5E"/>
    <w:rsid w:val="00BE68C4"/>
    <w:rsid w:val="00C102E5"/>
    <w:rsid w:val="00C323C8"/>
    <w:rsid w:val="00C36FE9"/>
    <w:rsid w:val="00C44403"/>
    <w:rsid w:val="00C66328"/>
    <w:rsid w:val="00C7066A"/>
    <w:rsid w:val="00C70F26"/>
    <w:rsid w:val="00CB3E8C"/>
    <w:rsid w:val="00CC1F97"/>
    <w:rsid w:val="00CC3DE1"/>
    <w:rsid w:val="00D34530"/>
    <w:rsid w:val="00D36FFA"/>
    <w:rsid w:val="00D407A8"/>
    <w:rsid w:val="00DB49B7"/>
    <w:rsid w:val="00DC2D68"/>
    <w:rsid w:val="00DC4FA6"/>
    <w:rsid w:val="00DE2B2A"/>
    <w:rsid w:val="00E17C58"/>
    <w:rsid w:val="00E55703"/>
    <w:rsid w:val="00EC77AD"/>
    <w:rsid w:val="00EF1819"/>
    <w:rsid w:val="00EF2E0D"/>
    <w:rsid w:val="00F27FB6"/>
    <w:rsid w:val="00FB7853"/>
    <w:rsid w:val="00FD461F"/>
    <w:rsid w:val="00FE2C1F"/>
    <w:rsid w:val="00FF1105"/>
    <w:rsid w:val="075549F2"/>
    <w:rsid w:val="0BAD2656"/>
    <w:rsid w:val="0BCE5D6D"/>
    <w:rsid w:val="20AE2F09"/>
    <w:rsid w:val="22BF50C7"/>
    <w:rsid w:val="3107425F"/>
    <w:rsid w:val="31B219C3"/>
    <w:rsid w:val="3FDB8DDB"/>
    <w:rsid w:val="3FDF2CE3"/>
    <w:rsid w:val="412058F1"/>
    <w:rsid w:val="41AFE314"/>
    <w:rsid w:val="42FC6026"/>
    <w:rsid w:val="45E23951"/>
    <w:rsid w:val="460421E0"/>
    <w:rsid w:val="4960734E"/>
    <w:rsid w:val="4BFF8210"/>
    <w:rsid w:val="4C2048C2"/>
    <w:rsid w:val="4F3BD8C8"/>
    <w:rsid w:val="52B7363C"/>
    <w:rsid w:val="573B7538"/>
    <w:rsid w:val="57CB0083"/>
    <w:rsid w:val="57FF568B"/>
    <w:rsid w:val="5CD7F23C"/>
    <w:rsid w:val="5ECC8BC0"/>
    <w:rsid w:val="5F1F0DC5"/>
    <w:rsid w:val="5FB8CB42"/>
    <w:rsid w:val="5FE77764"/>
    <w:rsid w:val="5FED43BB"/>
    <w:rsid w:val="61A95DB8"/>
    <w:rsid w:val="65FDD34F"/>
    <w:rsid w:val="678760B6"/>
    <w:rsid w:val="698F3D9C"/>
    <w:rsid w:val="6BE3CB87"/>
    <w:rsid w:val="6CBC4F1D"/>
    <w:rsid w:val="6EB9FEA4"/>
    <w:rsid w:val="6FED5B7F"/>
    <w:rsid w:val="73FC7323"/>
    <w:rsid w:val="76EB1FA3"/>
    <w:rsid w:val="77B6B0DD"/>
    <w:rsid w:val="78745037"/>
    <w:rsid w:val="7AB4A2A3"/>
    <w:rsid w:val="7C10766A"/>
    <w:rsid w:val="7DF3ABA4"/>
    <w:rsid w:val="7F3F0AB7"/>
    <w:rsid w:val="7FBB3C76"/>
    <w:rsid w:val="7FBDB02F"/>
    <w:rsid w:val="7FBF38F2"/>
    <w:rsid w:val="7FBF8A31"/>
    <w:rsid w:val="7FDB2CC0"/>
    <w:rsid w:val="7FFB8D96"/>
    <w:rsid w:val="7FFE8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202893-5C0D-40FA-AB7A-5D51B6D6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nhideWhenUsed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_bY1383451498</dc:creator>
  <cp:lastModifiedBy>肖翔</cp:lastModifiedBy>
  <cp:revision>2</cp:revision>
  <cp:lastPrinted>2022-04-24T02:43:00Z</cp:lastPrinted>
  <dcterms:created xsi:type="dcterms:W3CDTF">2024-05-16T11:31:00Z</dcterms:created>
  <dcterms:modified xsi:type="dcterms:W3CDTF">2025-10-15T06:36:00Z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3887C0FE363F45C28790DA29DDB7B784_13</vt:lpwstr>
  </property>
  <property fmtid="{D5CDD505-2E9C-101B-9397-08002B2CF9AE}" pid="4" name="KSOTemplateDocerSaveRecord">
    <vt:lpwstr>eyJoZGlkIjoiYzllMTAwMzIxOGJlMTUzYjNkYzQ2YzVhODNhNDViNTEiLCJ1c2VySWQiOiIyMTM4MzczODUifQ==</vt:lpwstr>
  </property>
</Properties>
</file>