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Pr>
      <w:bookmarkStart w:id="0" w:name="_GoBack"/>
      <w:bookmarkEnd w:id="0"/>
      <w:r>
        <w:rPr>
          <w:rFonts w:hint="eastAsia"/>
        </w:rPr>
        <w:t>广州医科大学附属番禺中心医院医疗集团检中智能导检及检后健康管理系统建设改造</w:t>
      </w:r>
    </w:p>
    <w:p>
      <w:pPr>
        <w:jc w:val="center"/>
        <w:rPr>
          <w:sz w:val="36"/>
          <w:szCs w:val="44"/>
        </w:rPr>
      </w:pPr>
      <w:r>
        <w:rPr>
          <w:rFonts w:hint="eastAsia"/>
          <w:sz w:val="36"/>
          <w:szCs w:val="44"/>
        </w:rPr>
        <w:t>用户需求书</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1.项目基本情况</w:t>
      </w:r>
    </w:p>
    <w:p>
      <w:pPr>
        <w:adjustRightInd w:val="0"/>
        <w:snapToGrid w:val="0"/>
        <w:spacing w:line="500" w:lineRule="exact"/>
        <w:ind w:firstLine="480"/>
        <w:rPr>
          <w:rFonts w:ascii="宋体" w:hAnsi="宋体" w:cs="Times New Roman"/>
          <w:sz w:val="24"/>
        </w:rPr>
      </w:pPr>
      <w:r>
        <w:rPr>
          <w:rFonts w:hint="eastAsia" w:ascii="宋体" w:hAnsi="宋体" w:cs="Times New Roman"/>
          <w:sz w:val="24"/>
        </w:rPr>
        <w:t>近年来医院体检总人数增长较快，并且在持续上升趋势中，团检、个检、VIP体检业务均得到了较大程度的发展。但是现行信息化系统各项功能与业务发展不相适应，严重制约了健康管理的业务发展。现在用系统规则自定义设置的灵活性不高，系统集成度低，需求更新慢，缺乏闭环的管理思路导致检前预约、检中导检、检后随访均需花大量人工干预，严重影响科室工作效率，同时不便于科室的管理，难以跟上科室业务发展，整体检中智能导诊功能、线上业务开展情况等与国内先进的健康管理科相比有较大差距，现迫切需要一套高度集成的全流程管理体检系统来支持科室往后的发展，真正意义上告别“只检不管”的局面。</w:t>
      </w:r>
    </w:p>
    <w:p>
      <w:pPr>
        <w:adjustRightInd w:val="0"/>
        <w:snapToGrid w:val="0"/>
        <w:spacing w:line="500" w:lineRule="exact"/>
        <w:ind w:firstLine="480"/>
        <w:rPr>
          <w:rFonts w:ascii="宋体" w:hAnsi="宋体" w:cs="Times New Roman"/>
          <w:sz w:val="24"/>
        </w:rPr>
      </w:pPr>
      <w:r>
        <w:rPr>
          <w:rFonts w:hint="eastAsia" w:ascii="宋体" w:hAnsi="宋体" w:cs="Times New Roman"/>
          <w:sz w:val="24"/>
        </w:rPr>
        <w:t>为了更好地适应未来的发展，有必要对现有的体检系统的关键环节进行升级和优化，使其不仅满足当前的运行需求，还能够适应未来技术发展的趋势和挑战。这包括加强数据安全措施、提高系统的处理能力、优化用户体验等方面。</w:t>
      </w:r>
    </w:p>
    <w:p>
      <w:pPr>
        <w:adjustRightInd w:val="0"/>
        <w:snapToGrid w:val="0"/>
        <w:spacing w:line="500" w:lineRule="exact"/>
        <w:ind w:firstLine="480"/>
        <w:rPr>
          <w:rFonts w:ascii="宋体" w:hAnsi="宋体" w:cs="Times New Roman"/>
          <w:sz w:val="24"/>
        </w:rPr>
      </w:pPr>
      <w:r>
        <w:rPr>
          <w:rFonts w:hint="eastAsia" w:ascii="宋体" w:hAnsi="宋体" w:cs="Times New Roman"/>
          <w:sz w:val="24"/>
        </w:rPr>
        <w:t>为持续提升我院健康管理中心的医疗服务质量、运营效益及受检者满意度，我院计划对体检的导检</w:t>
      </w:r>
      <w:r>
        <w:rPr>
          <w:rFonts w:ascii="宋体" w:hAnsi="宋体" w:cs="Times New Roman"/>
          <w:sz w:val="24"/>
        </w:rPr>
        <w:t>及检后</w:t>
      </w:r>
      <w:r>
        <w:rPr>
          <w:rFonts w:hint="eastAsia" w:ascii="宋体" w:hAnsi="宋体" w:cs="Times New Roman"/>
          <w:sz w:val="24"/>
        </w:rPr>
        <w:t>系统进行升级改造，现公开邀请相关厂家根据用户需求前来进行市场价格调研，以便下一步开展采购招标。</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2.项目采购的主要内容与功能要求</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.1</w:t>
      </w:r>
      <w:r>
        <w:rPr>
          <w:rFonts w:hint="eastAsia" w:ascii="仿宋" w:hAnsi="仿宋" w:eastAsia="仿宋" w:cs="仿宋"/>
          <w:sz w:val="32"/>
          <w:szCs w:val="32"/>
        </w:rPr>
        <w:t>采购的主要内容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29"/>
        <w:gridCol w:w="810"/>
        <w:gridCol w:w="705"/>
        <w:gridCol w:w="1479"/>
        <w:gridCol w:w="152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序号</w:t>
            </w:r>
          </w:p>
        </w:tc>
        <w:tc>
          <w:tcPr>
            <w:tcW w:w="1829" w:type="dxa"/>
            <w:tcBorders>
              <w:top w:val="single" w:color="auto" w:sz="4" w:space="0"/>
              <w:left w:val="single" w:color="auto" w:sz="4" w:space="0"/>
              <w:right w:val="single" w:color="auto" w:sz="4" w:space="0"/>
            </w:tcBorders>
            <w:vAlign w:val="center"/>
          </w:tcPr>
          <w:p>
            <w:pPr>
              <w:jc w:val="center"/>
              <w:rPr>
                <w:bCs/>
                <w:snapToGrid w:val="0"/>
                <w:sz w:val="24"/>
              </w:rPr>
            </w:pPr>
            <w:r>
              <w:rPr>
                <w:rFonts w:hint="eastAsia"/>
                <w:bCs/>
                <w:snapToGrid w:val="0"/>
                <w:sz w:val="24"/>
              </w:rPr>
              <w:t>项目名称</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计量</w:t>
            </w:r>
          </w:p>
          <w:p>
            <w:pPr>
              <w:jc w:val="center"/>
              <w:rPr>
                <w:bCs/>
                <w:snapToGrid w:val="0"/>
                <w:sz w:val="24"/>
              </w:rPr>
            </w:pPr>
            <w:r>
              <w:rPr>
                <w:rFonts w:hint="eastAsia"/>
                <w:bCs/>
                <w:snapToGrid w:val="0"/>
                <w:sz w:val="24"/>
              </w:rPr>
              <w:t>单位</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数量</w:t>
            </w:r>
          </w:p>
        </w:tc>
        <w:tc>
          <w:tcPr>
            <w:tcW w:w="14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市场报价（万元）</w:t>
            </w:r>
          </w:p>
        </w:tc>
        <w:tc>
          <w:tcPr>
            <w:tcW w:w="1523" w:type="dxa"/>
            <w:tcBorders>
              <w:top w:val="single" w:color="auto" w:sz="4" w:space="0"/>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备注</w:t>
            </w:r>
          </w:p>
        </w:tc>
        <w:tc>
          <w:tcPr>
            <w:tcW w:w="1447" w:type="dxa"/>
            <w:tcBorders>
              <w:top w:val="single" w:color="auto" w:sz="4" w:space="0"/>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服务地</w:t>
            </w:r>
            <w:r>
              <w:rPr>
                <w:rFonts w:hint="eastAsia" w:asciiTheme="minorEastAsia" w:hAnsiTheme="minorEastAsia" w:eastAsiaTheme="minorEastAsia" w:cstheme="minorEastAsia"/>
                <w:color w:val="000000"/>
                <w:kern w:val="0"/>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1</w:t>
            </w:r>
          </w:p>
        </w:tc>
        <w:tc>
          <w:tcPr>
            <w:tcW w:w="1829" w:type="dxa"/>
            <w:tcBorders>
              <w:left w:val="single" w:color="auto" w:sz="4" w:space="0"/>
              <w:right w:val="single" w:color="auto" w:sz="4" w:space="0"/>
            </w:tcBorders>
            <w:vAlign w:val="center"/>
          </w:tcPr>
          <w:p>
            <w:pPr>
              <w:jc w:val="center"/>
              <w:rPr>
                <w:bCs/>
                <w:sz w:val="24"/>
              </w:rPr>
            </w:pPr>
            <w:r>
              <w:rPr>
                <w:rFonts w:hint="eastAsia" w:asciiTheme="minorEastAsia" w:hAnsiTheme="minorEastAsia" w:eastAsiaTheme="minorEastAsia"/>
                <w:sz w:val="24"/>
              </w:rPr>
              <w:t>检中智能导检系统</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套</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4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p>
        </w:tc>
        <w:tc>
          <w:tcPr>
            <w:tcW w:w="1523"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2</w:t>
            </w:r>
          </w:p>
        </w:tc>
        <w:tc>
          <w:tcPr>
            <w:tcW w:w="1829" w:type="dxa"/>
            <w:tcBorders>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检后健康管理系统</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套</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4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p>
        </w:tc>
        <w:tc>
          <w:tcPr>
            <w:tcW w:w="1523"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bCs/>
                <w:sz w:val="24"/>
              </w:rPr>
              <w:t>3</w:t>
            </w:r>
          </w:p>
        </w:tc>
        <w:tc>
          <w:tcPr>
            <w:tcW w:w="1829" w:type="dxa"/>
            <w:tcBorders>
              <w:left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eastAsiaTheme="minorEastAsia"/>
                <w:sz w:val="24"/>
              </w:rPr>
              <w:t>检中智能导检</w:t>
            </w:r>
            <w:r>
              <w:rPr>
                <w:rFonts w:hint="eastAsia" w:asciiTheme="minorHAnsi" w:hAnsiTheme="minorHAnsi" w:cstheme="minorBidi"/>
                <w:bCs/>
                <w:sz w:val="24"/>
                <w:szCs w:val="22"/>
              </w:rPr>
              <w:t>系统集成服务</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项</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4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000000"/>
                <w:kern w:val="0"/>
                <w:sz w:val="24"/>
              </w:rPr>
            </w:pPr>
          </w:p>
        </w:tc>
        <w:tc>
          <w:tcPr>
            <w:tcW w:w="1523"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HAnsi" w:hAnsiTheme="minorHAnsi" w:cstheme="minorBidi"/>
                <w:bCs/>
                <w:sz w:val="24"/>
                <w:szCs w:val="22"/>
              </w:rPr>
              <w:t>系统及导检终端等集成对接服务</w:t>
            </w: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4</w:t>
            </w:r>
          </w:p>
        </w:tc>
        <w:tc>
          <w:tcPr>
            <w:tcW w:w="1829" w:type="dxa"/>
            <w:tcBorders>
              <w:left w:val="single" w:color="auto" w:sz="4" w:space="0"/>
              <w:right w:val="single" w:color="auto" w:sz="4" w:space="0"/>
            </w:tcBorders>
            <w:vAlign w:val="center"/>
          </w:tcPr>
          <w:p>
            <w:pPr>
              <w:jc w:val="center"/>
              <w:rPr>
                <w:rFonts w:asciiTheme="minorHAnsi" w:hAnsiTheme="minorHAnsi"/>
                <w:bCs/>
                <w:sz w:val="24"/>
              </w:rPr>
            </w:pPr>
            <w:r>
              <w:rPr>
                <w:rFonts w:hint="eastAsia" w:asciiTheme="minorEastAsia" w:hAnsiTheme="minorEastAsia" w:eastAsiaTheme="minorEastAsia"/>
                <w:sz w:val="24"/>
              </w:rPr>
              <w:t>检后健康管理</w:t>
            </w:r>
            <w:r>
              <w:rPr>
                <w:rFonts w:hint="eastAsia" w:asciiTheme="minorHAnsi" w:hAnsiTheme="minorHAnsi" w:cstheme="minorBidi"/>
                <w:bCs/>
                <w:sz w:val="24"/>
                <w:szCs w:val="22"/>
              </w:rPr>
              <w:t>系统集成服务</w:t>
            </w:r>
          </w:p>
        </w:tc>
        <w:tc>
          <w:tcPr>
            <w:tcW w:w="810" w:type="dxa"/>
            <w:shd w:val="clear" w:color="auto" w:fill="auto"/>
            <w:vAlign w:val="center"/>
          </w:tcPr>
          <w:p>
            <w:pPr>
              <w:jc w:val="center"/>
              <w:rPr>
                <w:bCs/>
                <w:sz w:val="24"/>
              </w:rPr>
            </w:pPr>
            <w:r>
              <w:rPr>
                <w:rFonts w:hint="eastAsia"/>
                <w:bCs/>
                <w:sz w:val="24"/>
              </w:rPr>
              <w:t>项</w:t>
            </w:r>
          </w:p>
        </w:tc>
        <w:tc>
          <w:tcPr>
            <w:tcW w:w="705" w:type="dxa"/>
            <w:shd w:val="clear" w:color="auto" w:fill="auto"/>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479" w:type="dxa"/>
            <w:shd w:val="clear" w:color="auto" w:fill="auto"/>
          </w:tcPr>
          <w:p>
            <w:pPr>
              <w:jc w:val="center"/>
              <w:rPr>
                <w:rFonts w:asciiTheme="minorHAnsi" w:hAnsiTheme="minorHAnsi" w:cstheme="minorBidi"/>
                <w:bCs/>
                <w:sz w:val="24"/>
              </w:rPr>
            </w:pPr>
          </w:p>
        </w:tc>
        <w:tc>
          <w:tcPr>
            <w:tcW w:w="1523" w:type="dxa"/>
            <w:tcBorders>
              <w:left w:val="single" w:color="auto" w:sz="4" w:space="0"/>
              <w:right w:val="single" w:color="auto" w:sz="4" w:space="0"/>
            </w:tcBorders>
            <w:vAlign w:val="center"/>
          </w:tcPr>
          <w:p>
            <w:pPr>
              <w:jc w:val="center"/>
              <w:rPr>
                <w:rFonts w:asciiTheme="minorHAnsi" w:hAnsiTheme="minorHAnsi" w:cstheme="minorBidi"/>
                <w:bCs/>
                <w:sz w:val="24"/>
              </w:rPr>
            </w:pPr>
            <w:r>
              <w:rPr>
                <w:rFonts w:hint="eastAsia" w:asciiTheme="minorHAnsi" w:hAnsiTheme="minorHAnsi" w:cstheme="minorBidi"/>
                <w:bCs/>
                <w:sz w:val="24"/>
                <w:szCs w:val="22"/>
              </w:rPr>
              <w:t>业务系统集成对接服务</w:t>
            </w: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5</w:t>
            </w:r>
          </w:p>
        </w:tc>
        <w:tc>
          <w:tcPr>
            <w:tcW w:w="1829" w:type="dxa"/>
            <w:tcBorders>
              <w:left w:val="single" w:color="auto" w:sz="4" w:space="0"/>
              <w:right w:val="single" w:color="auto" w:sz="4" w:space="0"/>
            </w:tcBorders>
            <w:vAlign w:val="center"/>
          </w:tcPr>
          <w:p>
            <w:pPr>
              <w:jc w:val="center"/>
              <w:rPr>
                <w:bCs/>
                <w:sz w:val="24"/>
              </w:rPr>
            </w:pPr>
            <w:r>
              <w:rPr>
                <w:rFonts w:hint="eastAsia"/>
                <w:bCs/>
                <w:sz w:val="24"/>
              </w:rPr>
              <w:t>其他服务</w:t>
            </w:r>
          </w:p>
        </w:tc>
        <w:tc>
          <w:tcPr>
            <w:tcW w:w="810" w:type="dxa"/>
            <w:shd w:val="clear" w:color="auto" w:fill="auto"/>
            <w:vAlign w:val="center"/>
          </w:tcPr>
          <w:p>
            <w:pPr>
              <w:jc w:val="center"/>
              <w:rPr>
                <w:bCs/>
                <w:sz w:val="24"/>
              </w:rPr>
            </w:pPr>
            <w:r>
              <w:rPr>
                <w:rFonts w:hint="eastAsia"/>
                <w:bCs/>
                <w:sz w:val="24"/>
              </w:rPr>
              <w:t>项</w:t>
            </w:r>
          </w:p>
        </w:tc>
        <w:tc>
          <w:tcPr>
            <w:tcW w:w="705" w:type="dxa"/>
            <w:shd w:val="clear" w:color="auto" w:fill="auto"/>
            <w:vAlign w:val="center"/>
          </w:tcPr>
          <w:p>
            <w:pPr>
              <w:jc w:val="center"/>
              <w:rPr>
                <w:bCs/>
                <w:sz w:val="24"/>
              </w:rPr>
            </w:pPr>
            <w:r>
              <w:rPr>
                <w:rFonts w:hint="eastAsia" w:asciiTheme="minorHAnsi" w:hAnsiTheme="minorHAnsi" w:cstheme="minorBidi"/>
                <w:bCs/>
                <w:sz w:val="24"/>
                <w:szCs w:val="22"/>
              </w:rPr>
              <w:t>按需</w:t>
            </w:r>
          </w:p>
        </w:tc>
        <w:tc>
          <w:tcPr>
            <w:tcW w:w="1479" w:type="dxa"/>
            <w:shd w:val="clear" w:color="auto" w:fill="auto"/>
          </w:tcPr>
          <w:p>
            <w:pPr>
              <w:jc w:val="center"/>
              <w:rPr>
                <w:bCs/>
                <w:sz w:val="24"/>
              </w:rPr>
            </w:pPr>
          </w:p>
        </w:tc>
        <w:tc>
          <w:tcPr>
            <w:tcW w:w="1523" w:type="dxa"/>
            <w:tcBorders>
              <w:left w:val="single" w:color="auto" w:sz="4" w:space="0"/>
              <w:right w:val="single" w:color="auto" w:sz="4" w:space="0"/>
            </w:tcBorders>
            <w:vAlign w:val="center"/>
          </w:tcPr>
          <w:p>
            <w:pPr>
              <w:jc w:val="center"/>
              <w:rPr>
                <w:bCs/>
                <w:sz w:val="24"/>
              </w:rPr>
            </w:pPr>
            <w:r>
              <w:rPr>
                <w:rFonts w:hint="eastAsia"/>
                <w:bCs/>
                <w:color w:val="FF0000"/>
                <w:sz w:val="24"/>
              </w:rPr>
              <w:t>如有</w:t>
            </w:r>
            <w:r>
              <w:rPr>
                <w:rFonts w:hint="eastAsia"/>
                <w:bCs/>
                <w:sz w:val="24"/>
              </w:rPr>
              <w:t>可填写</w:t>
            </w: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6</w:t>
            </w:r>
          </w:p>
        </w:tc>
        <w:tc>
          <w:tcPr>
            <w:tcW w:w="1829" w:type="dxa"/>
            <w:tcBorders>
              <w:left w:val="single" w:color="auto" w:sz="4" w:space="0"/>
              <w:right w:val="single" w:color="auto" w:sz="4" w:space="0"/>
            </w:tcBorders>
            <w:vAlign w:val="center"/>
          </w:tcPr>
          <w:p>
            <w:pPr>
              <w:jc w:val="center"/>
              <w:rPr>
                <w:bCs/>
                <w:sz w:val="24"/>
              </w:rPr>
            </w:pPr>
            <w:r>
              <w:rPr>
                <w:rFonts w:hint="eastAsia"/>
                <w:bCs/>
                <w:sz w:val="24"/>
              </w:rPr>
              <w:t>第二年维保服务费率</w:t>
            </w:r>
          </w:p>
        </w:tc>
        <w:tc>
          <w:tcPr>
            <w:tcW w:w="810" w:type="dxa"/>
            <w:shd w:val="clear" w:color="auto" w:fill="auto"/>
            <w:vAlign w:val="center"/>
          </w:tcPr>
          <w:p>
            <w:pPr>
              <w:jc w:val="center"/>
              <w:rPr>
                <w:bCs/>
                <w:sz w:val="24"/>
              </w:rPr>
            </w:pPr>
            <w:r>
              <w:rPr>
                <w:rFonts w:hint="eastAsia"/>
                <w:bCs/>
                <w:sz w:val="24"/>
              </w:rPr>
              <w:t>项</w:t>
            </w:r>
          </w:p>
        </w:tc>
        <w:tc>
          <w:tcPr>
            <w:tcW w:w="705" w:type="dxa"/>
            <w:shd w:val="clear" w:color="auto" w:fill="auto"/>
            <w:vAlign w:val="center"/>
          </w:tcPr>
          <w:p>
            <w:pPr>
              <w:jc w:val="center"/>
              <w:rPr>
                <w:rFonts w:asciiTheme="minorHAnsi" w:hAnsiTheme="minorHAnsi" w:cstheme="minorBidi"/>
                <w:bCs/>
                <w:sz w:val="24"/>
                <w:szCs w:val="22"/>
              </w:rPr>
            </w:pPr>
            <w:r>
              <w:rPr>
                <w:rFonts w:hint="eastAsia" w:asciiTheme="minorEastAsia" w:hAnsiTheme="minorEastAsia" w:cstheme="minorEastAsia"/>
                <w:color w:val="000000"/>
                <w:kern w:val="0"/>
                <w:sz w:val="24"/>
              </w:rPr>
              <w:t>1</w:t>
            </w:r>
          </w:p>
        </w:tc>
        <w:tc>
          <w:tcPr>
            <w:tcW w:w="1479" w:type="dxa"/>
            <w:shd w:val="clear" w:color="auto" w:fill="auto"/>
          </w:tcPr>
          <w:p>
            <w:pPr>
              <w:jc w:val="center"/>
              <w:rPr>
                <w:bCs/>
                <w:sz w:val="24"/>
              </w:rPr>
            </w:pPr>
          </w:p>
        </w:tc>
        <w:tc>
          <w:tcPr>
            <w:tcW w:w="1523" w:type="dxa"/>
            <w:tcBorders>
              <w:left w:val="single" w:color="auto" w:sz="4" w:space="0"/>
              <w:right w:val="single" w:color="auto" w:sz="4" w:space="0"/>
            </w:tcBorders>
            <w:vAlign w:val="center"/>
          </w:tcPr>
          <w:p>
            <w:pPr>
              <w:jc w:val="center"/>
              <w:rPr>
                <w:bCs/>
                <w:color w:val="FF0000"/>
                <w:sz w:val="24"/>
              </w:rPr>
            </w:pPr>
            <w:r>
              <w:rPr>
                <w:rFonts w:hint="eastAsia" w:ascii="宋体" w:hAnsi="宋体"/>
              </w:rPr>
              <w:t>免费服务期满后续服务的费用及服务内容</w:t>
            </w: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Cs/>
                <w:sz w:val="24"/>
              </w:rPr>
            </w:pPr>
            <w:r>
              <w:rPr>
                <w:rFonts w:hint="eastAsia"/>
                <w:bCs/>
                <w:sz w:val="24"/>
              </w:rPr>
              <w:t>7</w:t>
            </w:r>
          </w:p>
        </w:tc>
        <w:tc>
          <w:tcPr>
            <w:tcW w:w="1829" w:type="dxa"/>
            <w:tcBorders>
              <w:left w:val="single" w:color="auto" w:sz="4" w:space="0"/>
              <w:right w:val="single" w:color="auto" w:sz="4" w:space="0"/>
            </w:tcBorders>
            <w:vAlign w:val="center"/>
          </w:tcPr>
          <w:p>
            <w:pPr>
              <w:jc w:val="center"/>
              <w:rPr>
                <w:bCs/>
                <w:sz w:val="24"/>
              </w:rPr>
            </w:pPr>
            <w:r>
              <w:rPr>
                <w:rFonts w:hint="eastAsia"/>
                <w:bCs/>
                <w:sz w:val="24"/>
              </w:rPr>
              <w:t>第三年维保服务费率</w:t>
            </w:r>
          </w:p>
        </w:tc>
        <w:tc>
          <w:tcPr>
            <w:tcW w:w="810" w:type="dxa"/>
            <w:shd w:val="clear" w:color="auto" w:fill="auto"/>
            <w:vAlign w:val="center"/>
          </w:tcPr>
          <w:p>
            <w:pPr>
              <w:jc w:val="center"/>
              <w:rPr>
                <w:bCs/>
                <w:sz w:val="24"/>
              </w:rPr>
            </w:pPr>
            <w:r>
              <w:rPr>
                <w:rFonts w:hint="eastAsia"/>
                <w:bCs/>
                <w:sz w:val="24"/>
              </w:rPr>
              <w:t>项</w:t>
            </w:r>
          </w:p>
        </w:tc>
        <w:tc>
          <w:tcPr>
            <w:tcW w:w="705" w:type="dxa"/>
            <w:shd w:val="clear" w:color="auto" w:fill="auto"/>
            <w:vAlign w:val="center"/>
          </w:tcPr>
          <w:p>
            <w:pPr>
              <w:jc w:val="center"/>
              <w:rPr>
                <w:rFonts w:asciiTheme="minorHAnsi" w:hAnsiTheme="minorHAnsi" w:cstheme="minorBidi"/>
                <w:bCs/>
                <w:sz w:val="24"/>
                <w:szCs w:val="22"/>
              </w:rPr>
            </w:pPr>
            <w:r>
              <w:rPr>
                <w:rFonts w:hint="eastAsia" w:asciiTheme="minorEastAsia" w:hAnsiTheme="minorEastAsia" w:cstheme="minorEastAsia"/>
                <w:color w:val="000000"/>
                <w:kern w:val="0"/>
                <w:sz w:val="24"/>
              </w:rPr>
              <w:t>1</w:t>
            </w:r>
          </w:p>
        </w:tc>
        <w:tc>
          <w:tcPr>
            <w:tcW w:w="1479" w:type="dxa"/>
            <w:shd w:val="clear" w:color="auto" w:fill="auto"/>
          </w:tcPr>
          <w:p>
            <w:pPr>
              <w:jc w:val="center"/>
              <w:rPr>
                <w:bCs/>
                <w:sz w:val="24"/>
              </w:rPr>
            </w:pPr>
          </w:p>
        </w:tc>
        <w:tc>
          <w:tcPr>
            <w:tcW w:w="1523" w:type="dxa"/>
            <w:tcBorders>
              <w:left w:val="single" w:color="auto" w:sz="4" w:space="0"/>
              <w:right w:val="single" w:color="auto" w:sz="4" w:space="0"/>
            </w:tcBorders>
            <w:vAlign w:val="center"/>
          </w:tcPr>
          <w:p>
            <w:pPr>
              <w:jc w:val="center"/>
              <w:rPr>
                <w:bCs/>
                <w:color w:val="FF0000"/>
                <w:sz w:val="24"/>
              </w:rPr>
            </w:pPr>
            <w:r>
              <w:rPr>
                <w:rFonts w:hint="eastAsia" w:ascii="宋体" w:hAnsi="宋体"/>
              </w:rPr>
              <w:t>免费服务期满后续服务的费用及服务内容</w:t>
            </w:r>
          </w:p>
        </w:tc>
        <w:tc>
          <w:tcPr>
            <w:tcW w:w="1447" w:type="dxa"/>
            <w:tcBorders>
              <w:left w:val="single" w:color="auto" w:sz="4" w:space="0"/>
              <w:right w:val="single" w:color="auto" w:sz="4" w:space="0"/>
            </w:tcBorders>
            <w:vAlign w:val="center"/>
          </w:tcPr>
          <w:p>
            <w:pPr>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本院及分院</w:t>
            </w:r>
          </w:p>
        </w:tc>
      </w:tr>
    </w:tbl>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 xml:space="preserve">.2 </w:t>
      </w:r>
      <w:r>
        <w:rPr>
          <w:rFonts w:hint="eastAsia" w:ascii="仿宋" w:hAnsi="仿宋" w:eastAsia="仿宋" w:cs="仿宋"/>
          <w:sz w:val="32"/>
          <w:szCs w:val="32"/>
        </w:rPr>
        <w:t>采购的功能要求</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.2.1</w:t>
      </w:r>
      <w:r>
        <w:rPr>
          <w:rFonts w:hint="eastAsia" w:ascii="仿宋" w:hAnsi="仿宋" w:eastAsia="仿宋" w:cs="仿宋"/>
          <w:sz w:val="32"/>
          <w:szCs w:val="32"/>
        </w:rPr>
        <w:t>检中智能导检系统软件需求</w:t>
      </w:r>
    </w:p>
    <w:p>
      <w:pPr>
        <w:pStyle w:val="4"/>
      </w:pPr>
      <w:r>
        <w:t xml:space="preserve">1. </w:t>
      </w:r>
      <w:r>
        <w:rPr>
          <w:rFonts w:hint="eastAsia"/>
        </w:rPr>
        <w:t>系统管理模块</w:t>
      </w:r>
    </w:p>
    <w:p>
      <w:pPr>
        <w:widowControl/>
        <w:numPr>
          <w:ilvl w:val="0"/>
          <w:numId w:val="1"/>
        </w:numPr>
        <w:spacing w:after="200"/>
        <w:jc w:val="left"/>
      </w:pPr>
      <w:r>
        <w:rPr>
          <w:rFonts w:hint="eastAsia"/>
          <w:b/>
          <w:bCs/>
        </w:rPr>
        <w:t>系统架构</w:t>
      </w:r>
      <w:r>
        <w:t xml:space="preserve"> </w:t>
      </w:r>
    </w:p>
    <w:p>
      <w:pPr>
        <w:widowControl/>
        <w:numPr>
          <w:ilvl w:val="1"/>
          <w:numId w:val="1"/>
        </w:numPr>
        <w:spacing w:after="200"/>
        <w:jc w:val="left"/>
      </w:pPr>
      <w:r>
        <w:rPr>
          <w:rFonts w:hint="eastAsia"/>
        </w:rPr>
        <w:t>支持B/S或C/S架构，提供统一后台数据管理工具。</w:t>
      </w:r>
      <w:r>
        <w:t xml:space="preserve"> </w:t>
      </w:r>
    </w:p>
    <w:p>
      <w:pPr>
        <w:widowControl/>
        <w:numPr>
          <w:ilvl w:val="1"/>
          <w:numId w:val="1"/>
        </w:numPr>
        <w:spacing w:after="200"/>
        <w:jc w:val="left"/>
      </w:pPr>
      <w:r>
        <w:rPr>
          <w:rFonts w:hint="eastAsia"/>
        </w:rPr>
        <w:t>支持多角色权限控制（菜单显示、导检台队列操作权限）。</w:t>
      </w:r>
      <w:r>
        <w:t xml:space="preserve"> </w:t>
      </w:r>
    </w:p>
    <w:p>
      <w:pPr>
        <w:widowControl/>
        <w:numPr>
          <w:ilvl w:val="1"/>
          <w:numId w:val="1"/>
        </w:numPr>
        <w:spacing w:after="200"/>
        <w:jc w:val="left"/>
      </w:pPr>
      <w:r>
        <w:rPr>
          <w:rFonts w:hint="eastAsia"/>
          <w:color w:val="FF0000"/>
        </w:rPr>
        <w:t>客户端模块化集成设计</w:t>
      </w:r>
      <w:r>
        <w:rPr>
          <w:rFonts w:hint="eastAsia"/>
        </w:rPr>
        <w:t>，整合数据平台、护士站、医生端、信息发布系统等功能模块，支持独立运行。</w:t>
      </w:r>
      <w:r>
        <w:t xml:space="preserve"> </w:t>
      </w:r>
    </w:p>
    <w:p>
      <w:pPr>
        <w:widowControl/>
        <w:numPr>
          <w:ilvl w:val="1"/>
          <w:numId w:val="1"/>
        </w:numPr>
        <w:spacing w:after="200"/>
        <w:jc w:val="left"/>
      </w:pPr>
      <w:r>
        <w:rPr>
          <w:rFonts w:hint="eastAsia"/>
          <w:color w:val="FF0000"/>
        </w:rPr>
        <w:t>支持多院区管理</w:t>
      </w:r>
      <w:r>
        <w:rPr>
          <w:rFonts w:hint="eastAsia"/>
        </w:rPr>
        <w:t>。</w:t>
      </w:r>
      <w:r>
        <w:t xml:space="preserve"> </w:t>
      </w:r>
    </w:p>
    <w:p>
      <w:pPr>
        <w:widowControl/>
        <w:numPr>
          <w:ilvl w:val="0"/>
          <w:numId w:val="1"/>
        </w:numPr>
        <w:spacing w:after="200"/>
        <w:jc w:val="left"/>
      </w:pPr>
      <w:r>
        <w:rPr>
          <w:rFonts w:hint="eastAsia"/>
          <w:b/>
          <w:bCs/>
        </w:rPr>
        <w:t>业务设置</w:t>
      </w:r>
      <w:r>
        <w:t xml:space="preserve"> </w:t>
      </w:r>
    </w:p>
    <w:p>
      <w:pPr>
        <w:widowControl/>
        <w:numPr>
          <w:ilvl w:val="1"/>
          <w:numId w:val="1"/>
        </w:numPr>
        <w:spacing w:after="200"/>
        <w:jc w:val="left"/>
      </w:pPr>
      <w:r>
        <w:rPr>
          <w:rFonts w:hint="eastAsia"/>
        </w:rPr>
        <w:t>支持项目、业务、诊室、依赖关系、医生、套餐等参数配置。</w:t>
      </w:r>
      <w:r>
        <w:t xml:space="preserve"> </w:t>
      </w:r>
    </w:p>
    <w:p>
      <w:pPr>
        <w:widowControl/>
        <w:numPr>
          <w:ilvl w:val="1"/>
          <w:numId w:val="1"/>
        </w:numPr>
        <w:spacing w:after="200"/>
        <w:jc w:val="left"/>
      </w:pPr>
      <w:r>
        <w:rPr>
          <w:rFonts w:hint="eastAsia"/>
        </w:rPr>
        <w:t>支持检查项目大项管理（名称显示、优先级设置、临时禁用、导入/导出）。</w:t>
      </w:r>
      <w:r>
        <w:t xml:space="preserve"> </w:t>
      </w:r>
    </w:p>
    <w:p>
      <w:pPr>
        <w:widowControl/>
        <w:numPr>
          <w:ilvl w:val="0"/>
          <w:numId w:val="1"/>
        </w:numPr>
        <w:spacing w:after="200"/>
        <w:jc w:val="left"/>
      </w:pPr>
      <w:r>
        <w:rPr>
          <w:rFonts w:hint="eastAsia"/>
          <w:b/>
          <w:bCs/>
        </w:rPr>
        <w:t>运维管理</w:t>
      </w:r>
      <w:r>
        <w:t xml:space="preserve"> </w:t>
      </w:r>
    </w:p>
    <w:p>
      <w:pPr>
        <w:widowControl/>
        <w:numPr>
          <w:ilvl w:val="1"/>
          <w:numId w:val="1"/>
        </w:numPr>
        <w:spacing w:after="200"/>
        <w:jc w:val="left"/>
      </w:pPr>
      <w:r>
        <w:rPr>
          <w:rFonts w:hint="eastAsia"/>
        </w:rPr>
        <w:t>在线用户监控（登录信息、强制退出功能）。</w:t>
      </w:r>
      <w:r>
        <w:t xml:space="preserve"> </w:t>
      </w:r>
    </w:p>
    <w:p>
      <w:pPr>
        <w:widowControl/>
        <w:numPr>
          <w:ilvl w:val="1"/>
          <w:numId w:val="1"/>
        </w:numPr>
        <w:spacing w:after="200"/>
        <w:jc w:val="left"/>
      </w:pPr>
      <w:r>
        <w:rPr>
          <w:rFonts w:hint="eastAsia"/>
        </w:rPr>
        <w:t>信息发布系统主程序统一管理。</w:t>
      </w:r>
      <w:r>
        <w:t xml:space="preserve"> </w:t>
      </w:r>
    </w:p>
    <w:p>
      <w:pPr>
        <w:pStyle w:val="4"/>
      </w:pPr>
      <w:r>
        <w:t xml:space="preserve">2. </w:t>
      </w:r>
      <w:r>
        <w:rPr>
          <w:rFonts w:hint="eastAsia"/>
        </w:rPr>
        <w:t>导检团检预约功能</w:t>
      </w:r>
    </w:p>
    <w:p>
      <w:pPr>
        <w:widowControl/>
        <w:numPr>
          <w:ilvl w:val="0"/>
          <w:numId w:val="1"/>
        </w:numPr>
        <w:spacing w:after="200"/>
        <w:jc w:val="left"/>
      </w:pPr>
      <w:r>
        <w:rPr>
          <w:rFonts w:hint="eastAsia"/>
          <w:b/>
          <w:bCs/>
        </w:rPr>
        <w:t>排队方案</w:t>
      </w:r>
      <w:r>
        <w:t xml:space="preserve"> </w:t>
      </w:r>
    </w:p>
    <w:p>
      <w:pPr>
        <w:widowControl/>
        <w:numPr>
          <w:ilvl w:val="1"/>
          <w:numId w:val="1"/>
        </w:numPr>
        <w:spacing w:after="200"/>
        <w:jc w:val="left"/>
        <w:rPr>
          <w:color w:val="FF0000"/>
        </w:rPr>
      </w:pPr>
      <w:r>
        <w:rPr>
          <w:rFonts w:hint="eastAsia"/>
          <w:color w:val="FF0000"/>
        </w:rPr>
        <w:t>超声、核磁等科室独立队列设置。</w:t>
      </w:r>
      <w:r>
        <w:rPr>
          <w:color w:val="FF0000"/>
        </w:rPr>
        <w:t xml:space="preserve"> </w:t>
      </w:r>
    </w:p>
    <w:p>
      <w:pPr>
        <w:widowControl/>
        <w:numPr>
          <w:ilvl w:val="1"/>
          <w:numId w:val="1"/>
        </w:numPr>
        <w:spacing w:after="200"/>
        <w:jc w:val="left"/>
      </w:pPr>
      <w:r>
        <w:rPr>
          <w:rFonts w:hint="eastAsia"/>
        </w:rPr>
        <w:t>团检名单提前导入，自动匹配客户类型并识别楼层，按预设顺序分配瓶颈科室号源。</w:t>
      </w:r>
      <w:r>
        <w:t xml:space="preserve"> </w:t>
      </w:r>
    </w:p>
    <w:p>
      <w:pPr>
        <w:widowControl/>
        <w:numPr>
          <w:ilvl w:val="1"/>
          <w:numId w:val="1"/>
        </w:numPr>
        <w:spacing w:after="200"/>
        <w:jc w:val="left"/>
      </w:pPr>
      <w:r>
        <w:rPr>
          <w:rFonts w:hint="eastAsia"/>
        </w:rPr>
        <w:t>动态调整排队策略：根据科室负载提醒优先检查其他项目。</w:t>
      </w:r>
      <w:r>
        <w:t xml:space="preserve"> </w:t>
      </w:r>
    </w:p>
    <w:p>
      <w:pPr>
        <w:widowControl/>
        <w:numPr>
          <w:ilvl w:val="1"/>
          <w:numId w:val="1"/>
        </w:numPr>
        <w:spacing w:after="200"/>
        <w:jc w:val="left"/>
      </w:pPr>
      <w:r>
        <w:rPr>
          <w:rFonts w:hint="eastAsia"/>
        </w:rPr>
        <w:t>名单匹配规则：支持姓名、性别、年龄多重校验解决同名冲突。</w:t>
      </w:r>
      <w:r>
        <w:t xml:space="preserve"> </w:t>
      </w:r>
    </w:p>
    <w:p>
      <w:pPr>
        <w:pStyle w:val="4"/>
      </w:pPr>
      <w:r>
        <w:t xml:space="preserve">3. </w:t>
      </w:r>
      <w:r>
        <w:rPr>
          <w:rFonts w:hint="eastAsia"/>
        </w:rPr>
        <w:t>智能导检主程序功能</w:t>
      </w:r>
    </w:p>
    <w:p>
      <w:pPr>
        <w:widowControl/>
        <w:numPr>
          <w:ilvl w:val="0"/>
          <w:numId w:val="1"/>
        </w:numPr>
        <w:spacing w:after="200"/>
        <w:jc w:val="left"/>
      </w:pPr>
      <w:r>
        <w:rPr>
          <w:rFonts w:hint="eastAsia"/>
          <w:b/>
          <w:bCs/>
        </w:rPr>
        <w:t>核心功能</w:t>
      </w:r>
      <w:r>
        <w:t xml:space="preserve"> </w:t>
      </w:r>
    </w:p>
    <w:p>
      <w:pPr>
        <w:widowControl/>
        <w:numPr>
          <w:ilvl w:val="1"/>
          <w:numId w:val="1"/>
        </w:numPr>
        <w:spacing w:after="200"/>
        <w:jc w:val="left"/>
      </w:pPr>
      <w:r>
        <w:rPr>
          <w:rFonts w:hint="eastAsia"/>
        </w:rPr>
        <w:t>对接体检系统获取客户数据，支持多渠道登记入队。</w:t>
      </w:r>
      <w:r>
        <w:t xml:space="preserve"> </w:t>
      </w:r>
    </w:p>
    <w:p>
      <w:pPr>
        <w:widowControl/>
        <w:numPr>
          <w:ilvl w:val="1"/>
          <w:numId w:val="1"/>
        </w:numPr>
        <w:spacing w:after="200"/>
        <w:jc w:val="left"/>
      </w:pPr>
      <w:r>
        <w:rPr>
          <w:rFonts w:hint="eastAsia"/>
        </w:rPr>
        <w:t>自动分配等候队列，适配不同布局的体检中心（分区域导诊、跨区项目对接）。</w:t>
      </w:r>
      <w:r>
        <w:t xml:space="preserve"> </w:t>
      </w:r>
    </w:p>
    <w:p>
      <w:pPr>
        <w:widowControl/>
        <w:numPr>
          <w:ilvl w:val="1"/>
          <w:numId w:val="1"/>
        </w:numPr>
        <w:spacing w:after="200"/>
        <w:jc w:val="left"/>
      </w:pPr>
      <w:r>
        <w:rPr>
          <w:rFonts w:hint="eastAsia"/>
        </w:rPr>
        <w:t>同级别科室智能分配（如多超声诊室按检查部位分流）。</w:t>
      </w:r>
      <w:r>
        <w:t xml:space="preserve"> </w:t>
      </w:r>
    </w:p>
    <w:p>
      <w:pPr>
        <w:widowControl/>
        <w:numPr>
          <w:ilvl w:val="1"/>
          <w:numId w:val="1"/>
        </w:numPr>
        <w:spacing w:after="200"/>
        <w:jc w:val="left"/>
      </w:pPr>
      <w:r>
        <w:rPr>
          <w:rFonts w:hint="eastAsia"/>
        </w:rPr>
        <w:t>支持淡旺季人数弹性算法，终端数量无限制（窗口屏、综合屏等）。</w:t>
      </w:r>
      <w:r>
        <w:t xml:space="preserve"> </w:t>
      </w:r>
    </w:p>
    <w:p>
      <w:pPr>
        <w:widowControl/>
        <w:numPr>
          <w:ilvl w:val="0"/>
          <w:numId w:val="1"/>
        </w:numPr>
        <w:spacing w:after="200"/>
        <w:jc w:val="left"/>
      </w:pPr>
      <w:r>
        <w:rPr>
          <w:rFonts w:hint="eastAsia"/>
          <w:b/>
          <w:bCs/>
        </w:rPr>
        <w:t>辅助功能</w:t>
      </w:r>
      <w:r>
        <w:t xml:space="preserve"> </w:t>
      </w:r>
    </w:p>
    <w:p>
      <w:pPr>
        <w:widowControl/>
        <w:numPr>
          <w:ilvl w:val="1"/>
          <w:numId w:val="1"/>
        </w:numPr>
        <w:spacing w:after="200"/>
        <w:jc w:val="left"/>
      </w:pPr>
      <w:r>
        <w:rPr>
          <w:rFonts w:hint="eastAsia"/>
        </w:rPr>
        <w:t>区域管理（名称、优先级、跨区时间调整）。</w:t>
      </w:r>
      <w:r>
        <w:t xml:space="preserve"> </w:t>
      </w:r>
    </w:p>
    <w:p>
      <w:pPr>
        <w:widowControl/>
        <w:numPr>
          <w:ilvl w:val="1"/>
          <w:numId w:val="1"/>
        </w:numPr>
        <w:spacing w:after="200"/>
        <w:jc w:val="left"/>
      </w:pPr>
      <w:r>
        <w:rPr>
          <w:rFonts w:hint="eastAsia"/>
        </w:rPr>
        <w:t>客户类型优先级与插队规则配置。</w:t>
      </w:r>
      <w:r>
        <w:t xml:space="preserve"> </w:t>
      </w:r>
    </w:p>
    <w:p>
      <w:pPr>
        <w:widowControl/>
        <w:numPr>
          <w:ilvl w:val="1"/>
          <w:numId w:val="1"/>
        </w:numPr>
        <w:spacing w:after="200"/>
        <w:jc w:val="left"/>
      </w:pPr>
      <w:r>
        <w:rPr>
          <w:rFonts w:hint="eastAsia"/>
        </w:rPr>
        <w:t>特殊诊室时间限制（如采血截止时间）。</w:t>
      </w:r>
      <w:r>
        <w:t xml:space="preserve"> </w:t>
      </w:r>
    </w:p>
    <w:p>
      <w:pPr>
        <w:widowControl/>
        <w:numPr>
          <w:ilvl w:val="1"/>
          <w:numId w:val="1"/>
        </w:numPr>
        <w:spacing w:after="200"/>
        <w:jc w:val="left"/>
      </w:pPr>
      <w:r>
        <w:rPr>
          <w:rFonts w:hint="eastAsia"/>
        </w:rPr>
        <w:t>多体检号合并功能。</w:t>
      </w:r>
      <w:r>
        <w:t xml:space="preserve"> </w:t>
      </w:r>
    </w:p>
    <w:p>
      <w:pPr>
        <w:pStyle w:val="4"/>
      </w:pPr>
      <w:r>
        <w:t xml:space="preserve">4. </w:t>
      </w:r>
      <w:r>
        <w:rPr>
          <w:rFonts w:hint="eastAsia"/>
        </w:rPr>
        <w:t>智能导检队列分配模块</w:t>
      </w:r>
    </w:p>
    <w:p>
      <w:pPr>
        <w:widowControl/>
        <w:numPr>
          <w:ilvl w:val="0"/>
          <w:numId w:val="1"/>
        </w:numPr>
        <w:spacing w:after="200"/>
        <w:jc w:val="left"/>
      </w:pPr>
      <w:r>
        <w:rPr>
          <w:rFonts w:hint="eastAsia"/>
          <w:b/>
          <w:bCs/>
        </w:rPr>
        <w:t>分配策略</w:t>
      </w:r>
      <w:r>
        <w:t xml:space="preserve"> </w:t>
      </w:r>
    </w:p>
    <w:p>
      <w:pPr>
        <w:widowControl/>
        <w:numPr>
          <w:ilvl w:val="1"/>
          <w:numId w:val="1"/>
        </w:numPr>
        <w:spacing w:after="200"/>
        <w:jc w:val="left"/>
      </w:pPr>
      <w:r>
        <w:rPr>
          <w:rFonts w:hint="eastAsia"/>
        </w:rPr>
        <w:t>实时展示排队信息（窗口屏、综合屏、导检台）。</w:t>
      </w:r>
      <w:r>
        <w:t xml:space="preserve"> </w:t>
      </w:r>
    </w:p>
    <w:p>
      <w:pPr>
        <w:widowControl/>
        <w:numPr>
          <w:ilvl w:val="1"/>
          <w:numId w:val="1"/>
        </w:numPr>
        <w:spacing w:after="200"/>
        <w:jc w:val="left"/>
      </w:pPr>
      <w:r>
        <w:rPr>
          <w:rFonts w:hint="eastAsia"/>
        </w:rPr>
        <w:t>支持空腹/特殊项目优先、同一区域优先、VIP/特殊人群优先。</w:t>
      </w:r>
      <w:r>
        <w:t xml:space="preserve"> </w:t>
      </w:r>
    </w:p>
    <w:p>
      <w:pPr>
        <w:widowControl/>
        <w:numPr>
          <w:ilvl w:val="1"/>
          <w:numId w:val="1"/>
        </w:numPr>
        <w:spacing w:after="200"/>
        <w:jc w:val="left"/>
      </w:pPr>
      <w:r>
        <w:rPr>
          <w:rFonts w:hint="eastAsia"/>
        </w:rPr>
        <w:t>过号处理：自动退位/重排队（可配置退位人数）、</w:t>
      </w:r>
      <w:r>
        <w:rPr>
          <w:rFonts w:hint="eastAsia"/>
          <w:color w:val="FF0000"/>
        </w:rPr>
        <w:t>重复过号分配至其他科室</w:t>
      </w:r>
      <w:r>
        <w:rPr>
          <w:rFonts w:hint="eastAsia"/>
        </w:rPr>
        <w:t>。</w:t>
      </w:r>
      <w:r>
        <w:t xml:space="preserve"> </w:t>
      </w:r>
    </w:p>
    <w:p>
      <w:pPr>
        <w:widowControl/>
        <w:numPr>
          <w:ilvl w:val="1"/>
          <w:numId w:val="1"/>
        </w:numPr>
        <w:spacing w:after="200"/>
        <w:jc w:val="left"/>
      </w:pPr>
      <w:r>
        <w:rPr>
          <w:rFonts w:hint="eastAsia"/>
        </w:rPr>
        <w:t>动态调整策略：基于科室平均检查时间优化分配。</w:t>
      </w:r>
      <w:r>
        <w:t xml:space="preserve"> </w:t>
      </w:r>
    </w:p>
    <w:p>
      <w:pPr>
        <w:widowControl/>
        <w:numPr>
          <w:ilvl w:val="0"/>
          <w:numId w:val="1"/>
        </w:numPr>
        <w:spacing w:after="200"/>
        <w:jc w:val="left"/>
      </w:pPr>
      <w:r>
        <w:rPr>
          <w:rFonts w:hint="eastAsia"/>
          <w:b/>
          <w:bCs/>
        </w:rPr>
        <w:t>依赖管理</w:t>
      </w:r>
      <w:r>
        <w:t xml:space="preserve"> </w:t>
      </w:r>
    </w:p>
    <w:p>
      <w:pPr>
        <w:widowControl/>
        <w:numPr>
          <w:ilvl w:val="1"/>
          <w:numId w:val="1"/>
        </w:numPr>
        <w:spacing w:after="200"/>
        <w:jc w:val="left"/>
      </w:pPr>
      <w:r>
        <w:rPr>
          <w:rFonts w:hint="eastAsia"/>
        </w:rPr>
        <w:t>支持项目依赖关系配置（如肺功能需先完成一般检查、阴超需先妇科检查）。</w:t>
      </w:r>
      <w:r>
        <w:t xml:space="preserve"> </w:t>
      </w:r>
    </w:p>
    <w:p>
      <w:pPr>
        <w:pStyle w:val="4"/>
      </w:pPr>
      <w:r>
        <w:t xml:space="preserve">5. </w:t>
      </w:r>
      <w:r>
        <w:rPr>
          <w:rFonts w:hint="eastAsia"/>
        </w:rPr>
        <w:t>前台护士站功能</w:t>
      </w:r>
    </w:p>
    <w:p>
      <w:pPr>
        <w:widowControl/>
        <w:numPr>
          <w:ilvl w:val="0"/>
          <w:numId w:val="1"/>
        </w:numPr>
        <w:spacing w:after="200"/>
        <w:jc w:val="left"/>
      </w:pPr>
      <w:r>
        <w:rPr>
          <w:rFonts w:hint="eastAsia"/>
          <w:b/>
          <w:bCs/>
        </w:rPr>
        <w:t>监控与操作</w:t>
      </w:r>
      <w:r>
        <w:t xml:space="preserve"> </w:t>
      </w:r>
    </w:p>
    <w:p>
      <w:pPr>
        <w:widowControl/>
        <w:numPr>
          <w:ilvl w:val="1"/>
          <w:numId w:val="1"/>
        </w:numPr>
        <w:spacing w:after="200"/>
        <w:jc w:val="left"/>
      </w:pPr>
      <w:r>
        <w:rPr>
          <w:rFonts w:hint="eastAsia"/>
        </w:rPr>
        <w:t>科室排队状态图形化展示，支持手动调整队列。</w:t>
      </w:r>
      <w:r>
        <w:t xml:space="preserve"> </w:t>
      </w:r>
    </w:p>
    <w:p>
      <w:pPr>
        <w:widowControl/>
        <w:numPr>
          <w:ilvl w:val="1"/>
          <w:numId w:val="1"/>
        </w:numPr>
        <w:spacing w:after="200"/>
        <w:jc w:val="left"/>
      </w:pPr>
      <w:r>
        <w:rPr>
          <w:rFonts w:hint="eastAsia"/>
        </w:rPr>
        <w:t>特殊人群（VIP/孕妇/军人）信息发布与绿色通道管理。</w:t>
      </w:r>
      <w:r>
        <w:t xml:space="preserve"> </w:t>
      </w:r>
    </w:p>
    <w:p>
      <w:pPr>
        <w:widowControl/>
        <w:numPr>
          <w:ilvl w:val="1"/>
          <w:numId w:val="1"/>
        </w:numPr>
        <w:spacing w:after="200"/>
        <w:jc w:val="left"/>
      </w:pPr>
      <w:r>
        <w:rPr>
          <w:rFonts w:hint="eastAsia"/>
        </w:rPr>
        <w:t>实时查看体检进度、诊室完成情况、人数统计（当前/未检/已检）。</w:t>
      </w:r>
      <w:r>
        <w:t xml:space="preserve"> </w:t>
      </w:r>
    </w:p>
    <w:p>
      <w:pPr>
        <w:widowControl/>
        <w:numPr>
          <w:ilvl w:val="0"/>
          <w:numId w:val="1"/>
        </w:numPr>
        <w:spacing w:after="200"/>
        <w:jc w:val="left"/>
      </w:pPr>
      <w:r>
        <w:rPr>
          <w:rFonts w:hint="eastAsia"/>
          <w:b/>
          <w:bCs/>
        </w:rPr>
        <w:t>控制功能</w:t>
      </w:r>
      <w:r>
        <w:t xml:space="preserve"> </w:t>
      </w:r>
    </w:p>
    <w:p>
      <w:pPr>
        <w:widowControl/>
        <w:numPr>
          <w:ilvl w:val="1"/>
          <w:numId w:val="1"/>
        </w:numPr>
        <w:spacing w:after="200"/>
        <w:jc w:val="left"/>
      </w:pPr>
      <w:r>
        <w:rPr>
          <w:rFonts w:hint="eastAsia"/>
        </w:rPr>
        <w:t>科室操作（禁止/锁定/暂停/转移）、移动端呼叫/重呼/完成。</w:t>
      </w:r>
      <w:r>
        <w:t xml:space="preserve"> </w:t>
      </w:r>
    </w:p>
    <w:p>
      <w:pPr>
        <w:widowControl/>
        <w:numPr>
          <w:ilvl w:val="1"/>
          <w:numId w:val="1"/>
        </w:numPr>
        <w:spacing w:after="200"/>
        <w:jc w:val="left"/>
      </w:pPr>
      <w:r>
        <w:rPr>
          <w:rFonts w:hint="eastAsia"/>
        </w:rPr>
        <w:t>扫描定位客户、刷新数据、固定套餐管理（驾驶员/教师体检）。</w:t>
      </w:r>
      <w:r>
        <w:t xml:space="preserve"> </w:t>
      </w:r>
    </w:p>
    <w:p>
      <w:pPr>
        <w:widowControl/>
        <w:numPr>
          <w:ilvl w:val="1"/>
          <w:numId w:val="1"/>
        </w:numPr>
        <w:spacing w:after="200"/>
        <w:jc w:val="left"/>
      </w:pPr>
      <w:r>
        <w:rPr>
          <w:rFonts w:hint="eastAsia"/>
        </w:rPr>
        <w:t>历史轨迹查询（登录记录、工作时长）、多维度工作量统计。</w:t>
      </w:r>
      <w:r>
        <w:t xml:space="preserve"> </w:t>
      </w:r>
    </w:p>
    <w:p>
      <w:pPr>
        <w:pStyle w:val="4"/>
      </w:pPr>
      <w:r>
        <w:t xml:space="preserve">6. </w:t>
      </w:r>
      <w:r>
        <w:rPr>
          <w:rFonts w:hint="eastAsia"/>
        </w:rPr>
        <w:t>医生端工作站</w:t>
      </w:r>
    </w:p>
    <w:p>
      <w:pPr>
        <w:widowControl/>
        <w:numPr>
          <w:ilvl w:val="0"/>
          <w:numId w:val="1"/>
        </w:numPr>
        <w:spacing w:after="200"/>
        <w:jc w:val="left"/>
      </w:pPr>
      <w:r>
        <w:rPr>
          <w:rFonts w:hint="eastAsia"/>
          <w:b/>
          <w:bCs/>
        </w:rPr>
        <w:t>核心功能</w:t>
      </w:r>
      <w:r>
        <w:t xml:space="preserve"> </w:t>
      </w:r>
    </w:p>
    <w:p>
      <w:pPr>
        <w:widowControl/>
        <w:numPr>
          <w:ilvl w:val="1"/>
          <w:numId w:val="1"/>
        </w:numPr>
        <w:spacing w:after="200"/>
        <w:jc w:val="left"/>
        <w:rPr>
          <w:color w:val="FF0000"/>
        </w:rPr>
      </w:pPr>
      <w:r>
        <w:rPr>
          <w:rFonts w:hint="eastAsia"/>
          <w:color w:val="FF0000"/>
        </w:rPr>
        <w:t>支持双科室同时登录，实时显示双队列。</w:t>
      </w:r>
      <w:r>
        <w:rPr>
          <w:color w:val="FF0000"/>
        </w:rPr>
        <w:t xml:space="preserve"> </w:t>
      </w:r>
    </w:p>
    <w:p>
      <w:pPr>
        <w:widowControl/>
        <w:numPr>
          <w:ilvl w:val="1"/>
          <w:numId w:val="1"/>
        </w:numPr>
        <w:spacing w:after="200"/>
        <w:jc w:val="left"/>
      </w:pPr>
      <w:r>
        <w:rPr>
          <w:rFonts w:hint="eastAsia"/>
        </w:rPr>
        <w:t>界面拖拽/自动隐藏，快捷键操作（呼叫/重呼/暂停/转移）。</w:t>
      </w:r>
      <w:r>
        <w:t xml:space="preserve"> </w:t>
      </w:r>
    </w:p>
    <w:p>
      <w:pPr>
        <w:widowControl/>
        <w:numPr>
          <w:ilvl w:val="1"/>
          <w:numId w:val="1"/>
        </w:numPr>
        <w:spacing w:after="200"/>
        <w:jc w:val="left"/>
      </w:pPr>
      <w:r>
        <w:rPr>
          <w:rFonts w:hint="eastAsia"/>
        </w:rPr>
        <w:t>VIP/军人/老年人特殊标识，插队与人数统计。</w:t>
      </w:r>
      <w:r>
        <w:t xml:space="preserve"> </w:t>
      </w:r>
    </w:p>
    <w:p>
      <w:pPr>
        <w:widowControl/>
        <w:numPr>
          <w:ilvl w:val="0"/>
          <w:numId w:val="1"/>
        </w:numPr>
        <w:spacing w:after="200"/>
        <w:jc w:val="left"/>
      </w:pPr>
      <w:r>
        <w:rPr>
          <w:rFonts w:hint="eastAsia"/>
          <w:b/>
          <w:bCs/>
        </w:rPr>
        <w:t>复检功能</w:t>
      </w:r>
      <w:r>
        <w:t xml:space="preserve"> </w:t>
      </w:r>
    </w:p>
    <w:p>
      <w:pPr>
        <w:widowControl/>
        <w:numPr>
          <w:ilvl w:val="1"/>
          <w:numId w:val="1"/>
        </w:numPr>
        <w:spacing w:after="200"/>
        <w:jc w:val="left"/>
      </w:pPr>
      <w:r>
        <w:rPr>
          <w:rFonts w:hint="eastAsia"/>
        </w:rPr>
        <w:t>支持复检流程（如B超憋尿后返回），可通过扫码/点击结束检查。</w:t>
      </w:r>
      <w:r>
        <w:t xml:space="preserve"> </w:t>
      </w:r>
    </w:p>
    <w:p>
      <w:pPr>
        <w:pStyle w:val="4"/>
      </w:pPr>
      <w:r>
        <w:t xml:space="preserve">7. </w:t>
      </w:r>
      <w:r>
        <w:rPr>
          <w:rFonts w:hint="eastAsia"/>
        </w:rPr>
        <w:t>信息发布系统</w:t>
      </w:r>
    </w:p>
    <w:p>
      <w:pPr>
        <w:widowControl/>
        <w:numPr>
          <w:ilvl w:val="0"/>
          <w:numId w:val="1"/>
        </w:numPr>
        <w:spacing w:after="200"/>
        <w:jc w:val="left"/>
      </w:pPr>
      <w:r>
        <w:rPr>
          <w:rFonts w:hint="eastAsia"/>
          <w:b/>
          <w:bCs/>
        </w:rPr>
        <w:t>多终端发布</w:t>
      </w:r>
      <w:r>
        <w:t xml:space="preserve"> </w:t>
      </w:r>
    </w:p>
    <w:p>
      <w:pPr>
        <w:widowControl/>
        <w:numPr>
          <w:ilvl w:val="1"/>
          <w:numId w:val="1"/>
        </w:numPr>
        <w:spacing w:after="200"/>
        <w:jc w:val="left"/>
      </w:pPr>
      <w:r>
        <w:rPr>
          <w:rFonts w:hint="eastAsia"/>
        </w:rPr>
        <w:t>通过窗口屏、综合屏、微信等推送最优体检路径。</w:t>
      </w:r>
      <w:r>
        <w:t xml:space="preserve"> </w:t>
      </w:r>
    </w:p>
    <w:p>
      <w:pPr>
        <w:widowControl/>
        <w:numPr>
          <w:ilvl w:val="1"/>
          <w:numId w:val="1"/>
        </w:numPr>
        <w:spacing w:after="200"/>
        <w:jc w:val="left"/>
      </w:pPr>
      <w:r>
        <w:rPr>
          <w:rFonts w:hint="eastAsia"/>
        </w:rPr>
        <w:t>多模式导检流程配置（健康/VIP/职业体检）。</w:t>
      </w:r>
      <w:r>
        <w:t xml:space="preserve"> </w:t>
      </w:r>
    </w:p>
    <w:p>
      <w:pPr>
        <w:widowControl/>
        <w:numPr>
          <w:ilvl w:val="0"/>
          <w:numId w:val="1"/>
        </w:numPr>
        <w:spacing w:after="200"/>
        <w:jc w:val="left"/>
      </w:pPr>
      <w:r>
        <w:rPr>
          <w:rFonts w:hint="eastAsia"/>
          <w:b/>
          <w:bCs/>
        </w:rPr>
        <w:t>远程控制</w:t>
      </w:r>
      <w:r>
        <w:t xml:space="preserve"> </w:t>
      </w:r>
    </w:p>
    <w:p>
      <w:pPr>
        <w:widowControl/>
        <w:numPr>
          <w:ilvl w:val="1"/>
          <w:numId w:val="1"/>
        </w:numPr>
        <w:spacing w:after="200"/>
        <w:jc w:val="left"/>
      </w:pPr>
      <w:r>
        <w:rPr>
          <w:rFonts w:hint="eastAsia"/>
        </w:rPr>
        <w:t>调节智能导检终端音量、开关机、重启；定制医生职称与科室信息显示。</w:t>
      </w:r>
      <w:r>
        <w:t xml:space="preserve"> </w:t>
      </w:r>
    </w:p>
    <w:p>
      <w:pPr>
        <w:pStyle w:val="4"/>
      </w:pPr>
      <w:r>
        <w:t xml:space="preserve">8. </w:t>
      </w:r>
      <w:r>
        <w:rPr>
          <w:rFonts w:hint="eastAsia"/>
        </w:rPr>
        <w:t>多媒体与自助系统</w:t>
      </w:r>
    </w:p>
    <w:p>
      <w:pPr>
        <w:widowControl/>
        <w:numPr>
          <w:ilvl w:val="0"/>
          <w:numId w:val="1"/>
        </w:numPr>
        <w:spacing w:after="200"/>
        <w:jc w:val="left"/>
      </w:pPr>
      <w:r>
        <w:rPr>
          <w:rFonts w:hint="eastAsia"/>
          <w:b/>
          <w:bCs/>
        </w:rPr>
        <w:t>多媒体控制</w:t>
      </w:r>
      <w:r>
        <w:t xml:space="preserve"> </w:t>
      </w:r>
    </w:p>
    <w:p>
      <w:pPr>
        <w:widowControl/>
        <w:numPr>
          <w:ilvl w:val="1"/>
          <w:numId w:val="1"/>
        </w:numPr>
        <w:spacing w:after="200"/>
        <w:jc w:val="left"/>
      </w:pPr>
      <w:r>
        <w:rPr>
          <w:rFonts w:hint="eastAsia"/>
        </w:rPr>
        <w:t>屏幕自适应（字体/颜色/布局），双屏显示，队列滚动播放。</w:t>
      </w:r>
      <w:r>
        <w:t xml:space="preserve"> </w:t>
      </w:r>
    </w:p>
    <w:p>
      <w:pPr>
        <w:widowControl/>
        <w:numPr>
          <w:ilvl w:val="1"/>
          <w:numId w:val="1"/>
        </w:numPr>
        <w:spacing w:after="200"/>
        <w:jc w:val="left"/>
      </w:pPr>
      <w:r>
        <w:rPr>
          <w:rFonts w:hint="eastAsia"/>
        </w:rPr>
        <w:t>彩超/核磁大屏优化：按科室计算候检时间。</w:t>
      </w:r>
      <w:r>
        <w:t xml:space="preserve"> </w:t>
      </w:r>
    </w:p>
    <w:p>
      <w:pPr>
        <w:widowControl/>
        <w:numPr>
          <w:ilvl w:val="0"/>
          <w:numId w:val="1"/>
        </w:numPr>
        <w:spacing w:after="200"/>
        <w:jc w:val="left"/>
      </w:pPr>
      <w:r>
        <w:rPr>
          <w:rFonts w:hint="eastAsia"/>
          <w:b/>
          <w:bCs/>
        </w:rPr>
        <w:t>语音模块</w:t>
      </w:r>
      <w:r>
        <w:t xml:space="preserve"> </w:t>
      </w:r>
    </w:p>
    <w:p>
      <w:pPr>
        <w:widowControl/>
        <w:numPr>
          <w:ilvl w:val="1"/>
          <w:numId w:val="1"/>
        </w:numPr>
        <w:spacing w:after="200"/>
        <w:jc w:val="left"/>
      </w:pPr>
      <w:r>
        <w:rPr>
          <w:rFonts w:hint="eastAsia"/>
        </w:rPr>
        <w:t>多语言支持（英语/粤语/普通话），多区域广播，语速/停顿自定义。</w:t>
      </w:r>
      <w:r>
        <w:t xml:space="preserve"> </w:t>
      </w:r>
    </w:p>
    <w:p>
      <w:pPr>
        <w:widowControl/>
        <w:numPr>
          <w:ilvl w:val="0"/>
          <w:numId w:val="1"/>
        </w:numPr>
        <w:spacing w:after="200"/>
        <w:jc w:val="left"/>
      </w:pPr>
      <w:r>
        <w:rPr>
          <w:rFonts w:hint="eastAsia"/>
          <w:b/>
          <w:bCs/>
        </w:rPr>
        <w:t>自助查询</w:t>
      </w:r>
      <w:r>
        <w:t xml:space="preserve"> </w:t>
      </w:r>
    </w:p>
    <w:p>
      <w:pPr>
        <w:widowControl/>
        <w:numPr>
          <w:ilvl w:val="1"/>
          <w:numId w:val="1"/>
        </w:numPr>
        <w:spacing w:after="200"/>
        <w:jc w:val="left"/>
      </w:pPr>
      <w:r>
        <w:rPr>
          <w:rFonts w:hint="eastAsia"/>
        </w:rPr>
        <w:t>扫描识别科室、转移科室、查询等候人数及未检项目。</w:t>
      </w:r>
      <w:r>
        <w:t xml:space="preserve"> </w:t>
      </w:r>
    </w:p>
    <w:p>
      <w:pPr>
        <w:pStyle w:val="4"/>
      </w:pPr>
      <w:r>
        <w:t xml:space="preserve">9. </w:t>
      </w:r>
      <w:r>
        <w:rPr>
          <w:rFonts w:hint="eastAsia"/>
        </w:rPr>
        <w:t>特殊功能</w:t>
      </w:r>
    </w:p>
    <w:p>
      <w:pPr>
        <w:widowControl/>
        <w:numPr>
          <w:ilvl w:val="0"/>
          <w:numId w:val="1"/>
        </w:numPr>
        <w:spacing w:after="200"/>
        <w:jc w:val="left"/>
      </w:pPr>
      <w:r>
        <w:rPr>
          <w:rFonts w:hint="eastAsia"/>
          <w:b/>
          <w:bCs/>
        </w:rPr>
        <w:t>特殊人群</w:t>
      </w:r>
      <w:r>
        <w:t xml:space="preserve"> </w:t>
      </w:r>
    </w:p>
    <w:p>
      <w:pPr>
        <w:widowControl/>
        <w:numPr>
          <w:ilvl w:val="1"/>
          <w:numId w:val="1"/>
        </w:numPr>
        <w:spacing w:after="200"/>
        <w:jc w:val="left"/>
      </w:pPr>
      <w:r>
        <w:rPr>
          <w:rFonts w:hint="eastAsia"/>
        </w:rPr>
        <w:t>VIP自动插队、老年人优先引导、依赖关系管理（如年龄设置）。</w:t>
      </w:r>
      <w:r>
        <w:t xml:space="preserve"> </w:t>
      </w:r>
    </w:p>
    <w:p>
      <w:pPr>
        <w:widowControl/>
        <w:numPr>
          <w:ilvl w:val="0"/>
          <w:numId w:val="1"/>
        </w:numPr>
        <w:spacing w:after="200"/>
        <w:jc w:val="left"/>
      </w:pPr>
      <w:r>
        <w:rPr>
          <w:rFonts w:hint="eastAsia"/>
          <w:b/>
          <w:bCs/>
        </w:rPr>
        <w:t>可视化系统</w:t>
      </w:r>
      <w:r>
        <w:t xml:space="preserve"> </w:t>
      </w:r>
    </w:p>
    <w:p>
      <w:pPr>
        <w:widowControl/>
        <w:numPr>
          <w:ilvl w:val="1"/>
          <w:numId w:val="1"/>
        </w:numPr>
        <w:spacing w:after="200"/>
        <w:jc w:val="left"/>
      </w:pPr>
      <w:r>
        <w:rPr>
          <w:rFonts w:hint="eastAsia"/>
        </w:rPr>
        <w:t>实时展示登记套餐比例、年龄分布、人流趋势等数据大屏。</w:t>
      </w:r>
      <w:r>
        <w:t xml:space="preserve"> </w:t>
      </w:r>
    </w:p>
    <w:p>
      <w:pPr>
        <w:widowControl/>
        <w:numPr>
          <w:ilvl w:val="0"/>
          <w:numId w:val="1"/>
        </w:numPr>
        <w:spacing w:after="200"/>
        <w:jc w:val="left"/>
      </w:pPr>
      <w:r>
        <w:rPr>
          <w:rFonts w:hint="eastAsia"/>
          <w:b/>
          <w:bCs/>
        </w:rPr>
        <w:t>微信导检</w:t>
      </w:r>
      <w:r>
        <w:t xml:space="preserve"> </w:t>
      </w:r>
    </w:p>
    <w:p>
      <w:pPr>
        <w:widowControl/>
        <w:numPr>
          <w:ilvl w:val="1"/>
          <w:numId w:val="1"/>
        </w:numPr>
        <w:spacing w:after="200"/>
        <w:jc w:val="left"/>
      </w:pPr>
      <w:r>
        <w:rPr>
          <w:rFonts w:hint="eastAsia"/>
        </w:rPr>
        <w:t>绑定微信号、扫码/录入体检号、多号绑定、</w:t>
      </w:r>
      <w:r>
        <w:rPr>
          <w:rFonts w:hint="eastAsia"/>
          <w:color w:val="FF0000"/>
        </w:rPr>
        <w:t>电子指引单、</w:t>
      </w:r>
      <w:r>
        <w:rPr>
          <w:rFonts w:hint="eastAsia"/>
        </w:rPr>
        <w:t>排队信息推送。</w:t>
      </w:r>
      <w:r>
        <w:t xml:space="preserve"> </w:t>
      </w:r>
    </w:p>
    <w:p>
      <w:pPr>
        <w:widowControl/>
        <w:numPr>
          <w:ilvl w:val="0"/>
          <w:numId w:val="1"/>
        </w:numPr>
        <w:spacing w:after="200"/>
        <w:jc w:val="left"/>
      </w:pPr>
      <w:r>
        <w:rPr>
          <w:rFonts w:hint="eastAsia"/>
          <w:b/>
          <w:bCs/>
        </w:rPr>
        <w:t>微信评价</w:t>
      </w:r>
      <w:r>
        <w:t xml:space="preserve"> </w:t>
      </w:r>
    </w:p>
    <w:p>
      <w:pPr>
        <w:widowControl/>
        <w:numPr>
          <w:ilvl w:val="1"/>
          <w:numId w:val="1"/>
        </w:numPr>
        <w:spacing w:after="200"/>
        <w:jc w:val="left"/>
      </w:pPr>
      <w:r>
        <w:rPr>
          <w:rFonts w:hint="eastAsia"/>
        </w:rPr>
        <w:t>科室星级评价、点赞、导出数据、满意度反馈（可屏蔽功能）。</w:t>
      </w:r>
    </w:p>
    <w:p>
      <w:pPr>
        <w:pStyle w:val="4"/>
        <w:rPr>
          <w:rFonts w:ascii="宋体" w:hAnsi="宋体"/>
          <w:szCs w:val="21"/>
        </w:rPr>
      </w:pPr>
      <w:r>
        <w:t>10.</w:t>
      </w:r>
      <w:r>
        <w:rPr>
          <w:rFonts w:hint="eastAsia" w:ascii="宋体" w:hAnsi="宋体"/>
          <w:szCs w:val="21"/>
        </w:rPr>
        <w:t xml:space="preserve"> 定制化服务</w:t>
      </w:r>
    </w:p>
    <w:p>
      <w:pPr>
        <w:widowControl/>
        <w:numPr>
          <w:ilvl w:val="1"/>
          <w:numId w:val="1"/>
        </w:numPr>
        <w:spacing w:after="200"/>
        <w:jc w:val="left"/>
      </w:pPr>
      <w:r>
        <w:rPr>
          <w:rFonts w:hint="eastAsia"/>
        </w:rPr>
        <w:t>软件根据体检中心进行定制化开发</w:t>
      </w:r>
    </w:p>
    <w:p>
      <w:pPr>
        <w:pStyle w:val="2"/>
        <w:tabs>
          <w:tab w:val="left" w:pos="432"/>
        </w:tabs>
        <w:adjustRightInd w:val="0"/>
        <w:snapToGrid w:val="0"/>
        <w:spacing w:line="240" w:lineRule="auto"/>
        <w:rPr>
          <w:rFonts w:ascii="仿宋" w:hAnsi="仿宋" w:eastAsia="仿宋" w:cs="仿宋"/>
          <w:sz w:val="32"/>
          <w:szCs w:val="32"/>
        </w:rPr>
      </w:pPr>
      <w:r>
        <w:rPr>
          <w:rFonts w:ascii="仿宋" w:hAnsi="仿宋" w:eastAsia="仿宋" w:cs="仿宋"/>
          <w:sz w:val="32"/>
          <w:szCs w:val="32"/>
        </w:rPr>
        <w:t>2.2.2</w:t>
      </w:r>
      <w:r>
        <w:rPr>
          <w:rFonts w:hint="eastAsia" w:ascii="仿宋" w:hAnsi="仿宋" w:eastAsia="仿宋" w:cs="仿宋"/>
          <w:sz w:val="32"/>
          <w:szCs w:val="32"/>
        </w:rPr>
        <w:t>检后健康管理系统软件需求</w:t>
      </w:r>
    </w:p>
    <w:p>
      <w:pPr>
        <w:pStyle w:val="4"/>
      </w:pPr>
      <w:r>
        <w:t xml:space="preserve">1. </w:t>
      </w:r>
      <w:r>
        <w:rPr>
          <w:rFonts w:hint="eastAsia"/>
        </w:rPr>
        <w:t>医生端功能</w:t>
      </w:r>
    </w:p>
    <w:p>
      <w:pPr>
        <w:widowControl/>
        <w:numPr>
          <w:ilvl w:val="0"/>
          <w:numId w:val="1"/>
        </w:numPr>
        <w:spacing w:after="200"/>
        <w:jc w:val="left"/>
      </w:pPr>
      <w:r>
        <w:rPr>
          <w:rFonts w:hint="eastAsia"/>
          <w:b/>
          <w:bCs/>
        </w:rPr>
        <w:t>工作台</w:t>
      </w:r>
      <w:r>
        <w:rPr>
          <w:rFonts w:hint="eastAsia"/>
        </w:rPr>
        <w:t>：待办任务、新分配客户、管理量趋势、快捷入口、帮助文档。</w:t>
      </w:r>
      <w:r>
        <w:t xml:space="preserve"> </w:t>
      </w:r>
    </w:p>
    <w:p>
      <w:pPr>
        <w:widowControl/>
        <w:numPr>
          <w:ilvl w:val="0"/>
          <w:numId w:val="1"/>
        </w:numPr>
        <w:spacing w:after="200"/>
        <w:jc w:val="left"/>
      </w:pPr>
      <w:r>
        <w:rPr>
          <w:rFonts w:hint="eastAsia"/>
          <w:b/>
          <w:bCs/>
        </w:rPr>
        <w:t>健康档案</w:t>
      </w:r>
      <w:r>
        <w:rPr>
          <w:rFonts w:hint="eastAsia"/>
        </w:rPr>
        <w:t>：</w:t>
      </w:r>
      <w:r>
        <w:t xml:space="preserve"> </w:t>
      </w:r>
    </w:p>
    <w:p>
      <w:pPr>
        <w:widowControl/>
        <w:numPr>
          <w:ilvl w:val="1"/>
          <w:numId w:val="1"/>
        </w:numPr>
        <w:spacing w:after="200"/>
        <w:jc w:val="left"/>
      </w:pPr>
      <w:r>
        <w:rPr>
          <w:rFonts w:hint="eastAsia"/>
        </w:rPr>
        <w:t>整合体检报告、既往史、监测数据、外接设备数据。</w:t>
      </w:r>
      <w:r>
        <w:t xml:space="preserve"> </w:t>
      </w:r>
    </w:p>
    <w:p>
      <w:pPr>
        <w:widowControl/>
        <w:numPr>
          <w:ilvl w:val="1"/>
          <w:numId w:val="1"/>
        </w:numPr>
        <w:spacing w:after="200"/>
        <w:jc w:val="left"/>
      </w:pPr>
      <w:r>
        <w:rPr>
          <w:rFonts w:hint="eastAsia"/>
        </w:rPr>
        <w:t>自动风险标签（疾病风险分析）、人工标签备注。</w:t>
      </w:r>
      <w:r>
        <w:t xml:space="preserve"> </w:t>
      </w:r>
    </w:p>
    <w:p>
      <w:pPr>
        <w:widowControl/>
        <w:numPr>
          <w:ilvl w:val="0"/>
          <w:numId w:val="1"/>
        </w:numPr>
        <w:spacing w:after="200"/>
        <w:jc w:val="left"/>
      </w:pPr>
      <w:r>
        <w:rPr>
          <w:rFonts w:hint="eastAsia"/>
          <w:b/>
          <w:bCs/>
        </w:rPr>
        <w:t>客户管理</w:t>
      </w:r>
      <w:r>
        <w:rPr>
          <w:rFonts w:hint="eastAsia"/>
        </w:rPr>
        <w:t>：</w:t>
      </w:r>
      <w:r>
        <w:t xml:space="preserve"> </w:t>
      </w:r>
    </w:p>
    <w:p>
      <w:pPr>
        <w:widowControl/>
        <w:numPr>
          <w:ilvl w:val="1"/>
          <w:numId w:val="1"/>
        </w:numPr>
        <w:spacing w:after="200"/>
        <w:jc w:val="left"/>
      </w:pPr>
      <w:r>
        <w:rPr>
          <w:rFonts w:hint="eastAsia"/>
        </w:rPr>
        <w:t>多渠道建档（系统导入/微信手动）、自动/手动分配客户、分组管理（年龄/性别/单位）。</w:t>
      </w:r>
      <w:r>
        <w:t xml:space="preserve"> </w:t>
      </w:r>
    </w:p>
    <w:p>
      <w:pPr>
        <w:widowControl/>
        <w:numPr>
          <w:ilvl w:val="1"/>
          <w:numId w:val="1"/>
        </w:numPr>
        <w:spacing w:after="200"/>
        <w:jc w:val="left"/>
      </w:pPr>
      <w:r>
        <w:rPr>
          <w:rFonts w:hint="eastAsia"/>
        </w:rPr>
        <w:t>团检报告生成（异常汇总、高危分析、指标统计）。</w:t>
      </w:r>
      <w:r>
        <w:t xml:space="preserve"> </w:t>
      </w:r>
    </w:p>
    <w:p>
      <w:pPr>
        <w:widowControl/>
        <w:numPr>
          <w:ilvl w:val="1"/>
          <w:numId w:val="1"/>
        </w:numPr>
        <w:spacing w:after="200"/>
        <w:jc w:val="left"/>
        <w:rPr>
          <w:color w:val="FF0000"/>
        </w:rPr>
      </w:pPr>
      <w:r>
        <w:rPr>
          <w:rFonts w:hint="eastAsia" w:ascii="宋体" w:hAnsi="宋体"/>
          <w:color w:val="FF0000"/>
          <w:kern w:val="0"/>
          <w:szCs w:val="21"/>
          <w:lang w:bidi="ar"/>
        </w:rPr>
        <w:t>门诊服务（需要对接就诊信息，把健康管理门诊的客户拉取到检后）</w:t>
      </w:r>
    </w:p>
    <w:p>
      <w:pPr>
        <w:pStyle w:val="4"/>
      </w:pPr>
      <w:r>
        <w:t xml:space="preserve">2. </w:t>
      </w:r>
      <w:r>
        <w:rPr>
          <w:rFonts w:hint="eastAsia"/>
        </w:rPr>
        <w:t>健康方案与报告</w:t>
      </w:r>
    </w:p>
    <w:p>
      <w:pPr>
        <w:widowControl/>
        <w:numPr>
          <w:ilvl w:val="0"/>
          <w:numId w:val="1"/>
        </w:numPr>
        <w:spacing w:after="200"/>
        <w:jc w:val="left"/>
      </w:pPr>
      <w:r>
        <w:rPr>
          <w:rFonts w:hint="eastAsia"/>
          <w:b/>
          <w:bCs/>
        </w:rPr>
        <w:t>方案管理</w:t>
      </w:r>
      <w:r>
        <w:rPr>
          <w:rFonts w:hint="eastAsia"/>
        </w:rPr>
        <w:t>：</w:t>
      </w:r>
      <w:r>
        <w:t xml:space="preserve"> </w:t>
      </w:r>
    </w:p>
    <w:p>
      <w:pPr>
        <w:widowControl/>
        <w:numPr>
          <w:ilvl w:val="1"/>
          <w:numId w:val="1"/>
        </w:numPr>
        <w:spacing w:after="200"/>
        <w:jc w:val="left"/>
      </w:pPr>
      <w:r>
        <w:rPr>
          <w:rFonts w:hint="eastAsia"/>
        </w:rPr>
        <w:t>饮食/运动方案自动匹配知识库，支持修改与审核发送。</w:t>
      </w:r>
      <w:r>
        <w:t xml:space="preserve"> </w:t>
      </w:r>
    </w:p>
    <w:p>
      <w:pPr>
        <w:widowControl/>
        <w:numPr>
          <w:ilvl w:val="0"/>
          <w:numId w:val="1"/>
        </w:numPr>
        <w:spacing w:after="200"/>
        <w:jc w:val="left"/>
      </w:pPr>
      <w:r>
        <w:rPr>
          <w:rFonts w:hint="eastAsia"/>
          <w:b/>
          <w:bCs/>
        </w:rPr>
        <w:t>报告管理</w:t>
      </w:r>
      <w:r>
        <w:rPr>
          <w:rFonts w:hint="eastAsia"/>
        </w:rPr>
        <w:t>：</w:t>
      </w:r>
      <w:r>
        <w:t xml:space="preserve"> </w:t>
      </w:r>
    </w:p>
    <w:p>
      <w:pPr>
        <w:widowControl/>
        <w:numPr>
          <w:ilvl w:val="1"/>
          <w:numId w:val="1"/>
        </w:numPr>
        <w:spacing w:after="200"/>
        <w:jc w:val="left"/>
      </w:pPr>
      <w:r>
        <w:rPr>
          <w:rFonts w:hint="eastAsia"/>
        </w:rPr>
        <w:t>健康管理报告（指标趋势、风险评估、保健建议）、中医体质报告、健康测评报告。</w:t>
      </w:r>
      <w:r>
        <w:t xml:space="preserve"> </w:t>
      </w:r>
    </w:p>
    <w:p>
      <w:pPr>
        <w:widowControl/>
        <w:numPr>
          <w:ilvl w:val="1"/>
          <w:numId w:val="1"/>
        </w:numPr>
        <w:spacing w:after="200"/>
        <w:jc w:val="left"/>
      </w:pPr>
      <w:r>
        <w:rPr>
          <w:rFonts w:hint="eastAsia"/>
        </w:rPr>
        <w:t>支持报告审核/下载/打印，团检报告定制化分析。</w:t>
      </w:r>
      <w:r>
        <w:t xml:space="preserve"> </w:t>
      </w:r>
    </w:p>
    <w:p>
      <w:pPr>
        <w:pStyle w:val="4"/>
      </w:pPr>
      <w:r>
        <w:t xml:space="preserve">3. </w:t>
      </w:r>
      <w:r>
        <w:rPr>
          <w:rFonts w:hint="eastAsia"/>
        </w:rPr>
        <w:t>阳性管理与随访</w:t>
      </w:r>
    </w:p>
    <w:p>
      <w:pPr>
        <w:widowControl/>
        <w:numPr>
          <w:ilvl w:val="0"/>
          <w:numId w:val="1"/>
        </w:numPr>
        <w:spacing w:after="200"/>
        <w:jc w:val="left"/>
      </w:pPr>
      <w:r>
        <w:rPr>
          <w:rFonts w:hint="eastAsia"/>
          <w:b/>
          <w:bCs/>
        </w:rPr>
        <w:t>阳性管理</w:t>
      </w:r>
      <w:r>
        <w:rPr>
          <w:rFonts w:hint="eastAsia"/>
        </w:rPr>
        <w:t>：</w:t>
      </w:r>
      <w:r>
        <w:t xml:space="preserve"> </w:t>
      </w:r>
    </w:p>
    <w:p>
      <w:pPr>
        <w:widowControl/>
        <w:numPr>
          <w:ilvl w:val="1"/>
          <w:numId w:val="1"/>
        </w:numPr>
        <w:spacing w:after="200"/>
        <w:jc w:val="left"/>
      </w:pPr>
      <w:r>
        <w:rPr>
          <w:rFonts w:hint="eastAsia"/>
        </w:rPr>
        <w:t>分级显示阳性客户列表，随访状态跟踪（待通知/待随访）。</w:t>
      </w:r>
      <w:r>
        <w:t xml:space="preserve"> </w:t>
      </w:r>
    </w:p>
    <w:p>
      <w:pPr>
        <w:widowControl/>
        <w:numPr>
          <w:ilvl w:val="1"/>
          <w:numId w:val="1"/>
        </w:numPr>
        <w:spacing w:after="200"/>
        <w:jc w:val="left"/>
      </w:pPr>
      <w:r>
        <w:rPr>
          <w:rFonts w:hint="eastAsia"/>
        </w:rPr>
        <w:t>随访模板配置（短信/微信/电话），自动通知与触达状态查询。</w:t>
      </w:r>
      <w:r>
        <w:t xml:space="preserve"> </w:t>
      </w:r>
    </w:p>
    <w:p>
      <w:pPr>
        <w:widowControl/>
        <w:numPr>
          <w:ilvl w:val="0"/>
          <w:numId w:val="1"/>
        </w:numPr>
        <w:spacing w:after="200"/>
        <w:jc w:val="left"/>
      </w:pPr>
      <w:r>
        <w:rPr>
          <w:rFonts w:hint="eastAsia"/>
          <w:b/>
          <w:bCs/>
        </w:rPr>
        <w:t>复检提醒</w:t>
      </w:r>
      <w:r>
        <w:rPr>
          <w:rFonts w:hint="eastAsia"/>
        </w:rPr>
        <w:t>：</w:t>
      </w:r>
      <w:r>
        <w:t xml:space="preserve"> </w:t>
      </w:r>
    </w:p>
    <w:p>
      <w:pPr>
        <w:widowControl/>
        <w:numPr>
          <w:ilvl w:val="1"/>
          <w:numId w:val="1"/>
        </w:numPr>
        <w:spacing w:after="200"/>
        <w:jc w:val="left"/>
      </w:pPr>
      <w:r>
        <w:rPr>
          <w:rFonts w:hint="eastAsia"/>
        </w:rPr>
        <w:t>自动同步复检项目，模板配置，支持复检日前X天自动提醒。</w:t>
      </w:r>
      <w:r>
        <w:t xml:space="preserve"> </w:t>
      </w:r>
    </w:p>
    <w:p>
      <w:pPr>
        <w:pStyle w:val="4"/>
      </w:pPr>
      <w:r>
        <w:t xml:space="preserve">4. </w:t>
      </w:r>
      <w:r>
        <w:rPr>
          <w:rFonts w:hint="eastAsia"/>
        </w:rPr>
        <w:t>健康干预与知识库</w:t>
      </w:r>
    </w:p>
    <w:p>
      <w:pPr>
        <w:widowControl/>
        <w:numPr>
          <w:ilvl w:val="0"/>
          <w:numId w:val="1"/>
        </w:numPr>
        <w:spacing w:after="200"/>
        <w:jc w:val="left"/>
      </w:pPr>
      <w:r>
        <w:rPr>
          <w:rFonts w:hint="eastAsia"/>
          <w:b/>
          <w:bCs/>
        </w:rPr>
        <w:t>干预功能</w:t>
      </w:r>
      <w:r>
        <w:rPr>
          <w:rFonts w:hint="eastAsia"/>
        </w:rPr>
        <w:t>：</w:t>
      </w:r>
      <w:r>
        <w:t xml:space="preserve"> </w:t>
      </w:r>
    </w:p>
    <w:p>
      <w:pPr>
        <w:widowControl/>
        <w:numPr>
          <w:ilvl w:val="1"/>
          <w:numId w:val="1"/>
        </w:numPr>
        <w:spacing w:after="200"/>
        <w:jc w:val="left"/>
      </w:pPr>
      <w:r>
        <w:rPr>
          <w:rFonts w:hint="eastAsia"/>
        </w:rPr>
        <w:t>快速创建计划（调用知识库）、跳过休息日、动态跟踪效果。</w:t>
      </w:r>
      <w:r>
        <w:t xml:space="preserve"> </w:t>
      </w:r>
    </w:p>
    <w:p>
      <w:pPr>
        <w:widowControl/>
        <w:numPr>
          <w:ilvl w:val="1"/>
          <w:numId w:val="1"/>
        </w:numPr>
        <w:spacing w:after="200"/>
        <w:jc w:val="left"/>
      </w:pPr>
      <w:r>
        <w:rPr>
          <w:rFonts w:hint="eastAsia"/>
        </w:rPr>
        <w:t>自动执行干预、客户反馈管理。</w:t>
      </w:r>
      <w:r>
        <w:t xml:space="preserve"> </w:t>
      </w:r>
    </w:p>
    <w:p>
      <w:pPr>
        <w:widowControl/>
        <w:numPr>
          <w:ilvl w:val="0"/>
          <w:numId w:val="1"/>
        </w:numPr>
        <w:spacing w:after="200"/>
        <w:jc w:val="left"/>
      </w:pPr>
      <w:r>
        <w:rPr>
          <w:rFonts w:hint="eastAsia"/>
          <w:b/>
          <w:bCs/>
        </w:rPr>
        <w:t>知识库</w:t>
      </w:r>
      <w:r>
        <w:rPr>
          <w:rFonts w:hint="eastAsia"/>
        </w:rPr>
        <w:t>：</w:t>
      </w:r>
      <w:r>
        <w:t xml:space="preserve"> </w:t>
      </w:r>
    </w:p>
    <w:p>
      <w:pPr>
        <w:widowControl/>
        <w:numPr>
          <w:ilvl w:val="1"/>
          <w:numId w:val="1"/>
        </w:numPr>
        <w:spacing w:after="200"/>
        <w:jc w:val="left"/>
      </w:pPr>
      <w:r>
        <w:rPr>
          <w:rFonts w:hint="eastAsia"/>
        </w:rPr>
        <w:t>慢病管理库（高血压/糖尿病等）、中医知识库、饮食运动库。</w:t>
      </w:r>
      <w:r>
        <w:t xml:space="preserve"> </w:t>
      </w:r>
    </w:p>
    <w:p>
      <w:pPr>
        <w:widowControl/>
        <w:numPr>
          <w:ilvl w:val="1"/>
          <w:numId w:val="1"/>
        </w:numPr>
        <w:spacing w:after="200"/>
        <w:jc w:val="left"/>
      </w:pPr>
      <w:r>
        <w:rPr>
          <w:rFonts w:hint="eastAsia"/>
        </w:rPr>
        <w:t>多病种耦合管理、风险标签库、问卷库（满意度/随访问卷）。</w:t>
      </w:r>
      <w:r>
        <w:t xml:space="preserve"> </w:t>
      </w:r>
    </w:p>
    <w:p>
      <w:pPr>
        <w:pStyle w:val="4"/>
      </w:pPr>
      <w:r>
        <w:t xml:space="preserve">5. </w:t>
      </w:r>
      <w:r>
        <w:rPr>
          <w:rFonts w:hint="eastAsia"/>
        </w:rPr>
        <w:t>数据统计与系统管理</w:t>
      </w:r>
    </w:p>
    <w:p>
      <w:pPr>
        <w:widowControl/>
        <w:numPr>
          <w:ilvl w:val="0"/>
          <w:numId w:val="1"/>
        </w:numPr>
        <w:spacing w:after="200"/>
        <w:jc w:val="left"/>
      </w:pPr>
      <w:r>
        <w:rPr>
          <w:rFonts w:hint="eastAsia"/>
          <w:b/>
          <w:bCs/>
        </w:rPr>
        <w:t>数据统计</w:t>
      </w:r>
      <w:r>
        <w:rPr>
          <w:rFonts w:hint="eastAsia"/>
        </w:rPr>
        <w:t>：</w:t>
      </w:r>
      <w:r>
        <w:t xml:space="preserve"> </w:t>
      </w:r>
    </w:p>
    <w:p>
      <w:pPr>
        <w:widowControl/>
        <w:numPr>
          <w:ilvl w:val="1"/>
          <w:numId w:val="1"/>
        </w:numPr>
        <w:spacing w:after="200"/>
        <w:jc w:val="left"/>
      </w:pPr>
      <w:r>
        <w:rPr>
          <w:rFonts w:hint="eastAsia"/>
        </w:rPr>
        <w:t>实时数据查询（客户档案、管理人次、交易额）。</w:t>
      </w:r>
      <w:r>
        <w:t xml:space="preserve"> </w:t>
      </w:r>
    </w:p>
    <w:p>
      <w:pPr>
        <w:widowControl/>
        <w:numPr>
          <w:ilvl w:val="1"/>
          <w:numId w:val="1"/>
        </w:numPr>
        <w:spacing w:after="200"/>
        <w:jc w:val="left"/>
      </w:pPr>
      <w:r>
        <w:rPr>
          <w:rFonts w:hint="eastAsia"/>
        </w:rPr>
        <w:t>数据大屏展示，健康管理统计（阳性预警/干预数量），医生绩效统计。</w:t>
      </w:r>
      <w:r>
        <w:t xml:space="preserve"> </w:t>
      </w:r>
    </w:p>
    <w:p>
      <w:pPr>
        <w:widowControl/>
        <w:numPr>
          <w:ilvl w:val="0"/>
          <w:numId w:val="1"/>
        </w:numPr>
        <w:spacing w:after="200"/>
        <w:jc w:val="left"/>
      </w:pPr>
      <w:r>
        <w:rPr>
          <w:rFonts w:hint="eastAsia"/>
          <w:b/>
          <w:bCs/>
        </w:rPr>
        <w:t>系统管理</w:t>
      </w:r>
      <w:r>
        <w:rPr>
          <w:rFonts w:hint="eastAsia"/>
        </w:rPr>
        <w:t>：</w:t>
      </w:r>
      <w:r>
        <w:t xml:space="preserve"> </w:t>
      </w:r>
    </w:p>
    <w:p>
      <w:pPr>
        <w:widowControl/>
        <w:numPr>
          <w:ilvl w:val="1"/>
          <w:numId w:val="1"/>
        </w:numPr>
        <w:spacing w:after="200"/>
        <w:jc w:val="left"/>
      </w:pPr>
      <w:r>
        <w:rPr>
          <w:rFonts w:hint="eastAsia"/>
        </w:rPr>
        <w:t>基础配置（医院名称/LOGO），角色权限精细化控制（按钮级权限）。</w:t>
      </w:r>
      <w:r>
        <w:t xml:space="preserve"> </w:t>
      </w:r>
    </w:p>
    <w:p>
      <w:pPr>
        <w:widowControl/>
        <w:numPr>
          <w:ilvl w:val="1"/>
          <w:numId w:val="1"/>
        </w:numPr>
        <w:spacing w:after="200"/>
        <w:jc w:val="left"/>
      </w:pPr>
      <w:r>
        <w:rPr>
          <w:rFonts w:hint="eastAsia"/>
        </w:rPr>
        <w:t>等保三级安全认证，PDF格式系统对接。</w:t>
      </w:r>
      <w:r>
        <w:t xml:space="preserve"> </w:t>
      </w:r>
    </w:p>
    <w:p>
      <w:pPr>
        <w:pStyle w:val="4"/>
      </w:pPr>
      <w:r>
        <w:t xml:space="preserve">6. </w:t>
      </w:r>
      <w:r>
        <w:rPr>
          <w:rFonts w:hint="eastAsia"/>
        </w:rPr>
        <w:t>客户移动端</w:t>
      </w:r>
    </w:p>
    <w:p>
      <w:pPr>
        <w:widowControl/>
        <w:numPr>
          <w:ilvl w:val="0"/>
          <w:numId w:val="1"/>
        </w:numPr>
        <w:spacing w:after="200"/>
        <w:jc w:val="left"/>
      </w:pPr>
      <w:r>
        <w:rPr>
          <w:rFonts w:hint="eastAsia"/>
          <w:b/>
          <w:bCs/>
        </w:rPr>
        <w:t>健康测评</w:t>
      </w:r>
      <w:r>
        <w:rPr>
          <w:rFonts w:hint="eastAsia"/>
        </w:rPr>
        <w:t>：</w:t>
      </w:r>
      <w:r>
        <w:t xml:space="preserve"> </w:t>
      </w:r>
    </w:p>
    <w:p>
      <w:pPr>
        <w:widowControl/>
        <w:numPr>
          <w:ilvl w:val="1"/>
          <w:numId w:val="1"/>
        </w:numPr>
        <w:spacing w:after="200"/>
        <w:jc w:val="left"/>
      </w:pPr>
      <w:r>
        <w:rPr>
          <w:rFonts w:hint="eastAsia"/>
        </w:rPr>
        <w:t>慢病/中医体质/心理测评，自动生成报告与改善建议。</w:t>
      </w:r>
      <w:r>
        <w:t xml:space="preserve"> </w:t>
      </w:r>
    </w:p>
    <w:p>
      <w:pPr>
        <w:widowControl/>
        <w:numPr>
          <w:ilvl w:val="0"/>
          <w:numId w:val="1"/>
        </w:numPr>
        <w:spacing w:after="200"/>
        <w:jc w:val="left"/>
      </w:pPr>
      <w:r>
        <w:rPr>
          <w:rFonts w:hint="eastAsia"/>
          <w:b/>
          <w:bCs/>
        </w:rPr>
        <w:t>健康计划</w:t>
      </w:r>
      <w:r>
        <w:rPr>
          <w:rFonts w:hint="eastAsia"/>
        </w:rPr>
        <w:t>：</w:t>
      </w:r>
      <w:r>
        <w:t xml:space="preserve"> </w:t>
      </w:r>
    </w:p>
    <w:p>
      <w:pPr>
        <w:widowControl/>
        <w:numPr>
          <w:ilvl w:val="1"/>
          <w:numId w:val="1"/>
        </w:numPr>
        <w:spacing w:after="200"/>
        <w:jc w:val="left"/>
      </w:pPr>
      <w:r>
        <w:rPr>
          <w:rFonts w:hint="eastAsia"/>
        </w:rPr>
        <w:t>个性化饮食/运动方案（热量计算、一周计划）。</w:t>
      </w:r>
      <w:r>
        <w:t xml:space="preserve"> </w:t>
      </w:r>
    </w:p>
    <w:p>
      <w:pPr>
        <w:widowControl/>
        <w:numPr>
          <w:ilvl w:val="0"/>
          <w:numId w:val="1"/>
        </w:numPr>
        <w:spacing w:after="200"/>
        <w:jc w:val="left"/>
      </w:pPr>
      <w:r>
        <w:rPr>
          <w:rFonts w:hint="eastAsia"/>
          <w:b/>
          <w:bCs/>
        </w:rPr>
        <w:t>健康工具</w:t>
      </w:r>
      <w:r>
        <w:rPr>
          <w:rFonts w:hint="eastAsia"/>
        </w:rPr>
        <w:t>：</w:t>
      </w:r>
      <w:r>
        <w:t xml:space="preserve"> </w:t>
      </w:r>
    </w:p>
    <w:p>
      <w:pPr>
        <w:widowControl/>
        <w:numPr>
          <w:ilvl w:val="1"/>
          <w:numId w:val="1"/>
        </w:numPr>
        <w:spacing w:after="200"/>
        <w:jc w:val="left"/>
      </w:pPr>
      <w:r>
        <w:rPr>
          <w:rFonts w:hint="eastAsia"/>
        </w:rPr>
        <w:t>饮食/运动/指标记录，一周小结分析。</w:t>
      </w:r>
      <w:r>
        <w:t xml:space="preserve"> </w:t>
      </w:r>
    </w:p>
    <w:p>
      <w:pPr>
        <w:widowControl/>
        <w:numPr>
          <w:ilvl w:val="0"/>
          <w:numId w:val="1"/>
        </w:numPr>
        <w:spacing w:after="200"/>
        <w:jc w:val="left"/>
      </w:pPr>
      <w:r>
        <w:rPr>
          <w:rFonts w:hint="eastAsia"/>
          <w:b/>
          <w:bCs/>
        </w:rPr>
        <w:t>干预与报告</w:t>
      </w:r>
      <w:r>
        <w:rPr>
          <w:rFonts w:hint="eastAsia"/>
        </w:rPr>
        <w:t>：</w:t>
      </w:r>
      <w:r>
        <w:t xml:space="preserve"> </w:t>
      </w:r>
    </w:p>
    <w:p>
      <w:pPr>
        <w:widowControl/>
        <w:numPr>
          <w:ilvl w:val="1"/>
          <w:numId w:val="1"/>
        </w:numPr>
        <w:spacing w:after="200"/>
        <w:jc w:val="left"/>
      </w:pPr>
      <w:r>
        <w:rPr>
          <w:rFonts w:hint="eastAsia"/>
        </w:rPr>
        <w:t>接收干预通知，反馈执行结果，查询体检/健康管理报告。</w:t>
      </w:r>
      <w:r>
        <w:t xml:space="preserve"> </w:t>
      </w:r>
    </w:p>
    <w:p>
      <w:pPr>
        <w:widowControl/>
        <w:numPr>
          <w:ilvl w:val="0"/>
          <w:numId w:val="1"/>
        </w:numPr>
        <w:spacing w:after="200"/>
        <w:jc w:val="left"/>
      </w:pPr>
      <w:r>
        <w:rPr>
          <w:rFonts w:hint="eastAsia"/>
          <w:b/>
          <w:bCs/>
        </w:rPr>
        <w:t>档案管理</w:t>
      </w:r>
      <w:r>
        <w:rPr>
          <w:rFonts w:hint="eastAsia"/>
        </w:rPr>
        <w:t>：</w:t>
      </w:r>
      <w:r>
        <w:t xml:space="preserve"> </w:t>
      </w:r>
    </w:p>
    <w:p>
      <w:pPr>
        <w:widowControl/>
        <w:numPr>
          <w:ilvl w:val="1"/>
          <w:numId w:val="1"/>
        </w:numPr>
        <w:spacing w:after="200"/>
        <w:jc w:val="left"/>
      </w:pPr>
      <w:r>
        <w:rPr>
          <w:rFonts w:hint="eastAsia"/>
        </w:rPr>
        <w:t>快速建档（预约信息同步），多端信息同步维护。</w:t>
      </w:r>
    </w:p>
    <w:p>
      <w:pPr>
        <w:pStyle w:val="4"/>
        <w:rPr>
          <w:rFonts w:ascii="宋体" w:hAnsi="宋体"/>
          <w:szCs w:val="21"/>
        </w:rPr>
      </w:pPr>
      <w:r>
        <w:rPr>
          <w:rFonts w:hint="eastAsia"/>
        </w:rPr>
        <w:t>7</w:t>
      </w:r>
      <w:r>
        <w:t>.</w:t>
      </w:r>
      <w:r>
        <w:rPr>
          <w:rFonts w:hint="eastAsia" w:ascii="宋体" w:hAnsi="宋体"/>
          <w:szCs w:val="21"/>
        </w:rPr>
        <w:t xml:space="preserve"> 定制化服务</w:t>
      </w:r>
    </w:p>
    <w:p>
      <w:pPr>
        <w:widowControl/>
        <w:numPr>
          <w:ilvl w:val="1"/>
          <w:numId w:val="1"/>
        </w:numPr>
        <w:spacing w:after="200"/>
        <w:jc w:val="left"/>
      </w:pPr>
      <w:r>
        <w:rPr>
          <w:rFonts w:hint="eastAsia"/>
        </w:rPr>
        <w:t>软件根据体检中心进行定制化开发</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.2.3</w:t>
      </w:r>
      <w:r>
        <w:rPr>
          <w:rFonts w:hint="eastAsia" w:ascii="仿宋" w:hAnsi="仿宋" w:eastAsia="仿宋" w:cs="仿宋"/>
          <w:sz w:val="32"/>
          <w:szCs w:val="32"/>
        </w:rPr>
        <w:t>运行环境及设备资源要求</w:t>
      </w:r>
    </w:p>
    <w:p>
      <w:r>
        <w:t xml:space="preserve">    </w:t>
      </w:r>
      <w:r>
        <w:rPr>
          <w:rFonts w:hint="eastAsia"/>
        </w:rPr>
        <w:t>本系统软件建设项目方案的运行环境，需充分考虑计算资源、网络资源及设备的利旧问题。旨在为医院提供一套高效、稳定、安全的信息系统运行环境，以满足医院体检管理业务的实际需求。</w:t>
      </w:r>
    </w:p>
    <w:p>
      <w:r>
        <w:rPr>
          <w:rFonts w:hint="eastAsia"/>
        </w:rPr>
        <w:t>一、运行环境需求</w:t>
      </w:r>
    </w:p>
    <w:p>
      <w:r>
        <w:rPr>
          <w:rFonts w:hint="eastAsia"/>
        </w:rPr>
        <w:t xml:space="preserve"> </w:t>
      </w:r>
      <w:r>
        <w:t xml:space="preserve">   </w:t>
      </w:r>
      <w:r>
        <w:rPr>
          <w:rFonts w:hint="eastAsia"/>
        </w:rPr>
        <w:t>原则上，计算资源由院方私有云提供（虚拟机），请供应商结合系统架构，给出系统建设所需的运行环境；智能导检系统配套的终端设备，请供应商进行评估，能利旧的尽量利旧；系统架构及功能需满足等保三级要求；</w:t>
      </w:r>
    </w:p>
    <w:p>
      <w:r>
        <w:t>1.</w:t>
      </w:r>
      <w:r>
        <w:rPr>
          <w:rFonts w:hint="eastAsia"/>
        </w:rPr>
        <w:t>计算资源需求</w:t>
      </w:r>
    </w:p>
    <w:p>
      <w:r>
        <w:rPr>
          <w:rFonts w:hint="eastAsia"/>
        </w:rPr>
        <w:t>虚拟机服务器数量：具体要求，请供应商说明，说明内容包含CPU、内存、存储等需求。</w:t>
      </w:r>
    </w:p>
    <w:p>
      <w:r>
        <w:t>2.</w:t>
      </w:r>
      <w:r>
        <w:rPr>
          <w:rFonts w:hint="eastAsia"/>
        </w:rPr>
        <w:t>在用资源利旧策略</w:t>
      </w:r>
    </w:p>
    <w:p>
      <w:r>
        <w:rPr>
          <w:rFonts w:hint="eastAsia"/>
        </w:rPr>
        <w:t>（</w:t>
      </w:r>
      <w:r>
        <w:t>1</w:t>
      </w:r>
      <w:r>
        <w:rPr>
          <w:rFonts w:hint="eastAsia"/>
        </w:rPr>
        <w:t>）对于现有服务器资源，进行评估，能利旧的尽量利旧，降低项目成本；</w:t>
      </w:r>
    </w:p>
    <w:p>
      <w:r>
        <w:rPr>
          <w:rFonts w:hint="eastAsia"/>
        </w:rPr>
        <w:t>（</w:t>
      </w:r>
      <w:r>
        <w:t>2</w:t>
      </w:r>
      <w:r>
        <w:rPr>
          <w:rFonts w:hint="eastAsia"/>
        </w:rPr>
        <w:t>）对于利旧的设备，确保其性能能够满足项目需求，并进行必要的维护和升级；</w:t>
      </w:r>
    </w:p>
    <w:p>
      <w:r>
        <w:rPr>
          <w:rFonts w:hint="eastAsia"/>
        </w:rPr>
        <w:t>（</w:t>
      </w:r>
      <w:r>
        <w:t>3</w:t>
      </w:r>
      <w:r>
        <w:rPr>
          <w:rFonts w:hint="eastAsia"/>
        </w:rPr>
        <w:t>）对于无法利旧的设备，结合项目预算，选择性价比高的设备进行替换。</w:t>
      </w:r>
    </w:p>
    <w:p>
      <w:r>
        <w:t>3.</w:t>
      </w:r>
      <w:r>
        <w:rPr>
          <w:rFonts w:hint="eastAsia"/>
        </w:rPr>
        <w:t xml:space="preserve"> 导诊利旧设备参考</w:t>
      </w:r>
    </w:p>
    <w:p>
      <w:r>
        <w:t xml:space="preserve"> </w:t>
      </w:r>
      <w:r>
        <w:rPr>
          <w:rFonts w:hint="eastAsia"/>
        </w:rPr>
        <w:t>可使用设备参考：</w:t>
      </w:r>
    </w:p>
    <w:p>
      <w:r>
        <w:rPr>
          <w:rFonts w:hint="eastAsia"/>
        </w:rPr>
        <w:t>（1）群创导诊安卓一体机（</w:t>
      </w:r>
      <w:r>
        <w:rPr>
          <w:rFonts w:hint="eastAsia" w:ascii="宋体" w:hAnsi="宋体"/>
          <w:szCs w:val="21"/>
        </w:rPr>
        <w:t>落地</w:t>
      </w:r>
      <w:r>
        <w:rPr>
          <w:rFonts w:hint="eastAsia"/>
        </w:rPr>
        <w:t>）</w:t>
      </w:r>
    </w:p>
    <w:p>
      <w:r>
        <w:rPr>
          <w:rFonts w:hint="eastAsia"/>
        </w:rPr>
        <w:t>（2）群创</w:t>
      </w:r>
      <w:r>
        <w:rPr>
          <w:rFonts w:hint="eastAsia" w:ascii="宋体" w:hAnsi="宋体"/>
          <w:szCs w:val="21"/>
        </w:rPr>
        <w:t>导诊</w:t>
      </w:r>
      <w:r>
        <w:rPr>
          <w:rFonts w:hint="eastAsia"/>
        </w:rPr>
        <w:t>安卓</w:t>
      </w:r>
      <w:r>
        <w:rPr>
          <w:rFonts w:hint="eastAsia" w:ascii="宋体" w:hAnsi="宋体"/>
          <w:szCs w:val="21"/>
        </w:rPr>
        <w:t>一体机（壁挂）</w:t>
      </w:r>
    </w:p>
    <w:p>
      <w:pPr>
        <w:rPr>
          <w:rFonts w:ascii="宋体" w:hAnsi="宋体"/>
          <w:szCs w:val="21"/>
        </w:rPr>
      </w:pPr>
      <w:r>
        <w:rPr>
          <w:rFonts w:hint="eastAsia"/>
        </w:rPr>
        <w:t>（3）群创X</w:t>
      </w:r>
      <w:r>
        <w:t>86</w:t>
      </w:r>
      <w:r>
        <w:rPr>
          <w:rFonts w:hint="eastAsia" w:ascii="宋体" w:hAnsi="宋体"/>
          <w:szCs w:val="21"/>
        </w:rPr>
        <w:t>自助查询机（落地）</w:t>
      </w:r>
    </w:p>
    <w:p>
      <w:pPr>
        <w:rPr>
          <w:rFonts w:ascii="宋体" w:hAnsi="宋体"/>
          <w:szCs w:val="21"/>
        </w:rPr>
      </w:pPr>
      <w:r>
        <w:rPr>
          <w:rFonts w:hint="eastAsia" w:ascii="宋体" w:hAnsi="宋体"/>
          <w:szCs w:val="21"/>
        </w:rPr>
        <w:t>（</w:t>
      </w:r>
      <w:r>
        <w:rPr>
          <w:rFonts w:hint="eastAsia"/>
        </w:rPr>
        <w:t>4</w:t>
      </w:r>
      <w:r>
        <w:rPr>
          <w:rFonts w:hint="eastAsia" w:ascii="宋体" w:hAnsi="宋体"/>
          <w:szCs w:val="21"/>
        </w:rPr>
        <w:t>）</w:t>
      </w:r>
      <w:r>
        <w:rPr>
          <w:rFonts w:hint="eastAsia"/>
        </w:rPr>
        <w:t>群创安卓机顶盒（盒式）</w:t>
      </w:r>
    </w:p>
    <w:p>
      <w:r>
        <w:rPr>
          <w:rFonts w:hint="eastAsia"/>
        </w:rPr>
        <w:t>二、网络安全资源需求</w:t>
      </w:r>
    </w:p>
    <w:p>
      <w:r>
        <w:rPr>
          <w:rFonts w:hint="eastAsia"/>
        </w:rPr>
        <w:t xml:space="preserve"> </w:t>
      </w:r>
      <w:r>
        <w:t xml:space="preserve">   </w:t>
      </w:r>
      <w:r>
        <w:rPr>
          <w:rFonts w:hint="eastAsia"/>
        </w:rPr>
        <w:t>因系统建设需</w:t>
      </w:r>
      <w:r>
        <w:rPr>
          <w:rFonts w:hint="eastAsia"/>
          <w:color w:val="FF0000"/>
        </w:rPr>
        <w:t>满足等保三级</w:t>
      </w:r>
      <w:r>
        <w:rPr>
          <w:rFonts w:hint="eastAsia"/>
        </w:rPr>
        <w:t>要求，院方可提供系统运行环境所需的网络安全资源，具体要求，请供应商说明。</w:t>
      </w:r>
      <w:r>
        <w:t xml:space="preserve"> </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商务要求</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3.1服务期限和服务地点</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.1</w:t>
      </w:r>
      <w:r>
        <w:rPr>
          <w:rFonts w:hint="eastAsia" w:ascii="仿宋" w:hAnsi="仿宋" w:eastAsia="仿宋" w:cs="仿宋"/>
          <w:sz w:val="32"/>
          <w:szCs w:val="32"/>
        </w:rPr>
        <w:t>服务期限</w:t>
      </w:r>
    </w:p>
    <w:p>
      <w:pPr>
        <w:pStyle w:val="29"/>
        <w:spacing w:line="360" w:lineRule="auto"/>
        <w:ind w:firstLine="480"/>
        <w:jc w:val="both"/>
        <w:rPr>
          <w:rFonts w:hint="default"/>
          <w:sz w:val="24"/>
          <w:szCs w:val="24"/>
        </w:rPr>
      </w:pPr>
      <w:r>
        <w:rPr>
          <w:rFonts w:ascii="宋体" w:hAnsi="宋体" w:eastAsia="宋体" w:cs="宋体"/>
          <w:sz w:val="24"/>
          <w:szCs w:val="24"/>
        </w:rPr>
        <w:t>（1）自签订合同之日起4个月内完成系统调研、安装、调试和系统上线工作并交付使用。</w:t>
      </w:r>
    </w:p>
    <w:p>
      <w:pPr>
        <w:pStyle w:val="29"/>
        <w:spacing w:line="360" w:lineRule="auto"/>
        <w:ind w:firstLine="480"/>
        <w:jc w:val="both"/>
        <w:rPr>
          <w:rFonts w:hint="default"/>
          <w:sz w:val="24"/>
          <w:szCs w:val="24"/>
        </w:rPr>
      </w:pPr>
      <w:r>
        <w:rPr>
          <w:rFonts w:ascii="宋体" w:hAnsi="宋体" w:eastAsia="宋体" w:cs="宋体"/>
          <w:sz w:val="24"/>
          <w:szCs w:val="24"/>
        </w:rPr>
        <w:t>（2）系统对接：项目正式实施前，采购人与中标人共同明确本项目需对接的业务系统清单，并签署系统对接确认单，双方签署的系统对接确认单中约定的涉及导检、检后的业务系统对接上线需在项目服务期限内全部完成。</w:t>
      </w:r>
    </w:p>
    <w:p>
      <w:pPr>
        <w:pStyle w:val="29"/>
        <w:spacing w:line="360" w:lineRule="auto"/>
        <w:ind w:firstLine="480"/>
        <w:jc w:val="both"/>
        <w:rPr>
          <w:rFonts w:hint="default"/>
          <w:sz w:val="24"/>
          <w:szCs w:val="24"/>
        </w:rPr>
      </w:pPr>
      <w:r>
        <w:rPr>
          <w:rFonts w:ascii="宋体" w:hAnsi="宋体" w:eastAsia="宋体" w:cs="宋体"/>
          <w:sz w:val="24"/>
          <w:szCs w:val="24"/>
        </w:rPr>
        <w:t>（3）系统应用功能上线：系统全部的应用功能应在系统对接完成后的2个月内全部上线并进行至少1次的免费培训。</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.2</w:t>
      </w:r>
      <w:r>
        <w:rPr>
          <w:rFonts w:hint="eastAsia" w:ascii="仿宋" w:hAnsi="仿宋" w:eastAsia="仿宋" w:cs="仿宋"/>
          <w:sz w:val="32"/>
          <w:szCs w:val="32"/>
        </w:rPr>
        <w:t>服务地点</w:t>
      </w:r>
    </w:p>
    <w:p>
      <w:pPr>
        <w:pStyle w:val="29"/>
        <w:spacing w:line="360" w:lineRule="auto"/>
        <w:ind w:firstLine="480"/>
        <w:jc w:val="both"/>
        <w:rPr>
          <w:rFonts w:hint="default"/>
          <w:sz w:val="24"/>
          <w:szCs w:val="24"/>
        </w:rPr>
      </w:pPr>
      <w:r>
        <w:rPr>
          <w:rFonts w:ascii="宋体" w:hAnsi="宋体" w:eastAsia="宋体" w:cs="宋体"/>
          <w:sz w:val="24"/>
          <w:szCs w:val="24"/>
        </w:rPr>
        <w:t>采购人指定地点。</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.3</w:t>
      </w:r>
      <w:r>
        <w:rPr>
          <w:rFonts w:hint="eastAsia" w:ascii="仿宋" w:hAnsi="仿宋" w:eastAsia="仿宋" w:cs="仿宋"/>
          <w:sz w:val="32"/>
          <w:szCs w:val="32"/>
        </w:rPr>
        <w:t>实施交付要求</w:t>
      </w:r>
    </w:p>
    <w:p>
      <w:pPr>
        <w:pStyle w:val="29"/>
        <w:spacing w:line="360" w:lineRule="auto"/>
        <w:ind w:firstLine="480"/>
        <w:jc w:val="both"/>
        <w:rPr>
          <w:rFonts w:hint="default" w:ascii="宋体" w:hAnsi="宋体" w:eastAsia="宋体" w:cs="宋体"/>
          <w:sz w:val="24"/>
          <w:szCs w:val="24"/>
        </w:rPr>
      </w:pPr>
      <w:r>
        <w:rPr>
          <w:rFonts w:ascii="宋体" w:hAnsi="宋体" w:eastAsia="宋体" w:cs="宋体"/>
          <w:sz w:val="24"/>
          <w:szCs w:val="24"/>
        </w:rPr>
        <w:t>从系统开始实施到验收结束期间保证现场至少1名工程师驻点，要求驻点工程师能现场根据项目需要接受医院的调配以保证工程进度；配备项目经理至少1名负责实施协调，项目经理应具备5年以上工作经验且有本项目实施内容类似的工作经历。</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.4</w:t>
      </w:r>
      <w:r>
        <w:rPr>
          <w:rFonts w:hint="eastAsia" w:ascii="仿宋" w:hAnsi="仿宋" w:eastAsia="仿宋" w:cs="仿宋"/>
          <w:sz w:val="32"/>
          <w:szCs w:val="32"/>
        </w:rPr>
        <w:t>售后服务及质保要求</w:t>
      </w:r>
    </w:p>
    <w:p>
      <w:pPr>
        <w:pStyle w:val="29"/>
        <w:spacing w:line="360" w:lineRule="auto"/>
        <w:ind w:firstLine="480"/>
        <w:jc w:val="both"/>
        <w:rPr>
          <w:rFonts w:hint="default" w:ascii="宋体" w:hAnsi="宋体" w:eastAsia="宋体" w:cs="宋体"/>
          <w:sz w:val="24"/>
          <w:szCs w:val="24"/>
        </w:rPr>
      </w:pPr>
      <w:r>
        <w:rPr>
          <w:rFonts w:hint="default" w:ascii="宋体" w:hAnsi="宋体" w:eastAsia="宋体" w:cs="宋体"/>
          <w:sz w:val="24"/>
          <w:szCs w:val="24"/>
        </w:rPr>
        <w:t>3.4</w:t>
      </w:r>
      <w:r>
        <w:rPr>
          <w:rFonts w:ascii="宋体" w:hAnsi="宋体" w:eastAsia="宋体" w:cs="宋体"/>
          <w:sz w:val="24"/>
          <w:szCs w:val="24"/>
        </w:rPr>
        <w:t>.1免费质保期1年，质保期从验收合格之日起。产品按国家有关规定或厂家承诺实行“三包”，免费送货上门、免费安装调试合格。</w:t>
      </w:r>
    </w:p>
    <w:p>
      <w:pPr>
        <w:pStyle w:val="29"/>
        <w:spacing w:line="360" w:lineRule="auto"/>
        <w:ind w:firstLine="480"/>
        <w:jc w:val="both"/>
        <w:rPr>
          <w:rFonts w:hint="default" w:ascii="宋体" w:hAnsi="宋体" w:eastAsia="宋体" w:cs="宋体"/>
          <w:sz w:val="24"/>
          <w:szCs w:val="24"/>
        </w:rPr>
      </w:pPr>
      <w:r>
        <w:rPr>
          <w:rFonts w:hint="default" w:ascii="宋体" w:hAnsi="宋体" w:eastAsia="宋体" w:cs="宋体"/>
          <w:sz w:val="24"/>
          <w:szCs w:val="24"/>
        </w:rPr>
        <w:t>3.4</w:t>
      </w:r>
      <w:r>
        <w:rPr>
          <w:rFonts w:ascii="宋体" w:hAnsi="宋体" w:eastAsia="宋体" w:cs="宋体"/>
          <w:sz w:val="24"/>
          <w:szCs w:val="24"/>
        </w:rPr>
        <w:t>.2项目质保期内，将有专人负责我院体检软件后期维护，一旦出现较小的问题必须实时解决，出现较大的问题将在24小时内响应并解决。</w:t>
      </w:r>
    </w:p>
    <w:p>
      <w:pPr>
        <w:pStyle w:val="29"/>
        <w:spacing w:line="360" w:lineRule="auto"/>
        <w:ind w:firstLine="480"/>
        <w:jc w:val="both"/>
        <w:rPr>
          <w:rFonts w:hint="default" w:ascii="宋体" w:hAnsi="宋体" w:eastAsia="宋体" w:cs="宋体"/>
          <w:sz w:val="24"/>
          <w:szCs w:val="24"/>
        </w:rPr>
      </w:pPr>
      <w:r>
        <w:rPr>
          <w:rFonts w:hint="default" w:ascii="宋体" w:hAnsi="宋体" w:eastAsia="宋体" w:cs="宋体"/>
          <w:sz w:val="24"/>
          <w:szCs w:val="24"/>
        </w:rPr>
        <w:t>3.4</w:t>
      </w:r>
      <w:r>
        <w:rPr>
          <w:rFonts w:ascii="宋体" w:hAnsi="宋体" w:eastAsia="宋体" w:cs="宋体"/>
          <w:sz w:val="24"/>
          <w:szCs w:val="24"/>
        </w:rPr>
        <w:t>.3故障响应时间：须提供7×24小时运维服务。出现故障，在接到电话通知后，须30分钟内做出响应，须6小时赶到现场；一般问题应在12小时内解决，重大问题应在24小时内解决，积极解答采购人在系统使用、维护过程中遇到的问题，并及时提出解决问题的建议和操作方法；定期回访、维护。</w:t>
      </w:r>
    </w:p>
    <w:p>
      <w:pPr>
        <w:pStyle w:val="29"/>
        <w:spacing w:line="360" w:lineRule="auto"/>
        <w:ind w:firstLine="480"/>
        <w:jc w:val="both"/>
        <w:rPr>
          <w:rFonts w:hint="default" w:ascii="宋体" w:hAnsi="宋体" w:eastAsia="宋体" w:cs="宋体"/>
          <w:sz w:val="24"/>
          <w:szCs w:val="24"/>
        </w:rPr>
      </w:pPr>
      <w:r>
        <w:rPr>
          <w:rFonts w:ascii="宋体" w:hAnsi="宋体" w:eastAsia="宋体" w:cs="宋体"/>
          <w:sz w:val="24"/>
          <w:szCs w:val="24"/>
        </w:rPr>
        <w:t>响应手段：电话、传真和电子邮件及现场服务。</w:t>
      </w:r>
    </w:p>
    <w:p>
      <w:pPr>
        <w:pStyle w:val="29"/>
        <w:spacing w:line="360" w:lineRule="auto"/>
        <w:ind w:firstLine="480"/>
        <w:jc w:val="both"/>
        <w:rPr>
          <w:rFonts w:hint="default" w:ascii="宋体" w:hAnsi="宋体" w:eastAsia="宋体" w:cs="宋体"/>
          <w:sz w:val="24"/>
          <w:szCs w:val="24"/>
        </w:rPr>
      </w:pPr>
      <w:r>
        <w:rPr>
          <w:rFonts w:hint="default" w:ascii="宋体" w:hAnsi="宋体" w:eastAsia="宋体" w:cs="宋体"/>
          <w:sz w:val="24"/>
          <w:szCs w:val="24"/>
        </w:rPr>
        <w:t>3.4</w:t>
      </w:r>
      <w:r>
        <w:rPr>
          <w:rFonts w:ascii="宋体" w:hAnsi="宋体" w:eastAsia="宋体" w:cs="宋体"/>
          <w:sz w:val="24"/>
          <w:szCs w:val="24"/>
        </w:rPr>
        <w:t>.4免费服务期满后续服务的费用及服务内容：每年维护费不高于此项目合同价的10%收取，服务内容不低于免费维保期内。</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.5</w:t>
      </w:r>
      <w:r>
        <w:rPr>
          <w:rFonts w:hint="eastAsia" w:ascii="仿宋" w:hAnsi="仿宋" w:eastAsia="仿宋" w:cs="仿宋"/>
          <w:sz w:val="32"/>
          <w:szCs w:val="32"/>
        </w:rPr>
        <w:t>培训要求</w:t>
      </w:r>
    </w:p>
    <w:p>
      <w:pPr>
        <w:pStyle w:val="29"/>
        <w:spacing w:line="360" w:lineRule="auto"/>
        <w:ind w:firstLine="480"/>
        <w:jc w:val="both"/>
        <w:rPr>
          <w:rFonts w:hint="default"/>
          <w:sz w:val="24"/>
          <w:szCs w:val="24"/>
        </w:rPr>
      </w:pPr>
      <w:r>
        <w:rPr>
          <w:rFonts w:ascii="宋体" w:hAnsi="宋体" w:eastAsia="宋体" w:cs="宋体"/>
          <w:sz w:val="24"/>
          <w:szCs w:val="24"/>
        </w:rPr>
        <w:t>1、中标人必须向采购人提供免费培训，中标人在投标文件中提出全面、详细的培训计划，包括但不限于培训内容、培训时间、地点、授课老师等。</w:t>
      </w:r>
    </w:p>
    <w:p>
      <w:pPr>
        <w:pStyle w:val="29"/>
        <w:spacing w:line="360" w:lineRule="auto"/>
        <w:ind w:firstLine="480"/>
        <w:jc w:val="both"/>
        <w:rPr>
          <w:rFonts w:hint="default"/>
          <w:sz w:val="24"/>
          <w:szCs w:val="24"/>
        </w:rPr>
      </w:pPr>
      <w:r>
        <w:rPr>
          <w:rFonts w:ascii="宋体" w:hAnsi="宋体" w:eastAsia="宋体" w:cs="宋体"/>
          <w:sz w:val="24"/>
          <w:szCs w:val="24"/>
        </w:rPr>
        <w:t>2、中标人派出的培训教员应具备丰富的相同课程教学经验，所有的培训教员必须中文授课，中标人必须为所有被培训人员提供培训用文字资料和讲义等相关用品。</w:t>
      </w:r>
    </w:p>
    <w:p>
      <w:pPr>
        <w:pStyle w:val="29"/>
        <w:spacing w:line="360" w:lineRule="auto"/>
        <w:ind w:firstLine="480"/>
        <w:jc w:val="both"/>
        <w:rPr>
          <w:rFonts w:hint="default"/>
          <w:sz w:val="24"/>
          <w:szCs w:val="24"/>
        </w:rPr>
      </w:pPr>
      <w:r>
        <w:rPr>
          <w:rFonts w:ascii="宋体" w:hAnsi="宋体" w:eastAsia="宋体" w:cs="宋体"/>
          <w:sz w:val="24"/>
          <w:szCs w:val="24"/>
        </w:rPr>
        <w:t>3、中标人应按采购人约定合理地安排培训时间。</w:t>
      </w:r>
    </w:p>
    <w:p>
      <w:pPr>
        <w:pStyle w:val="29"/>
        <w:spacing w:line="360" w:lineRule="auto"/>
        <w:ind w:firstLine="480"/>
        <w:jc w:val="both"/>
        <w:rPr>
          <w:rFonts w:hint="default"/>
          <w:sz w:val="24"/>
          <w:szCs w:val="24"/>
        </w:rPr>
      </w:pPr>
      <w:r>
        <w:rPr>
          <w:rFonts w:ascii="宋体" w:hAnsi="宋体" w:eastAsia="宋体" w:cs="宋体"/>
          <w:sz w:val="24"/>
          <w:szCs w:val="24"/>
        </w:rPr>
        <w:t>4、中标人提供产品的现场安装、调试、软件应用培训，为用户讲解安装、测试、诊断解决问题的方法和简单的使用方法，学习系统操作、技术和系统维护等方面的知识。通过对系统用户和管理员进行操作和技术培训，保障系统上线后的正常运行。使用户熟练系统操作，提高工作效率，培养出优秀的维护及管理技术队伍。</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.6</w:t>
      </w:r>
      <w:r>
        <w:rPr>
          <w:rFonts w:hint="eastAsia" w:ascii="仿宋" w:hAnsi="仿宋" w:eastAsia="仿宋" w:cs="仿宋"/>
          <w:sz w:val="32"/>
          <w:szCs w:val="32"/>
        </w:rPr>
        <w:t>付款方式</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（1）项目签订合同后5个工作日内，采购人向中标人支付合同总金额的30%作为预付款。</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（2）项目系统数据对接完成上线试运行后，采购人向中标人支付合同总金额的30%。</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（3）整体验收合格后5个工作日内，采购人向中标人支付合同总金额的35%。</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（4）项目质保期满后，采购人向中标人支付合同总金额的5%。</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（5）支付方式采用银行电子转账支付。</w:t>
      </w:r>
    </w:p>
    <w:p>
      <w:pPr>
        <w:pStyle w:val="29"/>
        <w:spacing w:line="360" w:lineRule="auto"/>
        <w:ind w:firstLine="480"/>
        <w:jc w:val="both"/>
        <w:rPr>
          <w:rFonts w:hint="default" w:ascii="宋体" w:hAnsi="宋体" w:eastAsia="宋体" w:cs="宋体"/>
          <w:color w:val="FF0000"/>
          <w:sz w:val="24"/>
          <w:szCs w:val="24"/>
        </w:rPr>
      </w:pPr>
      <w:r>
        <w:rPr>
          <w:rFonts w:ascii="宋体" w:hAnsi="宋体" w:eastAsia="宋体" w:cs="宋体"/>
          <w:color w:val="FF0000"/>
          <w:sz w:val="24"/>
          <w:szCs w:val="24"/>
        </w:rPr>
        <w:t>（</w:t>
      </w:r>
      <w:r>
        <w:rPr>
          <w:rFonts w:ascii="宋体" w:hAnsi="宋体" w:eastAsia="宋体" w:cs="宋体"/>
          <w:color w:val="FF0000"/>
          <w:sz w:val="24"/>
          <w:szCs w:val="24"/>
          <w:lang w:eastAsia="zh-CN"/>
        </w:rPr>
        <w:t>6</w:t>
      </w:r>
      <w:r>
        <w:rPr>
          <w:rFonts w:ascii="宋体" w:hAnsi="宋体" w:eastAsia="宋体" w:cs="宋体"/>
          <w:color w:val="FF0000"/>
          <w:sz w:val="24"/>
          <w:szCs w:val="24"/>
        </w:rPr>
        <w:t>）如涉及硬件，设备到货验收合格后，采购人向中标人支付硬件部分合同金额的余下款项。</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.7</w:t>
      </w:r>
      <w:r>
        <w:rPr>
          <w:rFonts w:hint="eastAsia" w:ascii="仿宋" w:hAnsi="仿宋" w:eastAsia="仿宋" w:cs="仿宋"/>
          <w:sz w:val="32"/>
          <w:szCs w:val="32"/>
        </w:rPr>
        <w:t>权利保证</w:t>
      </w:r>
    </w:p>
    <w:p>
      <w:pPr>
        <w:pStyle w:val="29"/>
        <w:spacing w:line="360" w:lineRule="auto"/>
        <w:ind w:firstLine="720"/>
        <w:jc w:val="both"/>
        <w:rPr>
          <w:rFonts w:hint="default"/>
          <w:sz w:val="24"/>
          <w:szCs w:val="24"/>
        </w:rPr>
      </w:pPr>
      <w:r>
        <w:rPr>
          <w:rFonts w:ascii="宋体" w:hAnsi="宋体" w:eastAsia="宋体" w:cs="宋体"/>
          <w:sz w:val="24"/>
          <w:szCs w:val="24"/>
        </w:rPr>
        <w:t>中标人应保证出售给采购人的产品或产品任何部分非他人所有或与他人共有，未设有抵押权、租赁权，未侵犯他人的专利权、版权、商标权等知识产权，一旦出现侵权，中标人应承担全部责任。</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.8</w:t>
      </w:r>
      <w:r>
        <w:rPr>
          <w:rFonts w:hint="eastAsia" w:ascii="仿宋" w:hAnsi="仿宋" w:eastAsia="仿宋" w:cs="仿宋"/>
          <w:sz w:val="32"/>
          <w:szCs w:val="32"/>
        </w:rPr>
        <w:t>报价要求</w:t>
      </w:r>
    </w:p>
    <w:p>
      <w:pPr>
        <w:pStyle w:val="29"/>
        <w:spacing w:line="360" w:lineRule="auto"/>
        <w:ind w:firstLine="480"/>
        <w:jc w:val="both"/>
        <w:rPr>
          <w:rFonts w:hint="default"/>
          <w:sz w:val="24"/>
          <w:szCs w:val="24"/>
        </w:rPr>
      </w:pPr>
      <w:r>
        <w:rPr>
          <w:rFonts w:ascii="宋体" w:hAnsi="宋体" w:eastAsia="宋体" w:cs="宋体"/>
          <w:sz w:val="24"/>
          <w:szCs w:val="24"/>
        </w:rPr>
        <w:t>本次报价须为人民币报价，报价应为已经包括了运送到指定地点并完成调试安装、税费、成交服务费、二次本地化服务、售后服务、培训费、系统接口开发调试、无纸化归档系统与医院各大业务信息系统之间的接口对接费用等其它完成本项目所涉及的所有费用。报价均不得高于其预算价，报价高于预算价按投标无效处理。</w:t>
      </w:r>
    </w:p>
    <w:p>
      <w:pPr>
        <w:pStyle w:val="2"/>
        <w:tabs>
          <w:tab w:val="left" w:pos="432"/>
        </w:tabs>
        <w:adjustRightInd w:val="0"/>
        <w:snapToGrid w:val="0"/>
        <w:spacing w:line="240" w:lineRule="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.9</w:t>
      </w:r>
      <w:r>
        <w:rPr>
          <w:rFonts w:hint="eastAsia" w:ascii="仿宋" w:hAnsi="仿宋" w:eastAsia="仿宋" w:cs="仿宋"/>
          <w:sz w:val="32"/>
          <w:szCs w:val="32"/>
        </w:rPr>
        <w:t>保密和廉洁要求</w:t>
      </w:r>
    </w:p>
    <w:p>
      <w:pPr>
        <w:pStyle w:val="29"/>
        <w:spacing w:line="360" w:lineRule="auto"/>
        <w:ind w:firstLine="480"/>
        <w:jc w:val="both"/>
        <w:rPr>
          <w:rFonts w:hint="default" w:ascii="宋体" w:hAnsi="宋体" w:eastAsia="宋体" w:cs="宋体"/>
          <w:sz w:val="24"/>
          <w:szCs w:val="24"/>
        </w:rPr>
      </w:pPr>
      <w:r>
        <w:rPr>
          <w:rFonts w:ascii="宋体" w:hAnsi="宋体" w:eastAsia="宋体" w:cs="宋体"/>
          <w:sz w:val="24"/>
          <w:szCs w:val="24"/>
        </w:rPr>
        <w:t>中标人必须如约承担合同履行时所应该尽的一切保密、廉洁义务。中标人对项目实施过程中的资料、数据进行保密，未经采购人书面同意不得泄露，且保密责任不因合同的中止或解除而失效，否则，需承担相应的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libri Light">
    <w:altName w:val="Arial"/>
    <w:panose1 w:val="020F0302020204030204"/>
    <w:charset w:val="00"/>
    <w:family w:val="swiss"/>
    <w:pitch w:val="default"/>
    <w:sig w:usb0="00000000" w:usb1="00000000" w:usb2="00000009" w:usb3="00000000" w:csb0="000001F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214B0"/>
    <w:rsid w:val="000166E3"/>
    <w:rsid w:val="000375CE"/>
    <w:rsid w:val="000378DF"/>
    <w:rsid w:val="0007510C"/>
    <w:rsid w:val="00082DCF"/>
    <w:rsid w:val="0011552A"/>
    <w:rsid w:val="00223052"/>
    <w:rsid w:val="00236DFD"/>
    <w:rsid w:val="00387C33"/>
    <w:rsid w:val="003940C1"/>
    <w:rsid w:val="003C5EC2"/>
    <w:rsid w:val="004106EE"/>
    <w:rsid w:val="00423248"/>
    <w:rsid w:val="00442214"/>
    <w:rsid w:val="004C6F88"/>
    <w:rsid w:val="00617D82"/>
    <w:rsid w:val="006763FD"/>
    <w:rsid w:val="00725D90"/>
    <w:rsid w:val="0076528F"/>
    <w:rsid w:val="0085699D"/>
    <w:rsid w:val="008A061D"/>
    <w:rsid w:val="00923755"/>
    <w:rsid w:val="00955A16"/>
    <w:rsid w:val="00A83558"/>
    <w:rsid w:val="00A910B7"/>
    <w:rsid w:val="00AC35E0"/>
    <w:rsid w:val="00B94F49"/>
    <w:rsid w:val="00CB2E3D"/>
    <w:rsid w:val="00CD2DD0"/>
    <w:rsid w:val="00D64C6F"/>
    <w:rsid w:val="00D703ED"/>
    <w:rsid w:val="00E90A38"/>
    <w:rsid w:val="00E95FAD"/>
    <w:rsid w:val="00F4510E"/>
    <w:rsid w:val="00F91952"/>
    <w:rsid w:val="00FB6D78"/>
    <w:rsid w:val="0C9214B0"/>
    <w:rsid w:val="21DF3260"/>
    <w:rsid w:val="29325823"/>
    <w:rsid w:val="4A8D1259"/>
    <w:rsid w:val="62AF3104"/>
    <w:rsid w:val="AFAFF2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outlineLvl w:val="1"/>
    </w:pPr>
    <w:rPr>
      <w:rFonts w:ascii="微软雅黑" w:hAnsi="微软雅黑" w:eastAsia="微软雅黑" w:cs="微软雅黑"/>
      <w:b/>
      <w:bCs/>
      <w:sz w:val="24"/>
    </w:rPr>
  </w:style>
  <w:style w:type="paragraph" w:styleId="4">
    <w:name w:val="heading 3"/>
    <w:basedOn w:val="1"/>
    <w:next w:val="1"/>
    <w:link w:val="28"/>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60" w:lineRule="auto"/>
      <w:ind w:firstLine="420"/>
      <w:jc w:val="left"/>
      <w:textAlignment w:val="baseline"/>
    </w:pPr>
    <w:rPr>
      <w:rFonts w:ascii="宋体"/>
      <w:sz w:val="24"/>
    </w:r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Body Text Indent"/>
    <w:basedOn w:val="1"/>
    <w:next w:val="9"/>
    <w:qFormat/>
    <w:uiPriority w:val="0"/>
    <w:pPr>
      <w:spacing w:line="640" w:lineRule="exact"/>
      <w:ind w:firstLine="585"/>
    </w:pPr>
    <w:rPr>
      <w:rFonts w:ascii="楷体_GB2312" w:hAnsi="楷体_GB2312" w:eastAsia="楷体"/>
      <w:kern w:val="1"/>
      <w:sz w:val="32"/>
    </w:rPr>
  </w:style>
  <w:style w:type="paragraph" w:styleId="9">
    <w:name w:val="envelope return"/>
    <w:basedOn w:val="1"/>
    <w:qFormat/>
    <w:uiPriority w:val="0"/>
    <w:pPr>
      <w:snapToGrid w:val="0"/>
    </w:pPr>
    <w:rPr>
      <w:rFonts w:ascii="Arial" w:hAnsi="Arial" w:cs="Arial"/>
    </w:rPr>
  </w:style>
  <w:style w:type="paragraph" w:styleId="10">
    <w:name w:val="Body Text Indent 2"/>
    <w:basedOn w:val="1"/>
    <w:qFormat/>
    <w:uiPriority w:val="0"/>
    <w:pPr>
      <w:spacing w:after="120" w:line="480" w:lineRule="auto"/>
      <w:ind w:left="420" w:leftChars="200"/>
    </w:pPr>
  </w:style>
  <w:style w:type="paragraph" w:styleId="11">
    <w:name w:val="footer"/>
    <w:basedOn w:val="1"/>
    <w:link w:val="26"/>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7"/>
    <w:qFormat/>
    <w:uiPriority w:val="0"/>
    <w:pPr>
      <w:spacing w:before="240" w:after="60"/>
      <w:jc w:val="center"/>
      <w:outlineLvl w:val="0"/>
    </w:pPr>
    <w:rPr>
      <w:rFonts w:asciiTheme="majorHAnsi" w:hAnsiTheme="majorHAnsi" w:eastAsiaTheme="majorEastAsia" w:cstheme="majorBidi"/>
      <w:b/>
      <w:bCs/>
      <w:sz w:val="32"/>
      <w:szCs w:val="32"/>
    </w:rPr>
  </w:style>
  <w:style w:type="paragraph" w:styleId="14">
    <w:name w:val="Body Text First Indent"/>
    <w:basedOn w:val="6"/>
    <w:next w:val="15"/>
    <w:qFormat/>
    <w:uiPriority w:val="0"/>
    <w:pPr>
      <w:spacing w:line="440" w:lineRule="exact"/>
      <w:ind w:firstLine="420" w:firstLineChars="100"/>
    </w:pPr>
  </w:style>
  <w:style w:type="paragraph" w:styleId="15">
    <w:name w:val="Body Text First Indent 2"/>
    <w:basedOn w:val="8"/>
    <w:next w:val="1"/>
    <w:qFormat/>
    <w:uiPriority w:val="0"/>
    <w:pPr>
      <w:spacing w:after="120"/>
      <w:ind w:left="420" w:leftChars="200"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正文表格"/>
    <w:basedOn w:val="1"/>
    <w:qFormat/>
    <w:uiPriority w:val="0"/>
  </w:style>
  <w:style w:type="character" w:customStyle="1" w:styleId="21">
    <w:name w:val="font11"/>
    <w:basedOn w:val="18"/>
    <w:qFormat/>
    <w:uiPriority w:val="0"/>
    <w:rPr>
      <w:rFonts w:hint="eastAsia" w:ascii="等线" w:hAnsi="等线" w:eastAsia="等线" w:cs="等线"/>
      <w:color w:val="000000"/>
      <w:sz w:val="24"/>
      <w:szCs w:val="24"/>
      <w:u w:val="none"/>
    </w:rPr>
  </w:style>
  <w:style w:type="character" w:customStyle="1" w:styleId="22">
    <w:name w:val="font51"/>
    <w:basedOn w:val="18"/>
    <w:qFormat/>
    <w:uiPriority w:val="0"/>
    <w:rPr>
      <w:rFonts w:hint="eastAsia" w:ascii="等线" w:hAnsi="等线" w:eastAsia="等线" w:cs="等线"/>
      <w:color w:val="EA3324"/>
      <w:sz w:val="24"/>
      <w:szCs w:val="24"/>
      <w:u w:val="none"/>
    </w:rPr>
  </w:style>
  <w:style w:type="paragraph" w:customStyle="1" w:styleId="23">
    <w:name w:val="表格文字"/>
    <w:basedOn w:val="1"/>
    <w:next w:val="6"/>
    <w:qFormat/>
    <w:uiPriority w:val="0"/>
  </w:style>
  <w:style w:type="character" w:customStyle="1" w:styleId="24">
    <w:name w:val="font31"/>
    <w:basedOn w:val="18"/>
    <w:qFormat/>
    <w:uiPriority w:val="0"/>
    <w:rPr>
      <w:rFonts w:hint="eastAsia" w:ascii="宋体" w:hAnsi="宋体" w:eastAsia="宋体" w:cs="宋体"/>
      <w:color w:val="000000"/>
      <w:sz w:val="20"/>
      <w:szCs w:val="20"/>
      <w:u w:val="none"/>
    </w:rPr>
  </w:style>
  <w:style w:type="character" w:customStyle="1" w:styleId="25">
    <w:name w:val="页眉 字符"/>
    <w:basedOn w:val="18"/>
    <w:link w:val="12"/>
    <w:uiPriority w:val="0"/>
    <w:rPr>
      <w:rFonts w:ascii="Times New Roman" w:hAnsi="Times New Roman" w:eastAsia="宋体" w:cs="宋体"/>
      <w:kern w:val="2"/>
      <w:sz w:val="18"/>
      <w:szCs w:val="18"/>
    </w:rPr>
  </w:style>
  <w:style w:type="character" w:customStyle="1" w:styleId="26">
    <w:name w:val="页脚 字符"/>
    <w:basedOn w:val="18"/>
    <w:link w:val="11"/>
    <w:uiPriority w:val="0"/>
    <w:rPr>
      <w:rFonts w:ascii="Times New Roman" w:hAnsi="Times New Roman" w:eastAsia="宋体" w:cs="宋体"/>
      <w:kern w:val="2"/>
      <w:sz w:val="18"/>
      <w:szCs w:val="18"/>
    </w:rPr>
  </w:style>
  <w:style w:type="character" w:customStyle="1" w:styleId="27">
    <w:name w:val="标题 字符"/>
    <w:basedOn w:val="18"/>
    <w:link w:val="13"/>
    <w:uiPriority w:val="0"/>
    <w:rPr>
      <w:rFonts w:asciiTheme="majorHAnsi" w:hAnsiTheme="majorHAnsi" w:eastAsiaTheme="majorEastAsia" w:cstheme="majorBidi"/>
      <w:b/>
      <w:bCs/>
      <w:kern w:val="2"/>
      <w:sz w:val="32"/>
      <w:szCs w:val="32"/>
    </w:rPr>
  </w:style>
  <w:style w:type="character" w:customStyle="1" w:styleId="28">
    <w:name w:val="标题 3 字符"/>
    <w:basedOn w:val="18"/>
    <w:link w:val="4"/>
    <w:semiHidden/>
    <w:uiPriority w:val="0"/>
    <w:rPr>
      <w:rFonts w:ascii="Times New Roman" w:hAnsi="Times New Roman" w:eastAsia="宋体" w:cs="宋体"/>
      <w:b/>
      <w:bCs/>
      <w:kern w:val="2"/>
      <w:sz w:val="32"/>
      <w:szCs w:val="32"/>
    </w:rPr>
  </w:style>
  <w:style w:type="paragraph" w:customStyle="1" w:styleId="2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41B5CD8D-FF04-407E-BBC6-CDE7C591ACDF}">
  <ds:schemaRefs/>
</ds:datastoreItem>
</file>

<file path=docProps/app.xml><?xml version="1.0" encoding="utf-8"?>
<Properties xmlns="http://schemas.openxmlformats.org/officeDocument/2006/extended-properties" xmlns:vt="http://schemas.openxmlformats.org/officeDocument/2006/docPropsVTypes">
  <Pages>11</Pages>
  <Words>814</Words>
  <Characters>4643</Characters>
  <Lines>38</Lines>
  <Paragraphs>10</Paragraphs>
  <TotalTime>743</TotalTime>
  <ScaleCrop>false</ScaleCrop>
  <LinksUpToDate>false</LinksUpToDate>
  <CharactersWithSpaces>5447</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2025-08-08T17:47:00Z</dcterms:created>
  <dc:creator>用户007</dc:creator>
  <cp:lastModifiedBy>zhengyiqiang</cp:lastModifiedBy>
  <dcterms:modified xsi:type="dcterms:W3CDTF">2025-10-16T15:45:22Z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530E096DBA164F1397E4045544913C90_13</vt:lpwstr>
  </property>
  <property fmtid="{D5CDD505-2E9C-101B-9397-08002B2CF9AE}" pid="4" name="KSOTemplateDocerSaveRecord">
    <vt:lpwstr>eyJoZGlkIjoiMjUyNmRlYWZlYmRmYzI3NjNkMWZjNjZhOWRiYzA3MjYiLCJ1c2VySWQiOiIzNTI0NzgxMDYifQ==</vt:lpwstr>
  </property>
</Properties>
</file>