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FBF3A">
      <w:pPr>
        <w:spacing w:line="360" w:lineRule="auto"/>
        <w:jc w:val="center"/>
        <w:rPr>
          <w:rFonts w:asciiTheme="minorEastAsia" w:hAnsiTheme="minorEastAsia" w:eastAsiaTheme="minorEastAsia"/>
          <w:color w:val="000000"/>
          <w:sz w:val="44"/>
        </w:rPr>
      </w:pPr>
    </w:p>
    <w:p w14:paraId="2300E84E">
      <w:pPr>
        <w:pStyle w:val="5"/>
        <w:rPr>
          <w:rFonts w:asciiTheme="minorEastAsia" w:hAnsiTheme="minorEastAsia" w:eastAsiaTheme="minorEastAsia"/>
          <w:color w:val="000000"/>
          <w:sz w:val="44"/>
        </w:rPr>
      </w:pPr>
    </w:p>
    <w:p w14:paraId="317A18F1">
      <w:pPr>
        <w:pStyle w:val="5"/>
        <w:rPr>
          <w:rFonts w:asciiTheme="minorEastAsia" w:hAnsiTheme="minorEastAsia" w:eastAsiaTheme="minorEastAsia"/>
          <w:color w:val="000000"/>
          <w:sz w:val="44"/>
        </w:rPr>
      </w:pPr>
    </w:p>
    <w:p w14:paraId="5874E1F9">
      <w:pPr>
        <w:pStyle w:val="32"/>
        <w:jc w:val="center"/>
        <w:rPr>
          <w:rFonts w:hint="eastAsia" w:asciiTheme="minorEastAsia" w:hAnsiTheme="minorEastAsia" w:eastAsiaTheme="minorEastAsia"/>
          <w:sz w:val="52"/>
        </w:rPr>
      </w:pPr>
      <w:r>
        <w:rPr>
          <w:rFonts w:hint="eastAsia" w:asciiTheme="minorEastAsia" w:hAnsiTheme="minorEastAsia" w:eastAsiaTheme="minorEastAsia"/>
          <w:sz w:val="52"/>
          <w:lang w:eastAsia="zh-CN"/>
        </w:rPr>
        <w:t>广州市番禺区第七人民医院中央配餐配送服务项目</w:t>
      </w:r>
      <w:r>
        <w:rPr>
          <w:rFonts w:hint="eastAsia" w:asciiTheme="minorEastAsia" w:hAnsiTheme="minorEastAsia" w:eastAsiaTheme="minorEastAsia"/>
          <w:sz w:val="52"/>
        </w:rPr>
        <w:t>（询比编号：</w:t>
      </w:r>
      <w:r>
        <w:rPr>
          <w:rFonts w:hint="eastAsia" w:asciiTheme="minorEastAsia" w:hAnsiTheme="minorEastAsia" w:eastAsiaTheme="minorEastAsia"/>
          <w:sz w:val="52"/>
          <w:lang w:eastAsia="zh-CN"/>
        </w:rPr>
        <w:t>CG-XBLX-202602-01</w:t>
      </w:r>
      <w:r>
        <w:rPr>
          <w:rFonts w:hint="eastAsia" w:asciiTheme="minorEastAsia" w:hAnsiTheme="minorEastAsia" w:eastAsiaTheme="minorEastAsia"/>
          <w:sz w:val="52"/>
        </w:rPr>
        <w:t>）</w:t>
      </w:r>
    </w:p>
    <w:p w14:paraId="530EE638">
      <w:pPr>
        <w:jc w:val="center"/>
        <w:rPr>
          <w:rFonts w:asciiTheme="minorEastAsia" w:hAnsiTheme="minorEastAsia" w:eastAsiaTheme="minorEastAsia"/>
          <w:sz w:val="44"/>
        </w:rPr>
      </w:pPr>
    </w:p>
    <w:p w14:paraId="0A4ECDFE">
      <w:pPr>
        <w:jc w:val="center"/>
        <w:rPr>
          <w:rFonts w:hint="eastAsia" w:asciiTheme="minorEastAsia" w:hAnsiTheme="minorEastAsia" w:eastAsiaTheme="minorEastAsia"/>
          <w:b/>
          <w:sz w:val="56"/>
        </w:rPr>
      </w:pPr>
      <w:r>
        <w:rPr>
          <w:rFonts w:hint="eastAsia" w:asciiTheme="minorEastAsia" w:hAnsiTheme="minorEastAsia" w:eastAsiaTheme="minorEastAsia"/>
          <w:b/>
          <w:sz w:val="56"/>
        </w:rPr>
        <w:t>询比文件</w:t>
      </w:r>
    </w:p>
    <w:p w14:paraId="5029EAB9">
      <w:pPr>
        <w:jc w:val="center"/>
        <w:rPr>
          <w:rFonts w:hint="eastAsia" w:asciiTheme="minorEastAsia" w:hAnsiTheme="minorEastAsia" w:eastAsiaTheme="minorEastAsia"/>
          <w:b/>
          <w:sz w:val="56"/>
        </w:rPr>
      </w:pPr>
    </w:p>
    <w:p w14:paraId="0013A385">
      <w:pPr>
        <w:jc w:val="center"/>
        <w:rPr>
          <w:rFonts w:hint="eastAsia" w:asciiTheme="minorEastAsia" w:hAnsiTheme="minorEastAsia" w:eastAsiaTheme="minorEastAsia"/>
          <w:b/>
          <w:sz w:val="56"/>
        </w:rPr>
      </w:pPr>
    </w:p>
    <w:p w14:paraId="5EAD6081">
      <w:pPr>
        <w:jc w:val="center"/>
        <w:rPr>
          <w:rFonts w:hint="eastAsia" w:asciiTheme="minorEastAsia" w:hAnsiTheme="minorEastAsia" w:eastAsiaTheme="minorEastAsia"/>
          <w:b/>
          <w:sz w:val="56"/>
        </w:rPr>
      </w:pPr>
    </w:p>
    <w:p w14:paraId="7A3C1DC6">
      <w:pPr>
        <w:jc w:val="center"/>
        <w:rPr>
          <w:rFonts w:hint="eastAsia" w:asciiTheme="minorEastAsia" w:hAnsiTheme="minorEastAsia" w:eastAsiaTheme="minorEastAsia"/>
          <w:b/>
          <w:sz w:val="56"/>
        </w:rPr>
      </w:pPr>
    </w:p>
    <w:p w14:paraId="0BEC3CD2">
      <w:pPr>
        <w:jc w:val="center"/>
        <w:rPr>
          <w:rFonts w:hint="eastAsia" w:asciiTheme="minorEastAsia" w:hAnsiTheme="minorEastAsia" w:eastAsiaTheme="minorEastAsia"/>
          <w:b/>
          <w:sz w:val="56"/>
        </w:rPr>
      </w:pPr>
    </w:p>
    <w:p w14:paraId="315F17B2">
      <w:pPr>
        <w:jc w:val="center"/>
        <w:rPr>
          <w:rFonts w:hint="eastAsia" w:asciiTheme="minorEastAsia" w:hAnsiTheme="minorEastAsia" w:eastAsiaTheme="minorEastAsia"/>
          <w:b/>
          <w:sz w:val="56"/>
        </w:rPr>
      </w:pPr>
    </w:p>
    <w:p w14:paraId="0597DA8C">
      <w:pPr>
        <w:jc w:val="center"/>
        <w:rPr>
          <w:rFonts w:asciiTheme="minorEastAsia" w:hAnsiTheme="minorEastAsia" w:eastAsiaTheme="minorEastAsia"/>
          <w:b/>
          <w:sz w:val="32"/>
        </w:rPr>
      </w:pPr>
      <w:r>
        <w:rPr>
          <w:rFonts w:hint="eastAsia" w:asciiTheme="minorEastAsia" w:hAnsiTheme="minorEastAsia" w:eastAsiaTheme="minorEastAsia"/>
          <w:sz w:val="32"/>
          <w:lang w:val="en-US" w:eastAsia="zh-CN"/>
        </w:rPr>
        <w:t>2026</w:t>
      </w:r>
      <w:r>
        <w:rPr>
          <w:rFonts w:hint="eastAsia" w:cs="楷体_GB2312" w:asciiTheme="minorEastAsia" w:hAnsiTheme="minorEastAsia" w:eastAsiaTheme="minorEastAsia"/>
          <w:sz w:val="32"/>
        </w:rPr>
        <w:t>年</w:t>
      </w:r>
      <w:r>
        <w:rPr>
          <w:rFonts w:hint="eastAsia" w:cs="楷体_GB2312" w:asciiTheme="minorEastAsia" w:hAnsiTheme="minorEastAsia" w:eastAsiaTheme="minorEastAsia"/>
          <w:sz w:val="32"/>
          <w:lang w:val="en-US" w:eastAsia="zh-CN"/>
        </w:rPr>
        <w:t>3</w:t>
      </w:r>
      <w:r>
        <w:rPr>
          <w:rFonts w:hint="eastAsia" w:asciiTheme="minorEastAsia" w:hAnsiTheme="minorEastAsia" w:eastAsiaTheme="minorEastAsia"/>
          <w:sz w:val="32"/>
        </w:rPr>
        <w:t>月</w:t>
      </w:r>
    </w:p>
    <w:p w14:paraId="6AC482B5">
      <w:pPr>
        <w:jc w:val="center"/>
        <w:rPr>
          <w:rFonts w:asciiTheme="minorEastAsia" w:hAnsiTheme="minorEastAsia" w:eastAsiaTheme="minorEastAsia"/>
          <w:b/>
          <w:sz w:val="44"/>
        </w:rPr>
      </w:pPr>
      <w:r>
        <w:rPr>
          <w:rFonts w:asciiTheme="minorEastAsia" w:hAnsiTheme="minorEastAsia" w:eastAsiaTheme="minorEastAsia"/>
          <w:sz w:val="44"/>
        </w:rPr>
        <w:br w:type="page"/>
      </w:r>
      <w:r>
        <w:rPr>
          <w:rFonts w:hint="eastAsia" w:asciiTheme="minorEastAsia" w:hAnsiTheme="minorEastAsia" w:eastAsiaTheme="minorEastAsia"/>
          <w:b/>
          <w:sz w:val="44"/>
        </w:rPr>
        <w:t>目    录</w:t>
      </w:r>
    </w:p>
    <w:p w14:paraId="2DED10BE">
      <w:pPr>
        <w:ind w:left="1470"/>
        <w:jc w:val="left"/>
        <w:rPr>
          <w:rFonts w:asciiTheme="minorEastAsia" w:hAnsiTheme="minorEastAsia" w:eastAsiaTheme="minorEastAsia"/>
          <w:sz w:val="44"/>
        </w:rPr>
      </w:pPr>
    </w:p>
    <w:p w14:paraId="7806F200">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第一部分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询比邀请</w:t>
      </w:r>
    </w:p>
    <w:p w14:paraId="56E0D725">
      <w:pPr>
        <w:jc w:val="left"/>
        <w:rPr>
          <w:rFonts w:asciiTheme="minorEastAsia" w:hAnsiTheme="minorEastAsia" w:eastAsiaTheme="minorEastAsia"/>
          <w:b/>
          <w:sz w:val="32"/>
        </w:rPr>
      </w:pPr>
    </w:p>
    <w:p w14:paraId="5C8331E3">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第二部分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供应商须知</w:t>
      </w:r>
    </w:p>
    <w:p w14:paraId="62EE9F80">
      <w:pPr>
        <w:ind w:left="1470"/>
        <w:jc w:val="left"/>
        <w:rPr>
          <w:rFonts w:asciiTheme="minorEastAsia" w:hAnsiTheme="minorEastAsia" w:eastAsiaTheme="minorEastAsia"/>
          <w:b/>
          <w:sz w:val="32"/>
        </w:rPr>
      </w:pPr>
    </w:p>
    <w:p w14:paraId="46E5141B">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第三部分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用户需求书</w:t>
      </w:r>
    </w:p>
    <w:p w14:paraId="70A18302">
      <w:pPr>
        <w:pStyle w:val="5"/>
        <w:rPr>
          <w:rFonts w:asciiTheme="minorEastAsia" w:hAnsiTheme="minorEastAsia" w:eastAsiaTheme="minorEastAsia"/>
          <w:b/>
        </w:rPr>
      </w:pPr>
    </w:p>
    <w:p w14:paraId="5F356E48">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第四部分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评审办法</w:t>
      </w:r>
    </w:p>
    <w:p w14:paraId="40BFFC0B">
      <w:pPr>
        <w:ind w:left="1470"/>
        <w:jc w:val="left"/>
        <w:rPr>
          <w:rFonts w:asciiTheme="minorEastAsia" w:hAnsiTheme="minorEastAsia" w:eastAsiaTheme="minorEastAsia"/>
          <w:b/>
          <w:sz w:val="32"/>
        </w:rPr>
      </w:pPr>
    </w:p>
    <w:p w14:paraId="5A74A2CC">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第五部分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合同书格式</w:t>
      </w:r>
    </w:p>
    <w:p w14:paraId="2FBF69CC">
      <w:pPr>
        <w:jc w:val="left"/>
        <w:rPr>
          <w:rFonts w:asciiTheme="minorEastAsia" w:hAnsiTheme="minorEastAsia" w:eastAsiaTheme="minorEastAsia"/>
          <w:b/>
          <w:sz w:val="32"/>
        </w:rPr>
      </w:pPr>
    </w:p>
    <w:p w14:paraId="1032D2EF">
      <w:pPr>
        <w:ind w:left="1470"/>
        <w:jc w:val="left"/>
        <w:rPr>
          <w:rFonts w:asciiTheme="minorEastAsia" w:hAnsiTheme="minorEastAsia" w:eastAsiaTheme="minorEastAsia"/>
          <w:b/>
          <w:sz w:val="32"/>
        </w:rPr>
        <w:sectPr>
          <w:headerReference r:id="rId3" w:type="default"/>
          <w:footerReference r:id="rId4" w:type="even"/>
          <w:pgSz w:w="11906" w:h="16838"/>
          <w:pgMar w:top="1402" w:right="1701" w:bottom="1402" w:left="1701" w:header="735" w:footer="680" w:gutter="0"/>
          <w:pgNumType w:start="0"/>
          <w:cols w:space="720" w:num="1"/>
          <w:titlePg/>
          <w:docGrid w:type="lines" w:linePitch="312" w:charSpace="0"/>
        </w:sectPr>
      </w:pPr>
      <w:r>
        <w:rPr>
          <w:rFonts w:hint="eastAsia" w:asciiTheme="minorEastAsia" w:hAnsiTheme="minorEastAsia" w:eastAsiaTheme="minorEastAsia"/>
          <w:b/>
          <w:sz w:val="32"/>
        </w:rPr>
        <w:t xml:space="preserve">第六部分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响应文件格式</w:t>
      </w:r>
    </w:p>
    <w:p w14:paraId="185F666F">
      <w:pPr>
        <w:pStyle w:val="145"/>
      </w:pPr>
      <w:bookmarkStart w:id="0" w:name="_Toc352669156"/>
      <w:bookmarkStart w:id="1" w:name="_Toc175644384"/>
      <w:r>
        <w:rPr>
          <w:rFonts w:hint="eastAsia"/>
        </w:rPr>
        <w:t>询比邀请</w:t>
      </w:r>
      <w:bookmarkEnd w:id="0"/>
      <w:bookmarkEnd w:id="1"/>
    </w:p>
    <w:p w14:paraId="0F6501FE">
      <w:pPr>
        <w:pStyle w:val="5"/>
      </w:pPr>
    </w:p>
    <w:p w14:paraId="49659439">
      <w:pPr>
        <w:spacing w:line="460" w:lineRule="exact"/>
        <w:ind w:firstLine="540" w:firstLineChars="225"/>
        <w:rPr>
          <w:rFonts w:ascii="宋体" w:hAnsi="宋体"/>
          <w:sz w:val="24"/>
        </w:rPr>
      </w:pPr>
      <w:r>
        <w:rPr>
          <w:rFonts w:hint="eastAsia" w:ascii="宋体" w:hAnsi="宋体"/>
          <w:sz w:val="24"/>
          <w:u w:val="single"/>
          <w:lang w:eastAsia="zh-CN"/>
        </w:rPr>
        <w:t>广州市番禺区第七人民医院</w:t>
      </w:r>
      <w:r>
        <w:rPr>
          <w:rFonts w:hint="eastAsia" w:ascii="宋体" w:hAnsi="宋体"/>
          <w:sz w:val="24"/>
        </w:rPr>
        <w:t>就</w:t>
      </w:r>
      <w:r>
        <w:rPr>
          <w:rFonts w:hint="eastAsia" w:ascii="宋体" w:hAnsi="宋体"/>
          <w:sz w:val="24"/>
          <w:lang w:eastAsia="zh-CN"/>
        </w:rPr>
        <w:t>广州市番禺区第七人民医院中央配餐配送服务项目</w:t>
      </w:r>
      <w:r>
        <w:rPr>
          <w:rFonts w:hint="eastAsia" w:ascii="宋体" w:hAnsi="宋体"/>
          <w:sz w:val="24"/>
        </w:rPr>
        <w:t>（询比编号：</w:t>
      </w:r>
      <w:r>
        <w:rPr>
          <w:rFonts w:hint="eastAsia" w:ascii="宋体" w:hAnsi="宋体"/>
          <w:sz w:val="24"/>
          <w:lang w:eastAsia="zh-CN"/>
        </w:rPr>
        <w:t>CG-XBLX-202602-01</w:t>
      </w:r>
      <w:r>
        <w:rPr>
          <w:rFonts w:hint="eastAsia" w:ascii="宋体" w:hAnsi="宋体"/>
          <w:sz w:val="24"/>
        </w:rPr>
        <w:t>）进行院内询比，邀请合格的国内供应商参加。</w:t>
      </w:r>
    </w:p>
    <w:p w14:paraId="4D7B17B2">
      <w:pPr>
        <w:widowControl/>
        <w:spacing w:line="460" w:lineRule="exact"/>
        <w:ind w:left="560"/>
        <w:rPr>
          <w:rFonts w:ascii="宋体" w:hAnsi="宋体"/>
          <w:b/>
          <w:sz w:val="24"/>
        </w:rPr>
      </w:pPr>
      <w:r>
        <w:rPr>
          <w:rFonts w:hint="eastAsia" w:ascii="宋体" w:hAnsi="宋体"/>
          <w:b/>
          <w:sz w:val="24"/>
        </w:rPr>
        <w:t>一、询比项目简介</w:t>
      </w:r>
    </w:p>
    <w:p w14:paraId="038CC415">
      <w:pPr>
        <w:widowControl/>
        <w:numPr>
          <w:ilvl w:val="1"/>
          <w:numId w:val="2"/>
        </w:numPr>
        <w:spacing w:line="460" w:lineRule="exact"/>
        <w:rPr>
          <w:rFonts w:ascii="宋体" w:hAnsi="宋体"/>
          <w:sz w:val="24"/>
        </w:rPr>
      </w:pPr>
      <w:r>
        <w:rPr>
          <w:rFonts w:hint="eastAsia" w:ascii="宋体" w:hAnsi="宋体" w:cs="Arial"/>
          <w:sz w:val="24"/>
        </w:rPr>
        <w:t>项目名称：</w:t>
      </w:r>
      <w:r>
        <w:rPr>
          <w:rFonts w:hint="eastAsia" w:ascii="宋体" w:hAnsi="宋体"/>
          <w:sz w:val="24"/>
          <w:u w:val="single"/>
          <w:lang w:eastAsia="zh-CN"/>
        </w:rPr>
        <w:t>广州市番禺区第七人民医院中央配餐配送服务项目</w:t>
      </w:r>
      <w:r>
        <w:rPr>
          <w:rFonts w:hint="eastAsia" w:ascii="宋体" w:hAnsi="宋体"/>
          <w:sz w:val="24"/>
          <w:u w:val="single"/>
        </w:rPr>
        <w:t>（询比编号：CG-XBLX-202602-01）</w:t>
      </w:r>
    </w:p>
    <w:p w14:paraId="1C3880A2">
      <w:pPr>
        <w:widowControl/>
        <w:numPr>
          <w:ilvl w:val="1"/>
          <w:numId w:val="2"/>
        </w:numPr>
        <w:spacing w:line="460" w:lineRule="exact"/>
        <w:ind w:left="0" w:firstLine="425"/>
        <w:rPr>
          <w:rFonts w:ascii="宋体" w:hAnsi="宋体"/>
          <w:sz w:val="24"/>
        </w:rPr>
      </w:pPr>
      <w:r>
        <w:rPr>
          <w:rFonts w:hint="eastAsia" w:ascii="宋体" w:hAnsi="宋体" w:cs="Arial"/>
          <w:sz w:val="24"/>
        </w:rPr>
        <w:t>项目类别：</w:t>
      </w:r>
      <w:r>
        <w:rPr>
          <w:rFonts w:hint="eastAsia" w:ascii="宋体" w:hAnsi="宋体" w:cs="Arial"/>
          <w:sz w:val="24"/>
          <w:lang w:val="en-US" w:eastAsia="zh-CN"/>
        </w:rPr>
        <w:t>服务</w:t>
      </w:r>
      <w:r>
        <w:rPr>
          <w:rFonts w:hint="eastAsia" w:ascii="宋体" w:hAnsi="宋体" w:cs="Arial"/>
          <w:sz w:val="24"/>
        </w:rPr>
        <w:t>类</w:t>
      </w:r>
    </w:p>
    <w:p w14:paraId="1226F329">
      <w:pPr>
        <w:widowControl/>
        <w:numPr>
          <w:ilvl w:val="1"/>
          <w:numId w:val="2"/>
        </w:numPr>
        <w:spacing w:line="460" w:lineRule="exact"/>
        <w:ind w:left="0" w:firstLine="425"/>
        <w:rPr>
          <w:rFonts w:ascii="宋体" w:hAnsi="宋体"/>
          <w:sz w:val="24"/>
        </w:rPr>
      </w:pPr>
      <w:r>
        <w:rPr>
          <w:rFonts w:hint="eastAsia" w:ascii="宋体" w:hAnsi="宋体" w:cs="Arial"/>
          <w:sz w:val="24"/>
        </w:rPr>
        <w:t>服务期：</w:t>
      </w:r>
      <w:r>
        <w:rPr>
          <w:rFonts w:hint="eastAsia" w:ascii="宋体" w:hAnsi="宋体"/>
          <w:sz w:val="24"/>
          <w:szCs w:val="21"/>
        </w:rPr>
        <w:t>一年，</w:t>
      </w:r>
      <w:r>
        <w:rPr>
          <w:rFonts w:hint="eastAsia" w:ascii="宋体" w:hAnsi="宋体"/>
          <w:bCs/>
          <w:spacing w:val="-2"/>
          <w:sz w:val="24"/>
          <w:szCs w:val="21"/>
        </w:rPr>
        <w:t>合同期</w:t>
      </w:r>
      <w:r>
        <w:rPr>
          <w:rFonts w:hint="default" w:ascii="宋体" w:hAnsi="宋体"/>
          <w:bCs/>
          <w:spacing w:val="-2"/>
          <w:sz w:val="24"/>
          <w:szCs w:val="21"/>
        </w:rPr>
        <w:t>满</w:t>
      </w:r>
      <w:r>
        <w:rPr>
          <w:rFonts w:hint="eastAsia" w:ascii="宋体" w:hAnsi="宋体"/>
          <w:bCs/>
          <w:spacing w:val="-2"/>
          <w:sz w:val="24"/>
          <w:szCs w:val="21"/>
        </w:rPr>
        <w:t>或合同金额使用完毕则合同结束</w:t>
      </w:r>
      <w:r>
        <w:rPr>
          <w:rFonts w:hint="eastAsia" w:ascii="宋体" w:hAnsi="宋体"/>
          <w:sz w:val="24"/>
          <w:szCs w:val="21"/>
        </w:rPr>
        <w:t>。</w:t>
      </w:r>
    </w:p>
    <w:p w14:paraId="2475A232">
      <w:pPr>
        <w:widowControl/>
        <w:numPr>
          <w:ilvl w:val="1"/>
          <w:numId w:val="2"/>
        </w:numPr>
        <w:spacing w:line="460" w:lineRule="exact"/>
        <w:ind w:left="0" w:firstLine="425"/>
        <w:rPr>
          <w:rFonts w:ascii="宋体" w:hAnsi="宋体"/>
          <w:sz w:val="24"/>
        </w:rPr>
      </w:pPr>
      <w:r>
        <w:rPr>
          <w:rFonts w:hint="eastAsia" w:ascii="宋体" w:hAnsi="宋体"/>
          <w:sz w:val="24"/>
        </w:rPr>
        <w:t>最高采购限价：不高于人民币</w:t>
      </w:r>
      <w:r>
        <w:rPr>
          <w:rFonts w:hint="eastAsia" w:ascii="宋体" w:hAnsi="宋体"/>
          <w:sz w:val="24"/>
          <w:lang w:val="en-US" w:eastAsia="zh-CN"/>
        </w:rPr>
        <w:t>96</w:t>
      </w:r>
      <w:r>
        <w:rPr>
          <w:rStyle w:val="44"/>
          <w:rFonts w:hint="eastAsia"/>
          <w:lang w:val="en-US" w:eastAsia="zh-CN"/>
        </w:rPr>
        <w:t>万</w:t>
      </w:r>
      <w:r>
        <w:rPr>
          <w:rFonts w:hint="eastAsia" w:ascii="宋体" w:hAnsi="宋体"/>
          <w:sz w:val="24"/>
        </w:rPr>
        <w:t>元（含税）。</w:t>
      </w:r>
    </w:p>
    <w:p w14:paraId="3EB7B80D">
      <w:pPr>
        <w:widowControl/>
        <w:numPr>
          <w:ilvl w:val="1"/>
          <w:numId w:val="2"/>
        </w:numPr>
        <w:spacing w:line="460" w:lineRule="exact"/>
        <w:ind w:left="0" w:firstLine="425"/>
        <w:rPr>
          <w:rFonts w:ascii="宋体" w:hAnsi="宋体"/>
          <w:b/>
          <w:sz w:val="24"/>
        </w:rPr>
      </w:pPr>
      <w:r>
        <w:rPr>
          <w:rFonts w:hint="eastAsia" w:ascii="宋体" w:hAnsi="宋体"/>
          <w:sz w:val="24"/>
        </w:rPr>
        <w:t>评审方法：</w:t>
      </w:r>
      <w:r>
        <w:rPr>
          <w:rFonts w:hint="eastAsia" w:ascii="宋体" w:hAnsi="宋体"/>
          <w:b/>
          <w:sz w:val="24"/>
        </w:rPr>
        <w:t>综合评分最高者为成交候选人。如出现符合资格条件的响应供应商或对</w:t>
      </w:r>
      <w:r>
        <w:rPr>
          <w:rFonts w:hint="default" w:ascii="宋体" w:hAnsi="宋体"/>
          <w:b/>
          <w:sz w:val="24"/>
        </w:rPr>
        <w:t>询比</w:t>
      </w:r>
      <w:r>
        <w:rPr>
          <w:rFonts w:hint="eastAsia" w:ascii="宋体" w:hAnsi="宋体"/>
          <w:b/>
          <w:sz w:val="24"/>
        </w:rPr>
        <w:t>文件作实质响应的有效响应供应商不足三家的情况将作废处理。</w:t>
      </w:r>
    </w:p>
    <w:p w14:paraId="164F78E6">
      <w:pPr>
        <w:widowControl/>
        <w:numPr>
          <w:ilvl w:val="1"/>
          <w:numId w:val="2"/>
        </w:numPr>
        <w:spacing w:line="460" w:lineRule="exact"/>
        <w:ind w:left="0" w:firstLine="425"/>
        <w:rPr>
          <w:rFonts w:ascii="宋体" w:hAnsi="宋体"/>
          <w:sz w:val="24"/>
        </w:rPr>
      </w:pPr>
      <w:r>
        <w:rPr>
          <w:rFonts w:hint="eastAsia" w:ascii="宋体" w:hAnsi="宋体"/>
          <w:sz w:val="24"/>
        </w:rPr>
        <w:t>资金来源：自筹资金</w:t>
      </w:r>
    </w:p>
    <w:p w14:paraId="4EC3F916">
      <w:pPr>
        <w:widowControl/>
        <w:spacing w:line="460" w:lineRule="exact"/>
        <w:ind w:left="560"/>
        <w:rPr>
          <w:rFonts w:ascii="宋体" w:hAnsi="宋体"/>
          <w:b/>
          <w:sz w:val="24"/>
        </w:rPr>
      </w:pPr>
      <w:r>
        <w:rPr>
          <w:rFonts w:hint="eastAsia" w:ascii="宋体" w:hAnsi="宋体"/>
          <w:b/>
          <w:sz w:val="24"/>
        </w:rPr>
        <w:t>二、响应供应商资格要求</w:t>
      </w:r>
    </w:p>
    <w:p w14:paraId="15818A38">
      <w:pPr>
        <w:spacing w:line="360" w:lineRule="auto"/>
        <w:ind w:firstLine="720" w:firstLineChars="300"/>
        <w:rPr>
          <w:rFonts w:hint="eastAsia" w:ascii="宋体" w:hAnsi="宋体"/>
          <w:sz w:val="24"/>
          <w:highlight w:val="none"/>
        </w:rPr>
      </w:pPr>
      <w:r>
        <w:rPr>
          <w:rFonts w:hint="eastAsia" w:ascii="宋体" w:hAnsi="宋体"/>
          <w:sz w:val="24"/>
        </w:rPr>
        <w:t>（一）</w:t>
      </w:r>
      <w:r>
        <w:rPr>
          <w:rFonts w:hint="eastAsia" w:ascii="宋体" w:hAnsi="宋体"/>
          <w:b/>
          <w:sz w:val="24"/>
          <w:szCs w:val="21"/>
        </w:rPr>
        <w:t>供应商为供餐单位</w:t>
      </w:r>
      <w:r>
        <w:rPr>
          <w:rFonts w:hint="eastAsia" w:ascii="宋体" w:hAnsi="宋体"/>
          <w:sz w:val="24"/>
          <w:szCs w:val="21"/>
        </w:rPr>
        <w:t>须提供《营业执照》《食品经营许可证》且具有集体用餐配送资质；</w:t>
      </w:r>
      <w:r>
        <w:rPr>
          <w:rFonts w:hint="eastAsia" w:ascii="宋体" w:hAnsi="宋体"/>
          <w:b/>
          <w:sz w:val="24"/>
          <w:szCs w:val="21"/>
        </w:rPr>
        <w:t>供应商为餐饮服务平台者</w:t>
      </w:r>
      <w:r>
        <w:rPr>
          <w:rFonts w:hint="eastAsia" w:ascii="宋体" w:hAnsi="宋体"/>
          <w:sz w:val="24"/>
          <w:szCs w:val="21"/>
        </w:rPr>
        <w:t>除提供《营业执照》《食品经营许可证》外，还应同时提供具有集体用餐配送资质的供餐单位的《营业执照》《食品经营许可证》，且供餐单位食品经营许可证上的经营场所应与实际供餐食品的加工制作场所一致，并出具双方合作承诺函。</w:t>
      </w:r>
      <w:r>
        <w:rPr>
          <w:rFonts w:hint="eastAsia" w:ascii="宋体" w:hAnsi="宋体"/>
          <w:sz w:val="24"/>
          <w:highlight w:val="none"/>
        </w:rPr>
        <w:t>（</w:t>
      </w:r>
      <w:r>
        <w:rPr>
          <w:rFonts w:hint="default" w:ascii="宋体" w:hAnsi="宋体"/>
          <w:sz w:val="24"/>
          <w:highlight w:val="none"/>
        </w:rPr>
        <w:t>以上资料均须</w:t>
      </w:r>
      <w:r>
        <w:rPr>
          <w:rFonts w:hint="eastAsia" w:ascii="宋体" w:hAnsi="宋体"/>
          <w:sz w:val="24"/>
          <w:highlight w:val="none"/>
        </w:rPr>
        <w:t>提供盖章版扫描件)。</w:t>
      </w:r>
    </w:p>
    <w:p w14:paraId="033F90A2">
      <w:pPr>
        <w:spacing w:line="360" w:lineRule="auto"/>
        <w:ind w:firstLine="720" w:firstLineChars="300"/>
        <w:rPr>
          <w:rFonts w:ascii="宋体" w:hAnsi="宋体"/>
          <w:sz w:val="24"/>
        </w:rPr>
      </w:pPr>
      <w:r>
        <w:rPr>
          <w:rFonts w:hint="eastAsia" w:ascii="宋体" w:hAnsi="宋体"/>
          <w:sz w:val="24"/>
          <w:highlight w:val="none"/>
        </w:rPr>
        <w:t>（</w:t>
      </w:r>
      <w:r>
        <w:rPr>
          <w:rFonts w:hint="eastAsia" w:ascii="宋体" w:hAnsi="宋体"/>
          <w:sz w:val="24"/>
          <w:highlight w:val="none"/>
          <w:lang w:val="en-US" w:eastAsia="zh-CN"/>
        </w:rPr>
        <w:t>二</w:t>
      </w:r>
      <w:r>
        <w:rPr>
          <w:rFonts w:hint="eastAsia" w:ascii="宋体" w:hAnsi="宋体"/>
          <w:sz w:val="24"/>
          <w:highlight w:val="none"/>
        </w:rPr>
        <w:t>）</w:t>
      </w:r>
      <w:r>
        <w:rPr>
          <w:rFonts w:ascii="宋体" w:hAnsi="宋体"/>
          <w:sz w:val="24"/>
          <w:highlight w:val="none"/>
        </w:rPr>
        <w:t>本项目不接受联合体投标，不允许响应供应商对本采购货</w:t>
      </w:r>
      <w:r>
        <w:rPr>
          <w:rFonts w:ascii="宋体" w:hAnsi="宋体"/>
          <w:sz w:val="24"/>
        </w:rPr>
        <w:t>物及其相关服务进行分包和转包。</w:t>
      </w:r>
    </w:p>
    <w:p w14:paraId="3127F722">
      <w:pPr>
        <w:widowControl/>
        <w:spacing w:line="460" w:lineRule="exact"/>
        <w:ind w:left="560"/>
        <w:rPr>
          <w:rFonts w:ascii="宋体" w:hAnsi="宋体"/>
          <w:b/>
          <w:sz w:val="24"/>
        </w:rPr>
      </w:pPr>
      <w:r>
        <w:rPr>
          <w:rFonts w:hint="eastAsia" w:ascii="宋体" w:hAnsi="宋体"/>
          <w:b/>
          <w:sz w:val="24"/>
        </w:rPr>
        <w:t>三、询比文件取得的时间、方式及询比文件售价</w:t>
      </w:r>
    </w:p>
    <w:p w14:paraId="746A039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w:t>
      </w:r>
      <w:r>
        <w:rPr>
          <w:rFonts w:hint="eastAsia" w:asciiTheme="minorEastAsia" w:hAnsiTheme="minorEastAsia" w:eastAsiaTheme="minorEastAsia"/>
          <w:sz w:val="24"/>
          <w:highlight w:val="none"/>
        </w:rPr>
        <w:t>）采购人通过</w:t>
      </w:r>
      <w:r>
        <w:rPr>
          <w:rFonts w:hint="eastAsia" w:asciiTheme="minorEastAsia" w:hAnsiTheme="minorEastAsia" w:eastAsiaTheme="minorEastAsia"/>
          <w:sz w:val="24"/>
          <w:highlight w:val="none"/>
          <w:lang w:val="en-US" w:eastAsia="zh-CN"/>
        </w:rPr>
        <w:t>公告</w:t>
      </w:r>
      <w:r>
        <w:rPr>
          <w:rFonts w:hint="eastAsia" w:asciiTheme="minorEastAsia" w:hAnsiTheme="minorEastAsia" w:eastAsiaTheme="minorEastAsia"/>
          <w:sz w:val="24"/>
          <w:highlight w:val="none"/>
        </w:rPr>
        <w:t>形式发</w:t>
      </w:r>
      <w:r>
        <w:rPr>
          <w:rFonts w:hint="eastAsia" w:asciiTheme="minorEastAsia" w:hAnsiTheme="minorEastAsia" w:eastAsiaTheme="minorEastAsia"/>
          <w:sz w:val="24"/>
        </w:rPr>
        <w:t>送询比文件，时间</w:t>
      </w:r>
      <w:r>
        <w:rPr>
          <w:rFonts w:asciiTheme="minorEastAsia" w:hAnsiTheme="minorEastAsia" w:eastAsiaTheme="minorEastAsia"/>
          <w:sz w:val="24"/>
        </w:rPr>
        <w:t>:</w:t>
      </w:r>
      <w:r>
        <w:rPr>
          <w:rFonts w:hint="eastAsia" w:asciiTheme="minorEastAsia" w:hAnsiTheme="minorEastAsia" w:eastAsiaTheme="minorEastAsia"/>
          <w:sz w:val="24"/>
          <w:lang w:val="en-US" w:eastAsia="zh-CN"/>
        </w:rPr>
        <w:t>2026年3月5日</w:t>
      </w:r>
    </w:p>
    <w:p w14:paraId="7D23C642">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（二）采用院内询比的方式进行。</w:t>
      </w:r>
    </w:p>
    <w:p w14:paraId="0C42D84C">
      <w:pPr>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sz w:val="24"/>
        </w:rPr>
        <w:t>（三）询比文件</w:t>
      </w:r>
      <w:r>
        <w:rPr>
          <w:rFonts w:hint="eastAsia" w:asciiTheme="minorEastAsia" w:hAnsiTheme="minorEastAsia" w:eastAsiaTheme="minorEastAsia"/>
          <w:color w:val="auto"/>
          <w:sz w:val="24"/>
        </w:rPr>
        <w:t>工本费：人民币 0元/套。</w:t>
      </w:r>
    </w:p>
    <w:p w14:paraId="382B5B9E">
      <w:pPr>
        <w:widowControl/>
        <w:spacing w:line="460" w:lineRule="exact"/>
        <w:ind w:left="560"/>
        <w:rPr>
          <w:rFonts w:ascii="宋体" w:hAnsi="宋体"/>
          <w:b/>
          <w:color w:val="auto"/>
          <w:sz w:val="24"/>
        </w:rPr>
      </w:pPr>
      <w:r>
        <w:rPr>
          <w:rFonts w:hint="eastAsia" w:ascii="宋体" w:hAnsi="宋体"/>
          <w:b/>
          <w:color w:val="auto"/>
          <w:sz w:val="24"/>
        </w:rPr>
        <w:t>四、递交响应文件时间、截止及开标时间、开标地点</w:t>
      </w:r>
    </w:p>
    <w:p w14:paraId="6C1E2479">
      <w:pPr>
        <w:widowControl/>
        <w:spacing w:line="460" w:lineRule="exact"/>
        <w:ind w:firstLine="480" w:firstLineChars="200"/>
        <w:rPr>
          <w:rFonts w:ascii="宋体" w:hAnsi="宋体"/>
          <w:color w:val="auto"/>
          <w:sz w:val="24"/>
        </w:rPr>
      </w:pPr>
      <w:r>
        <w:rPr>
          <w:rFonts w:hint="eastAsia" w:ascii="宋体" w:hAnsi="宋体"/>
          <w:color w:val="auto"/>
          <w:sz w:val="24"/>
        </w:rPr>
        <w:t>（一）</w:t>
      </w:r>
      <w:r>
        <w:rPr>
          <w:rFonts w:hint="eastAsia" w:ascii="宋体" w:hAnsi="宋体"/>
          <w:b/>
          <w:color w:val="auto"/>
          <w:sz w:val="24"/>
        </w:rPr>
        <w:t>递交响应文件时间：</w:t>
      </w:r>
      <w:r>
        <w:rPr>
          <w:rFonts w:hint="eastAsia" w:ascii="宋体" w:hAnsi="宋体"/>
          <w:color w:val="auto"/>
          <w:sz w:val="24"/>
          <w:lang w:val="en-US" w:eastAsia="zh-CN"/>
        </w:rPr>
        <w:t>2026年3月13日14</w:t>
      </w:r>
      <w:r>
        <w:rPr>
          <w:rFonts w:ascii="宋体" w:hAnsi="宋体"/>
          <w:color w:val="auto"/>
          <w:sz w:val="24"/>
        </w:rPr>
        <w:t>:</w:t>
      </w:r>
      <w:r>
        <w:rPr>
          <w:rFonts w:hint="eastAsia" w:ascii="宋体" w:hAnsi="宋体"/>
          <w:color w:val="auto"/>
          <w:sz w:val="24"/>
          <w:lang w:val="en-US" w:eastAsia="zh-CN"/>
        </w:rPr>
        <w:t>30</w:t>
      </w:r>
      <w:r>
        <w:rPr>
          <w:rFonts w:ascii="宋体" w:hAnsi="宋体"/>
          <w:color w:val="auto"/>
          <w:sz w:val="24"/>
        </w:rPr>
        <w:t>—</w:t>
      </w:r>
      <w:r>
        <w:rPr>
          <w:rFonts w:hint="eastAsia" w:ascii="宋体" w:hAnsi="宋体"/>
          <w:color w:val="auto"/>
          <w:sz w:val="24"/>
          <w:lang w:val="en-US" w:eastAsia="zh-CN"/>
        </w:rPr>
        <w:t>15</w:t>
      </w:r>
      <w:r>
        <w:rPr>
          <w:rFonts w:ascii="宋体" w:hAnsi="宋体"/>
          <w:color w:val="auto"/>
          <w:sz w:val="24"/>
        </w:rPr>
        <w:t>:</w:t>
      </w:r>
      <w:r>
        <w:rPr>
          <w:rFonts w:hint="eastAsia" w:ascii="宋体" w:hAnsi="宋体"/>
          <w:color w:val="auto"/>
          <w:sz w:val="24"/>
          <w:lang w:val="en-US" w:eastAsia="zh-CN"/>
        </w:rPr>
        <w:t>00</w:t>
      </w:r>
    </w:p>
    <w:p w14:paraId="24D8B1A5">
      <w:pPr>
        <w:widowControl/>
        <w:spacing w:line="460" w:lineRule="exact"/>
        <w:ind w:firstLine="480" w:firstLineChars="200"/>
        <w:rPr>
          <w:rFonts w:ascii="宋体" w:hAnsi="宋体"/>
          <w:color w:val="auto"/>
          <w:sz w:val="24"/>
        </w:rPr>
      </w:pPr>
      <w:r>
        <w:rPr>
          <w:rFonts w:hint="eastAsia" w:ascii="宋体" w:hAnsi="宋体"/>
          <w:color w:val="auto"/>
          <w:sz w:val="24"/>
        </w:rPr>
        <w:t>（二）</w:t>
      </w:r>
      <w:r>
        <w:rPr>
          <w:rFonts w:hint="eastAsia" w:ascii="宋体" w:hAnsi="宋体"/>
          <w:b/>
          <w:color w:val="auto"/>
          <w:sz w:val="24"/>
        </w:rPr>
        <w:t>询比截止及开标时间：</w:t>
      </w:r>
      <w:r>
        <w:rPr>
          <w:rFonts w:hint="eastAsia" w:ascii="宋体" w:hAnsi="宋体"/>
          <w:color w:val="auto"/>
          <w:sz w:val="24"/>
          <w:lang w:val="en-US" w:eastAsia="zh-CN"/>
        </w:rPr>
        <w:t>2026年3月13日15</w:t>
      </w:r>
      <w:r>
        <w:rPr>
          <w:rFonts w:ascii="宋体" w:hAnsi="宋体"/>
          <w:color w:val="auto"/>
          <w:sz w:val="24"/>
        </w:rPr>
        <w:t>:</w:t>
      </w:r>
      <w:r>
        <w:rPr>
          <w:rFonts w:hint="eastAsia" w:ascii="宋体" w:hAnsi="宋体"/>
          <w:color w:val="auto"/>
          <w:sz w:val="24"/>
          <w:lang w:val="en-US" w:eastAsia="zh-CN"/>
        </w:rPr>
        <w:t>00</w:t>
      </w:r>
    </w:p>
    <w:p w14:paraId="7712BCE4">
      <w:pPr>
        <w:widowControl/>
        <w:spacing w:line="460" w:lineRule="exact"/>
        <w:ind w:firstLine="480" w:firstLineChars="200"/>
        <w:rPr>
          <w:rFonts w:hint="default" w:ascii="宋体" w:hAnsi="宋体" w:eastAsia="宋体"/>
          <w:color w:val="auto"/>
          <w:sz w:val="24"/>
          <w:lang w:val="en-US" w:eastAsia="zh-CN"/>
        </w:rPr>
      </w:pPr>
      <w:r>
        <w:rPr>
          <w:rFonts w:hint="eastAsia" w:ascii="宋体" w:hAnsi="宋体"/>
          <w:color w:val="auto"/>
          <w:sz w:val="24"/>
        </w:rPr>
        <w:t>（三）</w:t>
      </w:r>
      <w:r>
        <w:rPr>
          <w:rFonts w:hint="eastAsia" w:ascii="宋体" w:hAnsi="宋体"/>
          <w:b/>
          <w:color w:val="auto"/>
          <w:sz w:val="24"/>
        </w:rPr>
        <w:t>开标地点:</w:t>
      </w:r>
      <w:r>
        <w:rPr>
          <w:rFonts w:hint="eastAsia" w:ascii="宋体" w:hAnsi="宋体"/>
          <w:color w:val="auto"/>
          <w:sz w:val="24"/>
        </w:rPr>
        <w:t>广州医科大学附属番禺中心医院门诊楼</w:t>
      </w:r>
      <w:r>
        <w:rPr>
          <w:rFonts w:ascii="宋体" w:hAnsi="宋体"/>
          <w:color w:val="auto"/>
          <w:sz w:val="24"/>
        </w:rPr>
        <w:t>4楼</w:t>
      </w:r>
      <w:r>
        <w:rPr>
          <w:rFonts w:hint="eastAsia" w:ascii="宋体" w:hAnsi="宋体"/>
          <w:color w:val="auto"/>
          <w:sz w:val="24"/>
          <w:lang w:val="en-US" w:eastAsia="zh-CN"/>
        </w:rPr>
        <w:t>404会议室</w:t>
      </w:r>
    </w:p>
    <w:p w14:paraId="3564A5D0">
      <w:pPr>
        <w:widowControl/>
        <w:spacing w:line="460" w:lineRule="exact"/>
        <w:ind w:left="560"/>
        <w:rPr>
          <w:rFonts w:ascii="宋体" w:hAnsi="宋体"/>
          <w:b/>
          <w:color w:val="auto"/>
          <w:sz w:val="24"/>
        </w:rPr>
      </w:pPr>
      <w:r>
        <w:rPr>
          <w:rFonts w:hint="eastAsia" w:ascii="宋体" w:hAnsi="宋体"/>
          <w:b/>
          <w:color w:val="auto"/>
          <w:sz w:val="24"/>
        </w:rPr>
        <w:t>五、采购信息发布及结果公告</w:t>
      </w:r>
    </w:p>
    <w:p w14:paraId="00F09CBC">
      <w:pPr>
        <w:spacing w:line="460" w:lineRule="exact"/>
        <w:ind w:left="569"/>
        <w:rPr>
          <w:rFonts w:ascii="宋体" w:hAnsi="宋体"/>
          <w:sz w:val="24"/>
        </w:rPr>
      </w:pPr>
      <w:r>
        <w:rPr>
          <w:rFonts w:hint="eastAsia" w:ascii="宋体" w:hAnsi="宋体"/>
          <w:sz w:val="24"/>
        </w:rPr>
        <w:t>采用</w:t>
      </w:r>
      <w:r>
        <w:rPr>
          <w:rFonts w:hint="eastAsia" w:ascii="宋体" w:hAnsi="宋体"/>
          <w:sz w:val="24"/>
          <w:lang w:val="en-US" w:eastAsia="zh-CN"/>
        </w:rPr>
        <w:t>公告</w:t>
      </w:r>
      <w:r>
        <w:rPr>
          <w:rFonts w:hint="eastAsia" w:ascii="宋体" w:hAnsi="宋体"/>
          <w:sz w:val="24"/>
        </w:rPr>
        <w:t>询比的方式进行，成交结果通过邮件形式告知。</w:t>
      </w:r>
    </w:p>
    <w:p w14:paraId="41D21C9A">
      <w:pPr>
        <w:spacing w:line="460" w:lineRule="exact"/>
        <w:ind w:left="569"/>
        <w:rPr>
          <w:rFonts w:ascii="宋体" w:hAnsi="宋体"/>
          <w:sz w:val="24"/>
        </w:rPr>
      </w:pPr>
      <w:r>
        <w:rPr>
          <w:rFonts w:hint="eastAsia" w:ascii="宋体" w:hAnsi="宋体"/>
          <w:sz w:val="24"/>
        </w:rPr>
        <w:t>采购人邮箱：p</w:t>
      </w:r>
      <w:r>
        <w:rPr>
          <w:rFonts w:ascii="宋体" w:hAnsi="宋体"/>
          <w:sz w:val="24"/>
        </w:rPr>
        <w:t>y_zcb@163.com</w:t>
      </w:r>
    </w:p>
    <w:p w14:paraId="334DE47B">
      <w:pPr>
        <w:widowControl/>
        <w:spacing w:line="460" w:lineRule="exact"/>
        <w:ind w:left="560"/>
        <w:rPr>
          <w:rFonts w:ascii="宋体" w:hAnsi="宋体"/>
          <w:b/>
          <w:sz w:val="24"/>
        </w:rPr>
      </w:pPr>
      <w:r>
        <w:rPr>
          <w:rFonts w:hint="eastAsia" w:ascii="宋体" w:hAnsi="宋体"/>
          <w:b/>
          <w:sz w:val="24"/>
        </w:rPr>
        <w:t>六、采购人的名称、地址和联系方式</w:t>
      </w:r>
    </w:p>
    <w:p w14:paraId="3F9591B4">
      <w:pPr>
        <w:spacing w:line="460" w:lineRule="exact"/>
        <w:ind w:left="539" w:leftChars="257"/>
        <w:rPr>
          <w:rFonts w:hint="eastAsia" w:ascii="宋体" w:hAnsi="宋体" w:eastAsia="宋体"/>
          <w:sz w:val="24"/>
          <w:lang w:eastAsia="zh-CN"/>
        </w:rPr>
      </w:pPr>
      <w:r>
        <w:rPr>
          <w:rFonts w:hint="eastAsia" w:ascii="宋体" w:hAnsi="宋体"/>
          <w:sz w:val="24"/>
        </w:rPr>
        <w:t>采购人名称</w:t>
      </w:r>
      <w:r>
        <w:rPr>
          <w:rFonts w:hint="eastAsia" w:ascii="宋体" w:hAnsi="宋体" w:cs="Tahoma"/>
          <w:sz w:val="24"/>
        </w:rPr>
        <w:t>：</w:t>
      </w:r>
      <w:r>
        <w:rPr>
          <w:rFonts w:hint="eastAsia" w:ascii="宋体" w:hAnsi="宋体"/>
          <w:sz w:val="24"/>
          <w:lang w:eastAsia="zh-CN"/>
        </w:rPr>
        <w:t>广州市番禺区第七人民医院</w:t>
      </w:r>
    </w:p>
    <w:p w14:paraId="70FF8EB2">
      <w:pPr>
        <w:spacing w:line="460" w:lineRule="exact"/>
        <w:ind w:left="539" w:leftChars="257"/>
        <w:rPr>
          <w:rFonts w:hint="default" w:ascii="宋体" w:hAnsi="宋体" w:eastAsia="宋体" w:cs="Tahoma"/>
          <w:sz w:val="24"/>
          <w:lang w:val="en-US" w:eastAsia="zh-CN"/>
        </w:rPr>
      </w:pPr>
      <w:r>
        <w:rPr>
          <w:rFonts w:hint="eastAsia" w:ascii="宋体" w:hAnsi="宋体"/>
          <w:sz w:val="24"/>
        </w:rPr>
        <w:t>采购人地址</w:t>
      </w:r>
      <w:r>
        <w:rPr>
          <w:rFonts w:hint="eastAsia" w:ascii="宋体" w:hAnsi="宋体" w:cs="Tahoma"/>
          <w:sz w:val="24"/>
        </w:rPr>
        <w:t>：广州市番禺区</w:t>
      </w:r>
      <w:r>
        <w:rPr>
          <w:rFonts w:hint="eastAsia" w:ascii="宋体" w:hAnsi="宋体" w:cs="Tahoma"/>
          <w:sz w:val="24"/>
          <w:lang w:val="en-US" w:eastAsia="zh-CN"/>
        </w:rPr>
        <w:t>人民路149号</w:t>
      </w:r>
    </w:p>
    <w:p w14:paraId="4EDEF916">
      <w:pPr>
        <w:spacing w:line="460" w:lineRule="exact"/>
        <w:ind w:left="539" w:leftChars="257"/>
        <w:rPr>
          <w:rFonts w:ascii="宋体" w:hAnsi="宋体"/>
          <w:sz w:val="24"/>
        </w:rPr>
      </w:pPr>
      <w:r>
        <w:rPr>
          <w:rFonts w:hint="eastAsia" w:ascii="宋体" w:hAnsi="宋体"/>
          <w:sz w:val="24"/>
        </w:rPr>
        <w:t>联系人：</w:t>
      </w:r>
      <w:r>
        <w:rPr>
          <w:rFonts w:hint="eastAsia" w:ascii="宋体" w:hAnsi="宋体"/>
          <w:sz w:val="24"/>
          <w:lang w:val="en-US" w:eastAsia="zh-CN"/>
        </w:rPr>
        <w:t>黄小姐</w:t>
      </w:r>
      <w:r>
        <w:rPr>
          <w:rFonts w:hint="eastAsia" w:ascii="宋体" w:hAnsi="宋体"/>
          <w:sz w:val="24"/>
        </w:rPr>
        <w:t xml:space="preserve">  联系电话：020-34858</w:t>
      </w:r>
      <w:r>
        <w:rPr>
          <w:rFonts w:ascii="宋体" w:hAnsi="宋体"/>
          <w:sz w:val="24"/>
        </w:rPr>
        <w:t>891</w:t>
      </w:r>
    </w:p>
    <w:p w14:paraId="44AA6DB1">
      <w:pPr>
        <w:pStyle w:val="5"/>
      </w:pPr>
    </w:p>
    <w:p w14:paraId="4AA086AF">
      <w:pPr>
        <w:pStyle w:val="5"/>
      </w:pPr>
    </w:p>
    <w:p w14:paraId="25C1A61E">
      <w:pPr>
        <w:pStyle w:val="5"/>
      </w:pPr>
    </w:p>
    <w:p w14:paraId="61073947">
      <w:pPr>
        <w:pStyle w:val="5"/>
      </w:pPr>
    </w:p>
    <w:p w14:paraId="597EF03D">
      <w:pPr>
        <w:pStyle w:val="5"/>
      </w:pPr>
    </w:p>
    <w:p w14:paraId="60AA3F64">
      <w:pPr>
        <w:pStyle w:val="5"/>
      </w:pPr>
    </w:p>
    <w:p w14:paraId="33B78924">
      <w:pPr>
        <w:pStyle w:val="5"/>
      </w:pPr>
    </w:p>
    <w:p w14:paraId="2D9EDF87">
      <w:pPr>
        <w:pStyle w:val="5"/>
      </w:pPr>
    </w:p>
    <w:p w14:paraId="6C09900A">
      <w:pPr>
        <w:pStyle w:val="5"/>
      </w:pPr>
    </w:p>
    <w:p w14:paraId="4A1C9896">
      <w:pPr>
        <w:pStyle w:val="5"/>
      </w:pPr>
    </w:p>
    <w:p w14:paraId="1548043B">
      <w:pPr>
        <w:pStyle w:val="5"/>
      </w:pPr>
    </w:p>
    <w:p w14:paraId="0B363250">
      <w:pPr>
        <w:pStyle w:val="5"/>
      </w:pPr>
    </w:p>
    <w:p w14:paraId="0F471D7B">
      <w:pPr>
        <w:pStyle w:val="5"/>
      </w:pPr>
    </w:p>
    <w:p w14:paraId="2A818480">
      <w:pPr>
        <w:pStyle w:val="5"/>
      </w:pPr>
    </w:p>
    <w:p w14:paraId="40A9FFEE">
      <w:pPr>
        <w:pStyle w:val="5"/>
      </w:pPr>
    </w:p>
    <w:p w14:paraId="5A830C6B">
      <w:pPr>
        <w:pStyle w:val="5"/>
      </w:pPr>
    </w:p>
    <w:p w14:paraId="73EE53F2">
      <w:pPr>
        <w:pStyle w:val="5"/>
      </w:pPr>
    </w:p>
    <w:p w14:paraId="6CFAA7D1">
      <w:pPr>
        <w:pStyle w:val="5"/>
        <w:ind w:firstLine="0"/>
      </w:pPr>
    </w:p>
    <w:p w14:paraId="07975953">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第二部分</w:t>
      </w:r>
      <w:r>
        <w:rPr>
          <w:rFonts w:hint="eastAsia" w:cs="宋体" w:asciiTheme="minorEastAsia" w:hAnsiTheme="minorEastAsia" w:eastAsiaTheme="minorEastAsia"/>
          <w:b/>
          <w:sz w:val="44"/>
          <w:szCs w:val="44"/>
        </w:rPr>
        <w:t xml:space="preserve"> </w:t>
      </w:r>
      <w:r>
        <w:rPr>
          <w:rFonts w:hint="eastAsia" w:asciiTheme="minorEastAsia" w:hAnsiTheme="minorEastAsia" w:eastAsiaTheme="minorEastAsia"/>
          <w:b/>
          <w:sz w:val="32"/>
        </w:rPr>
        <w:t>供应商须知</w:t>
      </w:r>
    </w:p>
    <w:p w14:paraId="5B36AA5E">
      <w:pPr>
        <w:pStyle w:val="5"/>
      </w:pPr>
    </w:p>
    <w:p w14:paraId="724379E9">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一、响应文件的构成</w:t>
      </w:r>
    </w:p>
    <w:p w14:paraId="1FC94D27">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（一）响应文件须按照第六部分的要求分别单独装订成册。</w:t>
      </w:r>
    </w:p>
    <w:p w14:paraId="4BD9887A">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（二）响应文件应装订牢固不可拆卸（如：胶订），如因装订不牢固导致的任何损失由响应供应商承担。</w:t>
      </w:r>
    </w:p>
    <w:p w14:paraId="2F32413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（三）响应文件数量：正本1份，副本</w:t>
      </w:r>
      <w:r>
        <w:rPr>
          <w:rFonts w:asciiTheme="minorEastAsia" w:hAnsiTheme="minorEastAsia" w:eastAsiaTheme="minorEastAsia"/>
          <w:sz w:val="24"/>
        </w:rPr>
        <w:t>3</w:t>
      </w:r>
      <w:r>
        <w:rPr>
          <w:rFonts w:hint="eastAsia" w:asciiTheme="minorEastAsia" w:hAnsiTheme="minorEastAsia" w:eastAsiaTheme="minorEastAsia"/>
          <w:sz w:val="24"/>
        </w:rPr>
        <w:t>份。</w:t>
      </w:r>
    </w:p>
    <w:p w14:paraId="1631C0D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（四）所有纸质响应文件（除特殊规格的图纸等外）应按A4规格制作；采用双面打印或复印。</w:t>
      </w:r>
    </w:p>
    <w:p w14:paraId="474DD34F">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二、响应文件的编写</w:t>
      </w:r>
    </w:p>
    <w:p w14:paraId="2B7DCAE7">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★（一）响应供应商不得将项目内容拆开响应，否则其报价将被视为非实质性响应。</w:t>
      </w:r>
    </w:p>
    <w:p w14:paraId="7FBA7213">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供应商应按询比文件的规定及附件要求的内容和格式完整地填写和提供资料。响应供应商必须对响应文件所提供的全部资料的真实性承担法律责任，并无条件接受采购人对其中任何资料进行核实（核对原件）的要求。采购人核对发现有不一致或供应商无正当理由不按时提供原件的，按成交无效处理。</w:t>
      </w:r>
    </w:p>
    <w:p w14:paraId="0D53DB0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（三）询比文件中，凡标有“★”的地方均为须实质响应条款，响应供应商若有一项带“★”的条款未响应或不满足，将按无效响应处理。</w:t>
      </w:r>
    </w:p>
    <w:p w14:paraId="364D73C0">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★（四）响应供应商须对询比文件的对应要求给予唯一的实质性响应，否则将视为不响应。</w:t>
      </w:r>
    </w:p>
    <w:p w14:paraId="6A75FC37">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（五）除在询比文件另有规定外，计量单位应使用中华人民共和国法定计量单位，以人民币填报所有报价。</w:t>
      </w:r>
    </w:p>
    <w:p w14:paraId="4B9A0473">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三、响应文件的标记和密封</w:t>
      </w:r>
    </w:p>
    <w:p w14:paraId="3981B07E">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（一）响应文件的任何涂改或修正，必须由响应供应商代表签字确认。</w:t>
      </w:r>
    </w:p>
    <w:p w14:paraId="680B529B">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（二）响应文件封面标明“正本”或“副本”，并盖章。副本可采用正本的复印件，一旦正本与副本不符，以正本为准。</w:t>
      </w:r>
    </w:p>
    <w:p w14:paraId="6F18BF70">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（三）正本、副本单独封装。封套表面标明“正本”或“副本”字样，在每一封套上按以下顺序标明如下字样：</w:t>
      </w:r>
    </w:p>
    <w:tbl>
      <w:tblPr>
        <w:tblStyle w:val="37"/>
        <w:tblW w:w="0" w:type="auto"/>
        <w:jc w:val="center"/>
        <w:shd w:val="clear" w:color="auto" w:fill="E6E6E6"/>
        <w:tblLayout w:type="fixed"/>
        <w:tblCellMar>
          <w:top w:w="0" w:type="dxa"/>
          <w:left w:w="108" w:type="dxa"/>
          <w:bottom w:w="0" w:type="dxa"/>
          <w:right w:w="108" w:type="dxa"/>
        </w:tblCellMar>
      </w:tblPr>
      <w:tblGrid>
        <w:gridCol w:w="7160"/>
      </w:tblGrid>
      <w:tr w14:paraId="01CBC436">
        <w:tblPrEx>
          <w:shd w:val="clear" w:color="auto" w:fill="E6E6E6"/>
          <w:tblCellMar>
            <w:top w:w="0" w:type="dxa"/>
            <w:left w:w="108" w:type="dxa"/>
            <w:bottom w:w="0" w:type="dxa"/>
            <w:right w:w="108" w:type="dxa"/>
          </w:tblCellMar>
        </w:tblPrEx>
        <w:trPr>
          <w:trHeight w:val="462" w:hRule="atLeast"/>
          <w:jc w:val="center"/>
        </w:trPr>
        <w:tc>
          <w:tcPr>
            <w:tcW w:w="7160" w:type="dxa"/>
            <w:shd w:val="clear" w:color="auto" w:fill="E6E6E6"/>
          </w:tcPr>
          <w:p w14:paraId="64A22722">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收件人：X</w:t>
            </w:r>
            <w:r>
              <w:rPr>
                <w:rFonts w:hint="default" w:asciiTheme="minorEastAsia" w:hAnsiTheme="minorEastAsia" w:eastAsiaTheme="minorEastAsia"/>
                <w:sz w:val="24"/>
              </w:rPr>
              <w:t>XXX</w:t>
            </w:r>
          </w:p>
          <w:p w14:paraId="7AC52B12">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广州市番禺区第七人民医院中央配餐配送服务项目</w:t>
            </w:r>
            <w:r>
              <w:rPr>
                <w:rFonts w:hint="eastAsia" w:asciiTheme="minorEastAsia" w:hAnsiTheme="minorEastAsia" w:eastAsiaTheme="minorEastAsia"/>
                <w:sz w:val="24"/>
                <w:u w:val="single"/>
              </w:rPr>
              <w:t>（询比编号：CG-XBLX-202602-01）</w:t>
            </w:r>
          </w:p>
          <w:p w14:paraId="7D6CD95D">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响应供应商名称：X</w:t>
            </w:r>
            <w:r>
              <w:rPr>
                <w:rFonts w:hint="default" w:asciiTheme="minorEastAsia" w:hAnsiTheme="minorEastAsia" w:eastAsiaTheme="minorEastAsia"/>
                <w:sz w:val="24"/>
              </w:rPr>
              <w:t>XX</w:t>
            </w:r>
          </w:p>
          <w:p w14:paraId="20B0ADA0">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响应供应商地址、联系人、电话及传真号码：</w:t>
            </w:r>
          </w:p>
          <w:p w14:paraId="41B899CA">
            <w:pPr>
              <w:pStyle w:val="5"/>
              <w:keepNext w:val="0"/>
              <w:keepLines w:val="0"/>
              <w:suppressLineNumbers w:val="0"/>
              <w:spacing w:before="0" w:beforeAutospacing="0" w:after="0" w:afterAutospacing="0"/>
              <w:ind w:left="0" w:right="0"/>
              <w:rPr>
                <w:rFonts w:hint="default"/>
              </w:rPr>
            </w:pPr>
            <w:r>
              <w:rPr>
                <w:rFonts w:hint="eastAsia" w:asciiTheme="minorEastAsia" w:hAnsiTheme="minorEastAsia" w:eastAsiaTheme="minorEastAsia"/>
                <w:sz w:val="24"/>
              </w:rPr>
              <w:t>X</w:t>
            </w:r>
            <w:r>
              <w:rPr>
                <w:rFonts w:hint="default" w:asciiTheme="minorEastAsia" w:hAnsiTheme="minorEastAsia" w:eastAsiaTheme="minorEastAsia"/>
                <w:sz w:val="24"/>
              </w:rPr>
              <w:t>XXX</w:t>
            </w:r>
          </w:p>
          <w:p w14:paraId="167786CC">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在规定的开标时间</w:t>
            </w:r>
            <w:r>
              <w:rPr>
                <w:rFonts w:hint="eastAsia" w:asciiTheme="minorEastAsia" w:hAnsiTheme="minorEastAsia" w:eastAsiaTheme="minorEastAsia"/>
                <w:sz w:val="24"/>
                <w:lang w:val="en-US" w:eastAsia="zh-CN"/>
              </w:rPr>
              <w:t>2026年3月13日15时00分</w:t>
            </w:r>
            <w:r>
              <w:rPr>
                <w:rFonts w:hint="eastAsia" w:asciiTheme="minorEastAsia" w:hAnsiTheme="minorEastAsia" w:eastAsiaTheme="minorEastAsia"/>
                <w:sz w:val="24"/>
              </w:rPr>
              <w:t>前不得启封</w:t>
            </w:r>
          </w:p>
        </w:tc>
      </w:tr>
    </w:tbl>
    <w:p w14:paraId="4EF30F6E">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四、响应文件的递交</w:t>
      </w:r>
    </w:p>
    <w:p w14:paraId="3ABBB068">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（一）所有响应文件应在响应截止时间前送达开标地点。</w:t>
      </w:r>
    </w:p>
    <w:p w14:paraId="7FA3A407">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（二）采购人将拒绝以下情况的响应文件：</w:t>
      </w:r>
    </w:p>
    <w:p w14:paraId="6BC44E5F">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未按要求密封的。</w:t>
      </w:r>
    </w:p>
    <w:p w14:paraId="10830A1E">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迟于响应截止时间递交的。</w:t>
      </w:r>
    </w:p>
    <w:p w14:paraId="43FB2C8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采购人不接受邮寄、电报、电话、传真方式响应。</w:t>
      </w:r>
    </w:p>
    <w:p w14:paraId="0B4E7B02">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采购人对因不可抗力事件造成的响应文件的损坏、丢失不承担责任。</w:t>
      </w:r>
    </w:p>
    <w:p w14:paraId="040ABA64">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五、响应文件的修改与撤回</w:t>
      </w:r>
    </w:p>
    <w:p w14:paraId="767D26AB">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（一）在响应截止时间之前，响应供应商可以修改或撤回其响应文件。</w:t>
      </w:r>
    </w:p>
    <w:p w14:paraId="286DA28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（二）在响应截止时间之后，采购人不接受响应供应商对响应文件做任何修改及撤回。</w:t>
      </w:r>
    </w:p>
    <w:p w14:paraId="3C671D13">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六、响应有效期</w:t>
      </w:r>
    </w:p>
    <w:p w14:paraId="2581605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（一）开启响应文件后90天。</w:t>
      </w:r>
    </w:p>
    <w:p w14:paraId="67D00AEE">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特殊情况下，采购人可于响应有效期满之前要求响应供应商同意延长有效期，要求与答复均以书面形式进行。响应供应商可以拒绝上述要求，但其响应将会被拒绝；同意延期的响应供应商其权利与义务相应延至新的截止期。</w:t>
      </w:r>
    </w:p>
    <w:p w14:paraId="2C2B904F">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七、询比文件的解释权</w:t>
      </w:r>
    </w:p>
    <w:p w14:paraId="4C62BCC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本询比文件由</w:t>
      </w:r>
      <w:r>
        <w:rPr>
          <w:rFonts w:hint="eastAsia" w:asciiTheme="minorEastAsia" w:hAnsiTheme="minorEastAsia" w:eastAsiaTheme="minorEastAsia"/>
          <w:sz w:val="24"/>
          <w:lang w:eastAsia="zh-CN"/>
        </w:rPr>
        <w:t>广州市番禺区第七人民医院</w:t>
      </w:r>
      <w:r>
        <w:rPr>
          <w:rFonts w:hint="eastAsia" w:asciiTheme="minorEastAsia" w:hAnsiTheme="minorEastAsia" w:eastAsiaTheme="minorEastAsia"/>
          <w:sz w:val="24"/>
        </w:rPr>
        <w:t>负责解释。</w:t>
      </w:r>
    </w:p>
    <w:p w14:paraId="0D42CEF5">
      <w:pPr>
        <w:spacing w:before="156" w:beforeLines="50" w:line="360" w:lineRule="auto"/>
        <w:ind w:firstLine="480" w:firstLineChars="200"/>
        <w:rPr>
          <w:rFonts w:asciiTheme="minorEastAsia" w:hAnsiTheme="minorEastAsia" w:eastAsiaTheme="minorEastAsia"/>
          <w:sz w:val="24"/>
        </w:rPr>
      </w:pPr>
    </w:p>
    <w:p w14:paraId="3F39DC5C">
      <w:pPr>
        <w:spacing w:line="312" w:lineRule="auto"/>
        <w:ind w:left="1320" w:firstLine="1760" w:firstLineChars="550"/>
        <w:outlineLvl w:val="0"/>
        <w:rPr>
          <w:rFonts w:asciiTheme="minorEastAsia" w:hAnsiTheme="minorEastAsia" w:eastAsiaTheme="minorEastAsia"/>
          <w:b/>
          <w:sz w:val="32"/>
        </w:rPr>
      </w:pPr>
      <w:bookmarkStart w:id="2" w:name="_Toc386099823"/>
      <w:bookmarkStart w:id="3" w:name="_Toc384824324"/>
      <w:bookmarkStart w:id="4" w:name="_Toc31398"/>
      <w:r>
        <w:rPr>
          <w:rFonts w:asciiTheme="minorEastAsia" w:hAnsiTheme="minorEastAsia" w:eastAsiaTheme="minorEastAsia"/>
          <w:b/>
          <w:sz w:val="32"/>
        </w:rPr>
        <w:br w:type="page"/>
      </w:r>
      <w:r>
        <w:rPr>
          <w:rFonts w:hint="eastAsia" w:asciiTheme="minorEastAsia" w:hAnsiTheme="minorEastAsia" w:eastAsiaTheme="minorEastAsia"/>
          <w:b/>
          <w:sz w:val="32"/>
        </w:rPr>
        <w:t>第三部分 用户需求书</w:t>
      </w:r>
      <w:bookmarkEnd w:id="2"/>
      <w:bookmarkEnd w:id="3"/>
      <w:bookmarkEnd w:id="4"/>
    </w:p>
    <w:p w14:paraId="4A880761">
      <w:pPr>
        <w:pStyle w:val="107"/>
        <w:tabs>
          <w:tab w:val="left" w:pos="1290"/>
        </w:tabs>
        <w:spacing w:line="360" w:lineRule="auto"/>
        <w:ind w:firstLine="417" w:firstLineChars="174"/>
        <w:rPr>
          <w:rFonts w:ascii="宋体" w:hAnsi="宋体"/>
          <w:b/>
          <w:sz w:val="24"/>
          <w:szCs w:val="21"/>
        </w:rPr>
      </w:pPr>
      <w:r>
        <w:rPr>
          <w:rFonts w:hint="eastAsia" w:ascii="宋体" w:hAnsi="宋体"/>
          <w:b/>
          <w:sz w:val="24"/>
          <w:szCs w:val="21"/>
        </w:rPr>
        <w:t>一、项目内容：</w:t>
      </w:r>
    </w:p>
    <w:p w14:paraId="2F79F2E1">
      <w:pPr>
        <w:spacing w:line="360" w:lineRule="auto"/>
        <w:ind w:firstLine="480" w:firstLineChars="200"/>
        <w:rPr>
          <w:rFonts w:ascii="宋体" w:hAnsi="宋体"/>
          <w:sz w:val="24"/>
          <w:szCs w:val="21"/>
        </w:rPr>
      </w:pPr>
      <w:r>
        <w:rPr>
          <w:rFonts w:hint="eastAsia" w:ascii="宋体" w:hAnsi="宋体"/>
          <w:sz w:val="24"/>
          <w:szCs w:val="21"/>
        </w:rPr>
        <w:t>现对广州市番禺区第七人民医院饭堂中央配餐配送服务进行</w:t>
      </w:r>
      <w:r>
        <w:rPr>
          <w:rFonts w:ascii="宋体" w:hAnsi="宋体"/>
          <w:sz w:val="24"/>
          <w:szCs w:val="21"/>
        </w:rPr>
        <w:t>采购</w:t>
      </w:r>
      <w:r>
        <w:rPr>
          <w:rFonts w:hint="eastAsia" w:ascii="宋体" w:hAnsi="宋体"/>
          <w:sz w:val="24"/>
          <w:szCs w:val="21"/>
        </w:rPr>
        <w:t>确定一家承包经营商。中标供应商需与广州市番禺区第七人民医院签订合同。</w:t>
      </w:r>
    </w:p>
    <w:p w14:paraId="39A8C04B">
      <w:pPr>
        <w:pStyle w:val="107"/>
        <w:spacing w:line="360" w:lineRule="auto"/>
        <w:ind w:firstLine="482"/>
        <w:rPr>
          <w:rFonts w:ascii="宋体" w:hAnsi="宋体"/>
          <w:b/>
          <w:sz w:val="24"/>
          <w:szCs w:val="21"/>
        </w:rPr>
      </w:pPr>
      <w:r>
        <w:rPr>
          <w:rFonts w:hint="eastAsia" w:ascii="宋体" w:hAnsi="宋体"/>
          <w:b/>
          <w:sz w:val="24"/>
          <w:szCs w:val="21"/>
        </w:rPr>
        <w:t>二、项目概述</w:t>
      </w:r>
    </w:p>
    <w:p w14:paraId="060C6F70">
      <w:pPr>
        <w:spacing w:line="360" w:lineRule="auto"/>
        <w:ind w:firstLine="480" w:firstLineChars="200"/>
        <w:rPr>
          <w:rFonts w:ascii="宋体" w:hAnsi="宋体"/>
          <w:sz w:val="24"/>
          <w:szCs w:val="21"/>
        </w:rPr>
      </w:pPr>
      <w:r>
        <w:rPr>
          <w:rFonts w:hint="eastAsia" w:ascii="宋体" w:hAnsi="宋体"/>
          <w:sz w:val="24"/>
          <w:szCs w:val="21"/>
        </w:rPr>
        <w:t>广州市番禺区第七人民医院开放床位</w:t>
      </w:r>
      <w:r>
        <w:rPr>
          <w:rFonts w:ascii="宋体" w:hAnsi="宋体"/>
          <w:sz w:val="24"/>
          <w:szCs w:val="21"/>
        </w:rPr>
        <w:t>157</w:t>
      </w:r>
      <w:r>
        <w:rPr>
          <w:rFonts w:hint="eastAsia" w:ascii="宋体" w:hAnsi="宋体"/>
          <w:sz w:val="24"/>
          <w:szCs w:val="21"/>
        </w:rPr>
        <w:t>张，日均门诊量约1300人次，日均住院人数约1</w:t>
      </w:r>
      <w:r>
        <w:rPr>
          <w:rFonts w:ascii="宋体" w:hAnsi="宋体"/>
          <w:sz w:val="24"/>
          <w:szCs w:val="21"/>
        </w:rPr>
        <w:t>20</w:t>
      </w:r>
      <w:r>
        <w:rPr>
          <w:rFonts w:hint="eastAsia" w:ascii="宋体" w:hAnsi="宋体"/>
          <w:sz w:val="24"/>
          <w:szCs w:val="21"/>
        </w:rPr>
        <w:t>人，就餐量约</w:t>
      </w:r>
      <w:r>
        <w:rPr>
          <w:rFonts w:ascii="宋体" w:hAnsi="宋体"/>
          <w:sz w:val="24"/>
          <w:szCs w:val="21"/>
        </w:rPr>
        <w:t>190</w:t>
      </w:r>
      <w:r>
        <w:rPr>
          <w:rFonts w:hint="eastAsia" w:ascii="宋体" w:hAnsi="宋体"/>
          <w:sz w:val="24"/>
          <w:szCs w:val="21"/>
        </w:rPr>
        <w:t>人次/天，服务对象为住院患者及家属、医院员工、院内第三方工作人员及其他人员等，供餐类别主要为住院患者营养餐、工作人员工作餐等。</w:t>
      </w:r>
    </w:p>
    <w:p w14:paraId="40795040">
      <w:pPr>
        <w:pStyle w:val="107"/>
        <w:numPr>
          <w:ilvl w:val="0"/>
          <w:numId w:val="3"/>
        </w:numPr>
        <w:spacing w:line="360" w:lineRule="auto"/>
        <w:ind w:firstLineChars="0"/>
        <w:rPr>
          <w:rFonts w:ascii="宋体" w:hAnsi="宋体"/>
          <w:sz w:val="24"/>
          <w:szCs w:val="21"/>
        </w:rPr>
      </w:pPr>
      <w:r>
        <w:rPr>
          <w:rFonts w:hint="eastAsia" w:ascii="宋体" w:hAnsi="宋体"/>
          <w:sz w:val="24"/>
          <w:szCs w:val="21"/>
        </w:rPr>
        <w:t>项目名称：广州市番禺区第七人民医院饭堂中央配餐配送服务采购项目</w:t>
      </w:r>
    </w:p>
    <w:p w14:paraId="2FA57AAA">
      <w:pPr>
        <w:pStyle w:val="107"/>
        <w:numPr>
          <w:ilvl w:val="0"/>
          <w:numId w:val="3"/>
        </w:numPr>
        <w:spacing w:line="360" w:lineRule="auto"/>
        <w:ind w:firstLineChars="0"/>
        <w:rPr>
          <w:rFonts w:ascii="宋体" w:hAnsi="宋体"/>
          <w:sz w:val="24"/>
          <w:szCs w:val="21"/>
        </w:rPr>
      </w:pPr>
      <w:r>
        <w:rPr>
          <w:rFonts w:hint="eastAsia" w:ascii="宋体" w:hAnsi="宋体"/>
          <w:sz w:val="24"/>
          <w:szCs w:val="21"/>
        </w:rPr>
        <w:t>服务范围：为广州市番禺区第七人民医院员工及病患提供中央配餐及配送服务。</w:t>
      </w:r>
    </w:p>
    <w:p w14:paraId="3068BBF3">
      <w:pPr>
        <w:pStyle w:val="107"/>
        <w:numPr>
          <w:ilvl w:val="0"/>
          <w:numId w:val="3"/>
        </w:numPr>
        <w:spacing w:line="360" w:lineRule="auto"/>
        <w:ind w:firstLineChars="0"/>
        <w:rPr>
          <w:rFonts w:ascii="宋体" w:hAnsi="宋体"/>
          <w:sz w:val="24"/>
          <w:szCs w:val="21"/>
          <w:highlight w:val="none"/>
        </w:rPr>
      </w:pPr>
      <w:r>
        <w:rPr>
          <w:rFonts w:hint="eastAsia" w:ascii="宋体" w:hAnsi="宋体"/>
          <w:sz w:val="24"/>
          <w:szCs w:val="21"/>
        </w:rPr>
        <w:t>服务期限：一年，</w:t>
      </w:r>
      <w:r>
        <w:rPr>
          <w:rFonts w:hint="eastAsia" w:ascii="宋体" w:hAnsi="宋体"/>
          <w:bCs/>
          <w:spacing w:val="-2"/>
          <w:sz w:val="24"/>
          <w:szCs w:val="21"/>
        </w:rPr>
        <w:t>合同期</w:t>
      </w:r>
      <w:r>
        <w:rPr>
          <w:rFonts w:hint="default" w:ascii="宋体" w:hAnsi="宋体"/>
          <w:bCs/>
          <w:spacing w:val="-2"/>
          <w:sz w:val="24"/>
          <w:szCs w:val="21"/>
        </w:rPr>
        <w:t>满</w:t>
      </w:r>
      <w:r>
        <w:rPr>
          <w:rFonts w:hint="eastAsia" w:ascii="宋体" w:hAnsi="宋体"/>
          <w:bCs/>
          <w:spacing w:val="-2"/>
          <w:sz w:val="24"/>
          <w:szCs w:val="21"/>
        </w:rPr>
        <w:t>或合同金额使用完毕则</w:t>
      </w:r>
      <w:r>
        <w:rPr>
          <w:rFonts w:hint="eastAsia" w:ascii="宋体" w:hAnsi="宋体"/>
          <w:bCs/>
          <w:spacing w:val="-2"/>
          <w:sz w:val="24"/>
          <w:szCs w:val="21"/>
          <w:highlight w:val="none"/>
        </w:rPr>
        <w:t>合同结束</w:t>
      </w:r>
      <w:r>
        <w:rPr>
          <w:rFonts w:hint="eastAsia" w:ascii="宋体" w:hAnsi="宋体"/>
          <w:sz w:val="24"/>
          <w:szCs w:val="21"/>
          <w:highlight w:val="none"/>
        </w:rPr>
        <w:t>。合同金额为预算金额</w:t>
      </w:r>
      <w:r>
        <w:rPr>
          <w:rFonts w:hint="eastAsia" w:ascii="宋体" w:hAnsi="宋体"/>
          <w:sz w:val="24"/>
          <w:szCs w:val="21"/>
          <w:highlight w:val="none"/>
          <w:lang w:eastAsia="zh-CN"/>
        </w:rPr>
        <w:t>。</w:t>
      </w:r>
    </w:p>
    <w:p w14:paraId="41BDFB43">
      <w:pPr>
        <w:pStyle w:val="107"/>
        <w:numPr>
          <w:ilvl w:val="0"/>
          <w:numId w:val="3"/>
        </w:numPr>
        <w:spacing w:line="360" w:lineRule="auto"/>
        <w:ind w:firstLineChars="0"/>
        <w:rPr>
          <w:rFonts w:ascii="宋体" w:hAnsi="宋体"/>
          <w:sz w:val="24"/>
          <w:szCs w:val="21"/>
          <w:highlight w:val="none"/>
        </w:rPr>
      </w:pPr>
      <w:r>
        <w:rPr>
          <w:rFonts w:hint="eastAsia" w:ascii="宋体" w:hAnsi="宋体"/>
          <w:sz w:val="24"/>
          <w:szCs w:val="21"/>
          <w:highlight w:val="none"/>
        </w:rPr>
        <w:t>项目预算：</w:t>
      </w:r>
      <w:r>
        <w:rPr>
          <w:rFonts w:ascii="宋体" w:hAnsi="宋体"/>
          <w:sz w:val="24"/>
          <w:szCs w:val="21"/>
          <w:highlight w:val="none"/>
        </w:rPr>
        <w:t>96</w:t>
      </w:r>
      <w:r>
        <w:rPr>
          <w:rFonts w:hint="eastAsia" w:ascii="宋体" w:hAnsi="宋体"/>
          <w:sz w:val="24"/>
          <w:szCs w:val="21"/>
          <w:highlight w:val="none"/>
        </w:rPr>
        <w:t>万元。</w:t>
      </w:r>
    </w:p>
    <w:p w14:paraId="21837F75">
      <w:pPr>
        <w:pStyle w:val="107"/>
        <w:numPr>
          <w:ilvl w:val="0"/>
          <w:numId w:val="3"/>
        </w:numPr>
        <w:spacing w:line="360" w:lineRule="auto"/>
        <w:ind w:firstLineChars="0"/>
        <w:rPr>
          <w:rFonts w:ascii="宋体" w:hAnsi="宋体"/>
          <w:sz w:val="24"/>
          <w:szCs w:val="21"/>
          <w:highlight w:val="none"/>
        </w:rPr>
      </w:pPr>
      <w:r>
        <w:rPr>
          <w:rFonts w:hint="eastAsia" w:ascii="宋体" w:hAnsi="宋体"/>
          <w:sz w:val="24"/>
          <w:szCs w:val="21"/>
          <w:highlight w:val="none"/>
        </w:rPr>
        <w:t>★供应商在履约过程中，不得存在转包、分包或挂靠经营行为，一经发现属违约行为，</w:t>
      </w:r>
      <w:r>
        <w:rPr>
          <w:rFonts w:hint="default" w:ascii="宋体" w:hAnsi="宋体"/>
          <w:sz w:val="24"/>
          <w:szCs w:val="21"/>
          <w:highlight w:val="none"/>
        </w:rPr>
        <w:t>采购人有权直接</w:t>
      </w:r>
      <w:r>
        <w:rPr>
          <w:rFonts w:hint="eastAsia" w:ascii="宋体" w:hAnsi="宋体"/>
          <w:sz w:val="24"/>
          <w:szCs w:val="21"/>
          <w:highlight w:val="none"/>
        </w:rPr>
        <w:t>解除合同并责令限期退出；因供应商违约行为而解除合同，不予退还</w:t>
      </w:r>
      <w:r>
        <w:rPr>
          <w:rFonts w:hint="eastAsia" w:ascii="宋体" w:hAnsi="宋体"/>
          <w:sz w:val="24"/>
          <w:szCs w:val="21"/>
          <w:highlight w:val="none"/>
          <w:lang w:val="en-US" w:eastAsia="zh-CN"/>
        </w:rPr>
        <w:t>履约保证金</w:t>
      </w:r>
      <w:r>
        <w:rPr>
          <w:rFonts w:hint="eastAsia" w:ascii="宋体" w:hAnsi="宋体"/>
          <w:sz w:val="24"/>
          <w:szCs w:val="21"/>
          <w:highlight w:val="none"/>
        </w:rPr>
        <w:t>，同时对供应商已发生的投入，采购人不作任何赔付。</w:t>
      </w:r>
    </w:p>
    <w:p w14:paraId="3F51E031">
      <w:pPr>
        <w:pStyle w:val="107"/>
        <w:numPr>
          <w:ilvl w:val="0"/>
          <w:numId w:val="3"/>
        </w:numPr>
        <w:spacing w:line="360" w:lineRule="auto"/>
        <w:ind w:firstLineChars="0"/>
        <w:rPr>
          <w:rFonts w:ascii="宋体" w:hAnsi="宋体"/>
          <w:sz w:val="24"/>
          <w:szCs w:val="21"/>
        </w:rPr>
      </w:pPr>
      <w:r>
        <w:rPr>
          <w:rFonts w:hint="eastAsia" w:ascii="宋体" w:hAnsi="宋体"/>
          <w:sz w:val="24"/>
          <w:szCs w:val="21"/>
          <w:highlight w:val="none"/>
        </w:rPr>
        <w:t>供应商熟悉了解综合性二甲医院餐饮服务的规律，认知</w:t>
      </w:r>
      <w:r>
        <w:rPr>
          <w:rFonts w:hint="eastAsia" w:ascii="宋体" w:hAnsi="宋体"/>
          <w:sz w:val="24"/>
          <w:szCs w:val="21"/>
        </w:rPr>
        <w:t>公益性公立医院餐饮服务的公益性、保障性、时效性、不确定性等特征，注重社会效益，履行保障、健康、营养辅助的职责。供应商具备完善的管理制度和丰富的餐饮管理经验，诚信度高，安全意识强，管理团队稳定。</w:t>
      </w:r>
    </w:p>
    <w:p w14:paraId="4E4EF1B0">
      <w:pPr>
        <w:spacing w:line="360" w:lineRule="auto"/>
        <w:ind w:firstLine="480" w:firstLineChars="200"/>
        <w:rPr>
          <w:rFonts w:ascii="宋体" w:hAnsi="宋体"/>
          <w:b/>
          <w:sz w:val="24"/>
          <w:szCs w:val="21"/>
        </w:rPr>
      </w:pPr>
      <w:r>
        <w:rPr>
          <w:rFonts w:hint="eastAsia" w:ascii="宋体" w:hAnsi="宋体"/>
          <w:b/>
          <w:sz w:val="24"/>
          <w:szCs w:val="21"/>
        </w:rPr>
        <w:t>三、技术要求</w:t>
      </w:r>
    </w:p>
    <w:p w14:paraId="44D2AC91">
      <w:pPr>
        <w:spacing w:line="360" w:lineRule="auto"/>
        <w:rPr>
          <w:rFonts w:ascii="宋体" w:hAnsi="宋体"/>
          <w:b/>
          <w:sz w:val="24"/>
          <w:szCs w:val="21"/>
        </w:rPr>
      </w:pPr>
      <w:r>
        <w:rPr>
          <w:rFonts w:hint="eastAsia" w:ascii="宋体" w:hAnsi="宋体"/>
          <w:b/>
          <w:sz w:val="24"/>
          <w:szCs w:val="21"/>
        </w:rPr>
        <w:t>(一</w:t>
      </w:r>
      <w:r>
        <w:rPr>
          <w:rFonts w:ascii="宋体" w:hAnsi="宋体"/>
          <w:b/>
          <w:sz w:val="24"/>
          <w:szCs w:val="21"/>
        </w:rPr>
        <w:t>)</w:t>
      </w:r>
      <w:r>
        <w:rPr>
          <w:rFonts w:hint="eastAsia" w:ascii="宋体" w:hAnsi="宋体"/>
          <w:b/>
          <w:sz w:val="24"/>
          <w:szCs w:val="21"/>
        </w:rPr>
        <w:t>基本要求</w:t>
      </w:r>
    </w:p>
    <w:p w14:paraId="680FC7AB">
      <w:pPr>
        <w:spacing w:line="360" w:lineRule="auto"/>
        <w:ind w:firstLine="480" w:firstLineChars="200"/>
        <w:rPr>
          <w:rFonts w:ascii="宋体" w:hAnsi="宋体"/>
          <w:sz w:val="24"/>
          <w:szCs w:val="21"/>
        </w:rPr>
      </w:pPr>
      <w:r>
        <w:rPr>
          <w:rFonts w:hint="eastAsia" w:ascii="宋体" w:hAnsi="宋体"/>
          <w:sz w:val="24"/>
          <w:szCs w:val="21"/>
        </w:rPr>
        <w:t>1.报价要求:供应商必须以套餐为单位进行报价，且要提供完整的套餐清单。供应商根据本用户需求书的要求完成本项目所需的一切服务,报价费用包含但不限于:营养餐设计、食材烹饪、餐品包装、饭餐配送、餐具收拾、餐后卫生、派餐人员管理、售后保障、税金及不可预见费等。</w:t>
      </w:r>
    </w:p>
    <w:p w14:paraId="050328A8">
      <w:pPr>
        <w:spacing w:line="360" w:lineRule="auto"/>
        <w:ind w:firstLine="480" w:firstLineChars="200"/>
        <w:rPr>
          <w:rFonts w:ascii="宋体" w:hAnsi="宋体"/>
          <w:sz w:val="24"/>
          <w:szCs w:val="21"/>
        </w:rPr>
      </w:pPr>
      <w:r>
        <w:rPr>
          <w:rFonts w:hint="eastAsia" w:ascii="宋体" w:hAnsi="宋体"/>
          <w:sz w:val="24"/>
          <w:szCs w:val="21"/>
        </w:rPr>
        <w:t>2.供应商需有完善的视频监控</w:t>
      </w:r>
      <w:r>
        <w:rPr>
          <w:rFonts w:ascii="宋体" w:hAnsi="宋体"/>
          <w:sz w:val="24"/>
          <w:szCs w:val="21"/>
        </w:rPr>
        <w:t>系统，如</w:t>
      </w:r>
      <w:r>
        <w:rPr>
          <w:rFonts w:hint="eastAsia" w:ascii="宋体" w:hAnsi="宋体"/>
          <w:sz w:val="24"/>
          <w:szCs w:val="21"/>
        </w:rPr>
        <w:t>“互联网+明厨亮灶”系统，在食品库房、烹饪间、餐饮具清洗消毒间、留样冰箱等重点场所实现互联网+视频监控全覆盖，主动接受采购人、卫健和市场监管等部门的监督。</w:t>
      </w:r>
    </w:p>
    <w:p w14:paraId="75AEB8E0">
      <w:pPr>
        <w:spacing w:line="360" w:lineRule="auto"/>
        <w:ind w:firstLine="480" w:firstLineChars="200"/>
        <w:rPr>
          <w:rFonts w:ascii="宋体" w:hAnsi="宋体"/>
          <w:sz w:val="24"/>
          <w:szCs w:val="21"/>
        </w:rPr>
      </w:pPr>
      <w:r>
        <w:rPr>
          <w:rFonts w:hint="eastAsia" w:ascii="宋体" w:hAnsi="宋体"/>
          <w:sz w:val="24"/>
          <w:szCs w:val="21"/>
        </w:rPr>
        <w:t>3.供应商具有与制作供应的食品品种、数量相适应的食品原</w:t>
      </w:r>
      <w:r>
        <w:rPr>
          <w:rFonts w:hint="default" w:ascii="宋体" w:hAnsi="宋体"/>
          <w:sz w:val="24"/>
          <w:szCs w:val="21"/>
        </w:rPr>
        <w:t>料</w:t>
      </w:r>
      <w:r>
        <w:rPr>
          <w:rFonts w:hint="eastAsia" w:ascii="宋体" w:hAnsi="宋体"/>
          <w:sz w:val="24"/>
          <w:szCs w:val="21"/>
        </w:rPr>
        <w:t>处理、烹</w:t>
      </w:r>
      <w:r>
        <w:rPr>
          <w:rFonts w:hint="default" w:ascii="宋体" w:hAnsi="宋体"/>
          <w:sz w:val="24"/>
          <w:szCs w:val="21"/>
        </w:rPr>
        <w:t>煮</w:t>
      </w:r>
      <w:r>
        <w:rPr>
          <w:rFonts w:hint="eastAsia" w:ascii="宋体" w:hAnsi="宋体"/>
          <w:sz w:val="24"/>
          <w:szCs w:val="21"/>
        </w:rPr>
        <w:t>、贮存等场所和设施设备，并符合食品安全法律法规规定要求，配备封闭式食品专用运输车辆，供餐能力可满足采购人订餐需求。</w:t>
      </w:r>
    </w:p>
    <w:p w14:paraId="6515AFFF">
      <w:pPr>
        <w:keepNext w:val="0"/>
        <w:keepLines w:val="0"/>
        <w:widowControl w:val="0"/>
        <w:suppressLineNumbers w:val="0"/>
        <w:spacing w:before="0" w:beforeAutospacing="0" w:after="0" w:afterAutospacing="0" w:line="360" w:lineRule="auto"/>
        <w:ind w:left="0" w:right="0" w:firstLine="360" w:firstLineChars="150"/>
        <w:jc w:val="both"/>
        <w:rPr>
          <w:rFonts w:hint="default" w:ascii="宋体" w:hAnsi="宋体"/>
          <w:sz w:val="24"/>
          <w:szCs w:val="21"/>
          <w:highlight w:val="none"/>
        </w:rPr>
      </w:pPr>
      <w:r>
        <w:rPr>
          <w:rFonts w:hint="eastAsia" w:ascii="宋体" w:hAnsi="宋体"/>
          <w:sz w:val="24"/>
          <w:szCs w:val="21"/>
          <w:highlight w:val="none"/>
        </w:rPr>
        <w:t>4.供应商有健全</w:t>
      </w:r>
      <w:r>
        <w:rPr>
          <w:rFonts w:hint="default" w:ascii="宋体" w:hAnsi="宋体"/>
          <w:sz w:val="24"/>
          <w:szCs w:val="21"/>
          <w:highlight w:val="none"/>
        </w:rPr>
        <w:t>服务团队:</w:t>
      </w:r>
    </w:p>
    <w:p w14:paraId="122068B6">
      <w:pPr>
        <w:keepNext w:val="0"/>
        <w:keepLines w:val="0"/>
        <w:widowControl w:val="0"/>
        <w:suppressLineNumbers w:val="0"/>
        <w:spacing w:before="0" w:beforeAutospacing="0" w:after="0" w:afterAutospacing="0" w:line="360" w:lineRule="auto"/>
        <w:ind w:left="0" w:right="0" w:firstLine="360" w:firstLineChars="150"/>
        <w:jc w:val="both"/>
        <w:rPr>
          <w:rFonts w:hint="eastAsia" w:ascii="宋体" w:hAnsi="宋体" w:eastAsia="宋体" w:cs="宋体"/>
          <w:bCs/>
          <w:sz w:val="24"/>
          <w:szCs w:val="24"/>
          <w:highlight w:val="none"/>
          <w:lang w:val="en-US"/>
        </w:rPr>
      </w:pPr>
      <w:r>
        <w:rPr>
          <w:rFonts w:hint="default" w:ascii="宋体" w:hAnsi="宋体"/>
          <w:sz w:val="24"/>
          <w:szCs w:val="21"/>
          <w:highlight w:val="none"/>
        </w:rPr>
        <w:t>(</w:t>
      </w:r>
      <w:r>
        <w:rPr>
          <w:rFonts w:hint="eastAsia" w:ascii="宋体" w:hAnsi="宋体" w:eastAsia="宋体" w:cs="宋体"/>
          <w:bCs/>
          <w:kern w:val="2"/>
          <w:sz w:val="24"/>
          <w:szCs w:val="24"/>
          <w:highlight w:val="none"/>
          <w:lang w:val="en-US" w:eastAsia="zh-CN" w:bidi="ar"/>
        </w:rPr>
        <w:t>1</w:t>
      </w:r>
      <w:r>
        <w:rPr>
          <w:rFonts w:hint="default" w:ascii="宋体" w:hAnsi="宋体" w:cs="宋体"/>
          <w:bCs/>
          <w:kern w:val="2"/>
          <w:sz w:val="24"/>
          <w:szCs w:val="24"/>
          <w:highlight w:val="none"/>
          <w:lang w:eastAsia="zh-CN" w:bidi="ar"/>
        </w:rPr>
        <w:t>)</w:t>
      </w:r>
      <w:r>
        <w:rPr>
          <w:rFonts w:hint="eastAsia" w:ascii="宋体" w:hAnsi="宋体" w:eastAsia="宋体" w:cs="宋体"/>
          <w:bCs/>
          <w:kern w:val="2"/>
          <w:sz w:val="24"/>
          <w:szCs w:val="24"/>
          <w:highlight w:val="none"/>
          <w:lang w:val="en-US" w:eastAsia="zh-CN" w:bidi="ar"/>
        </w:rPr>
        <w:t>项目负责人：要求大专或以上学历，具有餐饮行业或同类项目工作</w:t>
      </w:r>
      <w:r>
        <w:rPr>
          <w:rFonts w:hint="default" w:ascii="宋体" w:hAnsi="宋体" w:cs="宋体"/>
          <w:bCs/>
          <w:kern w:val="2"/>
          <w:sz w:val="24"/>
          <w:szCs w:val="24"/>
          <w:highlight w:val="none"/>
          <w:lang w:eastAsia="zh-CN" w:bidi="ar"/>
        </w:rPr>
        <w:t>3</w:t>
      </w:r>
      <w:r>
        <w:rPr>
          <w:rFonts w:hint="eastAsia" w:ascii="宋体" w:hAnsi="宋体" w:eastAsia="宋体" w:cs="宋体"/>
          <w:bCs/>
          <w:kern w:val="2"/>
          <w:sz w:val="24"/>
          <w:szCs w:val="24"/>
          <w:highlight w:val="none"/>
          <w:lang w:val="en-US" w:eastAsia="zh-CN" w:bidi="ar"/>
        </w:rPr>
        <w:t>年以上管理经验，具有</w:t>
      </w:r>
      <w:r>
        <w:rPr>
          <w:rFonts w:hint="eastAsia" w:ascii="Times New Roman" w:hAnsi="Times New Roman" w:eastAsia="宋体" w:cs="宋体"/>
          <w:kern w:val="2"/>
          <w:sz w:val="24"/>
          <w:szCs w:val="20"/>
          <w:highlight w:val="none"/>
          <w:lang w:val="en-US" w:eastAsia="zh-CN" w:bidi="ar"/>
        </w:rPr>
        <w:t>政府部门颁发的餐饮服务方面的高级食品安全管理员证（或食品安全管理人员考试合格证明）</w:t>
      </w:r>
      <w:r>
        <w:rPr>
          <w:rFonts w:hint="eastAsia" w:ascii="宋体" w:hAnsi="宋体" w:eastAsia="宋体" w:cs="宋体"/>
          <w:bCs/>
          <w:kern w:val="2"/>
          <w:sz w:val="24"/>
          <w:szCs w:val="24"/>
          <w:highlight w:val="none"/>
          <w:lang w:val="en-US" w:eastAsia="zh-CN" w:bidi="ar"/>
        </w:rPr>
        <w:t>，负责全面管理工作。</w:t>
      </w:r>
    </w:p>
    <w:p w14:paraId="7E071065">
      <w:pPr>
        <w:widowControl/>
        <w:spacing w:line="360" w:lineRule="auto"/>
        <w:ind w:firstLine="0" w:firstLineChars="0"/>
        <w:jc w:val="left"/>
        <w:rPr>
          <w:rFonts w:hint="default" w:ascii="宋体" w:hAnsi="宋体" w:eastAsia="宋体" w:cs="宋体"/>
          <w:kern w:val="2"/>
          <w:sz w:val="24"/>
          <w:szCs w:val="24"/>
          <w:highlight w:val="none"/>
          <w:lang w:val="en-US" w:eastAsia="zh-CN" w:bidi="ar"/>
        </w:rPr>
      </w:pPr>
      <w:r>
        <w:rPr>
          <w:rFonts w:hint="default" w:ascii="宋体" w:hAnsi="宋体" w:cs="Times New Roman"/>
          <w:bCs/>
          <w:kern w:val="2"/>
          <w:sz w:val="24"/>
          <w:szCs w:val="24"/>
          <w:highlight w:val="none"/>
          <w:lang w:eastAsia="zh-CN" w:bidi="ar"/>
        </w:rPr>
        <w:t xml:space="preserve">   </w:t>
      </w:r>
      <w:r>
        <w:rPr>
          <w:rFonts w:hint="default" w:ascii="宋体" w:hAnsi="宋体" w:cs="宋体"/>
          <w:bCs/>
          <w:kern w:val="2"/>
          <w:sz w:val="24"/>
          <w:szCs w:val="24"/>
          <w:highlight w:val="none"/>
          <w:lang w:eastAsia="zh-CN" w:bidi="ar"/>
        </w:rPr>
        <w:t>(2</w:t>
      </w:r>
      <w:r>
        <w:rPr>
          <w:rFonts w:hint="default" w:ascii="宋体" w:hAnsi="宋体" w:cs="Times New Roman"/>
          <w:bCs/>
          <w:kern w:val="2"/>
          <w:sz w:val="24"/>
          <w:szCs w:val="24"/>
          <w:highlight w:val="none"/>
          <w:lang w:eastAsia="zh-CN" w:bidi="ar"/>
        </w:rPr>
        <w:t>)</w:t>
      </w:r>
      <w:r>
        <w:rPr>
          <w:rFonts w:hint="eastAsia" w:ascii="宋体" w:hAnsi="宋体" w:eastAsia="宋体" w:cs="Times New Roman"/>
          <w:bCs/>
          <w:kern w:val="2"/>
          <w:sz w:val="24"/>
          <w:szCs w:val="24"/>
          <w:highlight w:val="none"/>
          <w:lang w:val="en-US" w:eastAsia="zh-CN" w:bidi="ar"/>
        </w:rPr>
        <w:t>专职食品安全管理人员：具有</w:t>
      </w:r>
      <w:r>
        <w:rPr>
          <w:rFonts w:hint="eastAsia" w:ascii="Times New Roman" w:hAnsi="Times New Roman" w:eastAsia="宋体" w:cs="Times New Roman"/>
          <w:kern w:val="2"/>
          <w:sz w:val="24"/>
          <w:szCs w:val="20"/>
          <w:highlight w:val="none"/>
          <w:lang w:val="en-US" w:eastAsia="zh-CN" w:bidi="ar"/>
        </w:rPr>
        <w:t>政府部门颁发的餐饮服务方面的高级食品安全管理员证（或食品安全管理人员考试合格证明），</w:t>
      </w:r>
      <w:r>
        <w:rPr>
          <w:rFonts w:hint="eastAsia" w:ascii="宋体" w:hAnsi="宋体" w:eastAsia="宋体" w:cs="Times New Roman"/>
          <w:bCs/>
          <w:kern w:val="2"/>
          <w:sz w:val="24"/>
          <w:szCs w:val="24"/>
          <w:highlight w:val="none"/>
          <w:lang w:val="en-US" w:eastAsia="zh-CN" w:bidi="ar"/>
        </w:rPr>
        <w:t>负责食品安全管理工作。</w:t>
      </w:r>
      <w:r>
        <w:rPr>
          <w:rFonts w:hint="default" w:ascii="宋体" w:hAnsi="宋体" w:eastAsia="宋体" w:cs="宋体"/>
          <w:kern w:val="2"/>
          <w:sz w:val="24"/>
          <w:szCs w:val="24"/>
          <w:highlight w:val="none"/>
          <w:lang w:val="en-US" w:eastAsia="zh-CN" w:bidi="ar"/>
        </w:rPr>
        <w:t xml:space="preserve"> </w:t>
      </w:r>
    </w:p>
    <w:p w14:paraId="7EA672F0">
      <w:pPr>
        <w:widowControl/>
        <w:spacing w:line="360" w:lineRule="auto"/>
        <w:ind w:firstLine="0" w:firstLineChars="0"/>
        <w:jc w:val="left"/>
        <w:rPr>
          <w:rFonts w:hint="default" w:ascii="宋体" w:hAnsi="宋体"/>
          <w:sz w:val="24"/>
          <w:szCs w:val="21"/>
          <w:highlight w:val="none"/>
        </w:rPr>
      </w:pPr>
      <w:r>
        <w:rPr>
          <w:rFonts w:hint="default" w:ascii="宋体" w:hAnsi="宋体" w:cs="宋体"/>
          <w:kern w:val="2"/>
          <w:sz w:val="24"/>
          <w:szCs w:val="24"/>
          <w:highlight w:val="none"/>
          <w:lang w:eastAsia="zh-CN" w:bidi="ar"/>
        </w:rPr>
        <w:t xml:space="preserve">   </w:t>
      </w:r>
      <w:r>
        <w:rPr>
          <w:rFonts w:hint="default" w:ascii="宋体" w:hAnsi="宋体" w:cs="宋体"/>
          <w:bCs/>
          <w:kern w:val="2"/>
          <w:sz w:val="24"/>
          <w:szCs w:val="24"/>
          <w:highlight w:val="none"/>
          <w:lang w:eastAsia="zh-CN" w:bidi="ar"/>
        </w:rPr>
        <w:t>(3</w:t>
      </w:r>
      <w:r>
        <w:rPr>
          <w:rFonts w:hint="default" w:ascii="宋体" w:hAnsi="宋体" w:cs="Times New Roman"/>
          <w:bCs/>
          <w:kern w:val="2"/>
          <w:sz w:val="24"/>
          <w:szCs w:val="24"/>
          <w:highlight w:val="none"/>
          <w:lang w:eastAsia="zh-CN" w:bidi="ar"/>
        </w:rPr>
        <w:t>)</w:t>
      </w:r>
      <w:r>
        <w:rPr>
          <w:rFonts w:hint="eastAsia" w:ascii="宋体" w:hAnsi="宋体" w:eastAsia="宋体" w:cs="Times New Roman"/>
          <w:bCs/>
          <w:kern w:val="2"/>
          <w:sz w:val="24"/>
          <w:szCs w:val="24"/>
          <w:highlight w:val="none"/>
          <w:lang w:val="en-US" w:eastAsia="zh-CN" w:bidi="ar"/>
        </w:rPr>
        <w:t>专职膳食营养管理员：具备国家认可资格的三级或以上公共营养师证书。</w:t>
      </w:r>
    </w:p>
    <w:p w14:paraId="175F3605">
      <w:pPr>
        <w:spacing w:line="360" w:lineRule="auto"/>
        <w:ind w:firstLine="480" w:firstLineChars="200"/>
        <w:rPr>
          <w:rFonts w:ascii="宋体" w:hAnsi="宋体"/>
          <w:sz w:val="24"/>
          <w:szCs w:val="21"/>
          <w:highlight w:val="none"/>
        </w:rPr>
      </w:pPr>
      <w:r>
        <w:rPr>
          <w:rFonts w:hint="eastAsia" w:ascii="宋体" w:hAnsi="宋体"/>
          <w:sz w:val="24"/>
          <w:szCs w:val="21"/>
          <w:highlight w:val="none"/>
        </w:rPr>
        <w:t>5.供应商应按照《食品安全法》《餐饮服务食品安全操作规范》《餐饮服务通用卫生规范》(GB31654-2021)和《集体用餐配送膳食管理规范(DB4401/T259-2024》</w:t>
      </w:r>
      <w:r>
        <w:rPr>
          <w:rFonts w:hint="default" w:ascii="宋体" w:hAnsi="宋体"/>
          <w:sz w:val="24"/>
          <w:szCs w:val="21"/>
          <w:highlight w:val="none"/>
        </w:rPr>
        <w:t>等</w:t>
      </w:r>
      <w:r>
        <w:rPr>
          <w:rFonts w:hint="eastAsia" w:ascii="宋体" w:hAnsi="宋体" w:eastAsia="宋体" w:cs="Times New Roman"/>
          <w:kern w:val="2"/>
          <w:sz w:val="24"/>
          <w:szCs w:val="24"/>
          <w:highlight w:val="none"/>
          <w:lang w:val="en-US" w:eastAsia="zh-CN" w:bidi="ar"/>
        </w:rPr>
        <w:t>国家法律法规及地方规章要求和</w:t>
      </w:r>
      <w:r>
        <w:rPr>
          <w:rFonts w:hint="default" w:ascii="宋体" w:hAnsi="宋体" w:cs="Times New Roman"/>
          <w:kern w:val="2"/>
          <w:sz w:val="24"/>
          <w:szCs w:val="24"/>
          <w:highlight w:val="none"/>
          <w:lang w:eastAsia="zh-CN" w:bidi="ar"/>
        </w:rPr>
        <w:t>采购人</w:t>
      </w:r>
      <w:r>
        <w:rPr>
          <w:rFonts w:hint="eastAsia" w:ascii="宋体" w:hAnsi="宋体" w:eastAsia="宋体" w:cs="Times New Roman"/>
          <w:kern w:val="2"/>
          <w:sz w:val="24"/>
          <w:szCs w:val="24"/>
          <w:highlight w:val="none"/>
          <w:lang w:val="en-US" w:eastAsia="zh-CN" w:bidi="ar"/>
        </w:rPr>
        <w:t>实际</w:t>
      </w:r>
      <w:r>
        <w:rPr>
          <w:rFonts w:hint="default" w:ascii="宋体" w:hAnsi="宋体" w:cs="Times New Roman"/>
          <w:kern w:val="2"/>
          <w:sz w:val="24"/>
          <w:szCs w:val="24"/>
          <w:highlight w:val="none"/>
          <w:lang w:eastAsia="zh-CN" w:bidi="ar"/>
        </w:rPr>
        <w:t>要求</w:t>
      </w:r>
      <w:r>
        <w:rPr>
          <w:rFonts w:hint="eastAsia" w:ascii="宋体" w:hAnsi="宋体"/>
          <w:sz w:val="24"/>
          <w:szCs w:val="21"/>
          <w:highlight w:val="none"/>
        </w:rPr>
        <w:t>执行膳食加工</w:t>
      </w:r>
      <w:r>
        <w:rPr>
          <w:rFonts w:hint="default" w:ascii="宋体" w:hAnsi="宋体"/>
          <w:sz w:val="24"/>
          <w:szCs w:val="21"/>
          <w:highlight w:val="none"/>
        </w:rPr>
        <w:t>和</w:t>
      </w:r>
      <w:r>
        <w:rPr>
          <w:rFonts w:hint="eastAsia" w:ascii="宋体" w:hAnsi="宋体"/>
          <w:sz w:val="24"/>
          <w:szCs w:val="21"/>
          <w:highlight w:val="none"/>
        </w:rPr>
        <w:t>配送操作。若各级部门有更新文件或法律法规要求，则按最新文件要求执行。</w:t>
      </w:r>
    </w:p>
    <w:p w14:paraId="03D17601">
      <w:pPr>
        <w:spacing w:line="360" w:lineRule="auto"/>
        <w:rPr>
          <w:rFonts w:ascii="宋体" w:hAnsi="宋体"/>
          <w:b/>
          <w:bCs/>
          <w:sz w:val="24"/>
          <w:szCs w:val="21"/>
          <w:highlight w:val="none"/>
        </w:rPr>
      </w:pPr>
      <w:r>
        <w:rPr>
          <w:rFonts w:hint="eastAsia" w:ascii="宋体" w:hAnsi="宋体"/>
          <w:b/>
          <w:bCs/>
          <w:sz w:val="24"/>
          <w:szCs w:val="21"/>
          <w:highlight w:val="none"/>
        </w:rPr>
        <w:t>（二）管理要求</w:t>
      </w:r>
    </w:p>
    <w:p w14:paraId="46314387">
      <w:pPr>
        <w:pStyle w:val="107"/>
        <w:numPr>
          <w:ilvl w:val="0"/>
          <w:numId w:val="4"/>
        </w:numPr>
        <w:spacing w:line="360" w:lineRule="auto"/>
        <w:ind w:firstLineChars="0"/>
        <w:rPr>
          <w:rFonts w:ascii="宋体" w:hAnsi="宋体"/>
          <w:sz w:val="24"/>
          <w:szCs w:val="21"/>
          <w:highlight w:val="none"/>
        </w:rPr>
      </w:pPr>
      <w:r>
        <w:rPr>
          <w:rFonts w:hint="eastAsia"/>
          <w:highlight w:val="none"/>
        </w:rPr>
        <w:t xml:space="preserve"> </w:t>
      </w:r>
      <w:r>
        <w:rPr>
          <w:rFonts w:hint="eastAsia" w:ascii="宋体" w:hAnsi="宋体"/>
          <w:sz w:val="24"/>
          <w:szCs w:val="21"/>
          <w:highlight w:val="none"/>
        </w:rPr>
        <w:t>供应商的相关工作人员入职前及每年须进行一次体检并体检合格，持有健康证。工作时间所有工作人员必须规范着装(帽子、口罩、围裙、衣服等)。到采购人指定地方送餐、分餐等服务的工作人员要身份明确、品行端正、身体健康、服务态度诚恳，讲究公共和个人卫生，遵守法规及医院管理制度，要有良好的服务态度并自觉接受监督，不与医院员工及患者家属发生争吵或冲突，如有违规者，采购人有权追究供应商的责任</w:t>
      </w:r>
      <w:r>
        <w:rPr>
          <w:rFonts w:hint="default" w:ascii="宋体" w:hAnsi="宋体"/>
          <w:sz w:val="24"/>
          <w:szCs w:val="21"/>
          <w:highlight w:val="none"/>
        </w:rPr>
        <w:t>。</w:t>
      </w:r>
      <w:r>
        <w:rPr>
          <w:rFonts w:hint="eastAsia" w:ascii="宋体" w:hAnsi="宋体"/>
          <w:sz w:val="24"/>
          <w:szCs w:val="21"/>
          <w:highlight w:val="none"/>
        </w:rPr>
        <w:t>工作人员由供应商自行管理，所有工作人员的工资、社会保险、福利待遇、人员培训、体检、</w:t>
      </w:r>
      <w:r>
        <w:rPr>
          <w:rFonts w:hint="default" w:ascii="宋体" w:hAnsi="宋体"/>
          <w:sz w:val="24"/>
          <w:szCs w:val="21"/>
          <w:highlight w:val="none"/>
        </w:rPr>
        <w:t>伤</w:t>
      </w:r>
      <w:r>
        <w:rPr>
          <w:rFonts w:hint="eastAsia" w:ascii="宋体" w:hAnsi="宋体"/>
          <w:sz w:val="24"/>
          <w:szCs w:val="21"/>
          <w:highlight w:val="none"/>
        </w:rPr>
        <w:t>残疾病等所有费用均由供应商自行承担，采购人不承担任何费用。</w:t>
      </w:r>
    </w:p>
    <w:p w14:paraId="7EB0CED4">
      <w:pPr>
        <w:pStyle w:val="107"/>
        <w:numPr>
          <w:ilvl w:val="0"/>
          <w:numId w:val="4"/>
        </w:numPr>
        <w:spacing w:line="360" w:lineRule="auto"/>
        <w:ind w:firstLineChars="0"/>
        <w:rPr>
          <w:rFonts w:ascii="宋体" w:hAnsi="宋体"/>
          <w:sz w:val="24"/>
          <w:szCs w:val="21"/>
        </w:rPr>
      </w:pPr>
      <w:r>
        <w:rPr>
          <w:rFonts w:ascii="宋体" w:hAnsi="宋体"/>
          <w:sz w:val="24"/>
          <w:szCs w:val="21"/>
          <w:highlight w:val="none"/>
        </w:rPr>
        <w:t>供应商采用的</w:t>
      </w:r>
      <w:r>
        <w:rPr>
          <w:rFonts w:hint="eastAsia" w:ascii="宋体" w:hAnsi="宋体"/>
          <w:sz w:val="24"/>
          <w:szCs w:val="21"/>
          <w:highlight w:val="none"/>
        </w:rPr>
        <w:t>所有主副食品及配料等必须向有营业或生产资质供货商采购，确保食材安全，必须符合《中华人民共和国食品安全法》、《中华人民共和国动物防疫法》、《食品安全国家标准餐饮服务通用卫生规范》（GB 31654-2021）等相关规定，符合卫生标准和营养要求。与供货者签订供货协议，做好采购索证索票、进货查验和采购记录。按</w:t>
      </w:r>
      <w:r>
        <w:rPr>
          <w:rFonts w:hint="default" w:ascii="宋体" w:hAnsi="宋体"/>
          <w:sz w:val="24"/>
          <w:szCs w:val="21"/>
          <w:highlight w:val="none"/>
        </w:rPr>
        <w:t>采购人</w:t>
      </w:r>
      <w:r>
        <w:rPr>
          <w:rFonts w:hint="eastAsia" w:ascii="宋体" w:hAnsi="宋体"/>
          <w:sz w:val="24"/>
          <w:szCs w:val="21"/>
          <w:highlight w:val="none"/>
        </w:rPr>
        <w:t>要求提交供货商清单、相应产品合格证明文件、检测报告</w:t>
      </w:r>
      <w:r>
        <w:rPr>
          <w:rFonts w:hint="eastAsia" w:ascii="宋体" w:hAnsi="宋体"/>
          <w:sz w:val="24"/>
          <w:szCs w:val="21"/>
        </w:rPr>
        <w:t>（含重金属检测项目）等，并配合</w:t>
      </w:r>
      <w:r>
        <w:rPr>
          <w:rFonts w:hint="default" w:ascii="宋体" w:hAnsi="宋体"/>
          <w:sz w:val="24"/>
          <w:szCs w:val="21"/>
        </w:rPr>
        <w:t>采购人</w:t>
      </w:r>
      <w:r>
        <w:rPr>
          <w:rFonts w:hint="eastAsia" w:ascii="宋体" w:hAnsi="宋体"/>
          <w:sz w:val="24"/>
          <w:szCs w:val="21"/>
        </w:rPr>
        <w:t>进行溯源检查。</w:t>
      </w:r>
    </w:p>
    <w:p w14:paraId="0C5D7E46">
      <w:pPr>
        <w:pStyle w:val="107"/>
        <w:numPr>
          <w:ilvl w:val="0"/>
          <w:numId w:val="4"/>
        </w:numPr>
        <w:spacing w:line="360" w:lineRule="auto"/>
        <w:ind w:firstLineChars="0"/>
        <w:rPr>
          <w:rFonts w:ascii="宋体" w:hAnsi="宋体"/>
          <w:sz w:val="24"/>
          <w:szCs w:val="21"/>
        </w:rPr>
      </w:pPr>
      <w:r>
        <w:rPr>
          <w:rFonts w:hint="eastAsia" w:ascii="宋体" w:hAnsi="宋体"/>
          <w:sz w:val="24"/>
          <w:szCs w:val="21"/>
        </w:rPr>
        <w:t>供应商每天须对所购原</w:t>
      </w:r>
      <w:r>
        <w:rPr>
          <w:rFonts w:hint="default" w:ascii="宋体" w:hAnsi="宋体"/>
          <w:sz w:val="24"/>
          <w:szCs w:val="21"/>
        </w:rPr>
        <w:t>料</w:t>
      </w:r>
      <w:r>
        <w:rPr>
          <w:rFonts w:hint="eastAsia" w:ascii="宋体" w:hAnsi="宋体"/>
          <w:sz w:val="24"/>
          <w:szCs w:val="21"/>
        </w:rPr>
        <w:t>按食品卫生监督部门要求做好农药残留检验工作，如发生因食用供应商提供的食品导致食物中毒的事故，供应商应承担一切法律及经济责任。</w:t>
      </w:r>
    </w:p>
    <w:p w14:paraId="2C75BEA0">
      <w:pPr>
        <w:pStyle w:val="107"/>
        <w:numPr>
          <w:ilvl w:val="0"/>
          <w:numId w:val="4"/>
        </w:numPr>
        <w:spacing w:line="360" w:lineRule="auto"/>
        <w:ind w:firstLineChars="0"/>
        <w:rPr>
          <w:rFonts w:ascii="宋体" w:hAnsi="宋体"/>
          <w:sz w:val="24"/>
          <w:szCs w:val="21"/>
        </w:rPr>
      </w:pPr>
      <w:r>
        <w:rPr>
          <w:rFonts w:hint="eastAsia" w:ascii="宋体" w:hAnsi="宋体"/>
          <w:sz w:val="24"/>
          <w:szCs w:val="21"/>
        </w:rPr>
        <w:t>供应商提供的配餐应当符合“安全，卫生，营养，健康”的服务标准。供应商应根据采购人就餐人群特殊性和营养需要制定膳食计划，并根据膳食计划制定每周带量食谱膳食计划和每周食谱应当于正式配餐前报送采购人审核同意，并按食谱规定足额提供配餐。</w:t>
      </w:r>
    </w:p>
    <w:p w14:paraId="1DF74D43">
      <w:pPr>
        <w:pStyle w:val="107"/>
        <w:numPr>
          <w:ilvl w:val="0"/>
          <w:numId w:val="4"/>
        </w:numPr>
        <w:spacing w:line="360" w:lineRule="auto"/>
        <w:ind w:firstLineChars="0"/>
        <w:rPr>
          <w:rFonts w:ascii="宋体" w:hAnsi="宋体"/>
          <w:sz w:val="24"/>
          <w:szCs w:val="21"/>
        </w:rPr>
      </w:pPr>
      <w:r>
        <w:rPr>
          <w:rFonts w:hint="eastAsia" w:ascii="宋体" w:hAnsi="宋体"/>
          <w:sz w:val="24"/>
          <w:szCs w:val="21"/>
        </w:rPr>
        <w:t>供应商建立营养健康管理制度，配备营养健康管理人员，制作各种食品，应注重色、香、味美，做到饭热菜香、新鲜可口足量、营养搭配科学合理。供应商应当保证配餐食品的质量，饭菜必须当天一次性煮熟并保温，不得加工隔餐剩余食品，不得配送冷荤凉菜食品。</w:t>
      </w:r>
    </w:p>
    <w:p w14:paraId="7135C797">
      <w:pPr>
        <w:pStyle w:val="107"/>
        <w:numPr>
          <w:ilvl w:val="0"/>
          <w:numId w:val="4"/>
        </w:numPr>
        <w:spacing w:line="360" w:lineRule="auto"/>
        <w:ind w:firstLineChars="0"/>
        <w:rPr>
          <w:rFonts w:ascii="宋体" w:hAnsi="宋体"/>
          <w:sz w:val="24"/>
          <w:szCs w:val="21"/>
        </w:rPr>
      </w:pPr>
      <w:r>
        <w:rPr>
          <w:rFonts w:hint="eastAsia" w:ascii="宋体" w:hAnsi="宋体"/>
          <w:sz w:val="24"/>
          <w:szCs w:val="21"/>
        </w:rPr>
        <w:t>供应商应具有与制作供应的食品品种、数量相适应的食品原料处理、烹饪、贮存等场所和设施设备，并符合食品安全法律法规规定要求。应当做好食物中毒或者其他食源性疾患，以及因交通、卫生、天气等原因不能按时送达配餐等突发事件的应急预案，确保采购人的员工及病患家属及时得到餐饮供应。</w:t>
      </w:r>
    </w:p>
    <w:p w14:paraId="68B1E8B6">
      <w:pPr>
        <w:pStyle w:val="107"/>
        <w:numPr>
          <w:ilvl w:val="0"/>
          <w:numId w:val="4"/>
        </w:numPr>
        <w:spacing w:line="360" w:lineRule="auto"/>
        <w:ind w:firstLineChars="0"/>
        <w:rPr>
          <w:rFonts w:ascii="宋体" w:hAnsi="宋体"/>
          <w:sz w:val="24"/>
          <w:szCs w:val="21"/>
        </w:rPr>
      </w:pPr>
      <w:r>
        <w:rPr>
          <w:rFonts w:hint="eastAsia" w:ascii="宋体" w:hAnsi="宋体"/>
          <w:sz w:val="24"/>
          <w:szCs w:val="21"/>
        </w:rPr>
        <w:t>供应商内部管理必须严格执行《食品安全法》的各项条款，并接受卫生监督部门的督查，配餐工作人员必须按照《食品安全法》的相关规定进行培训，掌握有关食品卫生的基本要求，并取得有效的健康证明方可上岗服务</w:t>
      </w:r>
      <w:r>
        <w:rPr>
          <w:rFonts w:ascii="宋体" w:hAnsi="宋体"/>
          <w:sz w:val="24"/>
          <w:szCs w:val="21"/>
        </w:rPr>
        <w:t>(定期进行健康检查，发现患有发热、呕吐、腹泻、严重炎症等病症及皮肤有伤口或者感染</w:t>
      </w:r>
      <w:r>
        <w:rPr>
          <w:rFonts w:hint="eastAsia" w:ascii="宋体" w:hAnsi="宋体"/>
          <w:sz w:val="24"/>
          <w:szCs w:val="21"/>
        </w:rPr>
        <w:t>的从业人员，不得从事接触直接入口食品的工作，杜绝从业人员带病上岗污染食物)。应有健全的</w:t>
      </w:r>
      <w:r>
        <w:rPr>
          <w:rFonts w:hint="default" w:ascii="宋体" w:hAnsi="宋体"/>
          <w:sz w:val="24"/>
          <w:szCs w:val="21"/>
        </w:rPr>
        <w:t>病媒生物防制</w:t>
      </w:r>
      <w:r>
        <w:rPr>
          <w:rFonts w:hint="eastAsia" w:ascii="宋体" w:hAnsi="宋体"/>
          <w:sz w:val="24"/>
          <w:szCs w:val="21"/>
        </w:rPr>
        <w:t>措施。</w:t>
      </w:r>
    </w:p>
    <w:p w14:paraId="3486D4DA">
      <w:pPr>
        <w:pStyle w:val="107"/>
        <w:numPr>
          <w:ilvl w:val="0"/>
          <w:numId w:val="4"/>
        </w:numPr>
        <w:spacing w:line="360" w:lineRule="auto"/>
        <w:ind w:firstLineChars="0"/>
        <w:rPr>
          <w:rFonts w:ascii="宋体" w:hAnsi="宋体"/>
          <w:sz w:val="24"/>
          <w:szCs w:val="21"/>
        </w:rPr>
      </w:pPr>
      <w:r>
        <w:rPr>
          <w:rFonts w:hint="eastAsia" w:ascii="宋体" w:hAnsi="宋体"/>
          <w:sz w:val="24"/>
          <w:szCs w:val="21"/>
        </w:rPr>
        <w:t>供应商须具有良好的社会信誉，能承担食品安全责任。供应商负责购买食品安全责任险，手续办理和费用交纳均由供应商自行负责，并将该保险合同复印件作为签署项目合同的附件装订，否则将视为虚假承诺，采购人有权拒签或解除合同，由此引发的所有损失由供应商负责，且供应商应向采购人支付2万元作为违约金。</w:t>
      </w:r>
    </w:p>
    <w:p w14:paraId="019C6315">
      <w:pPr>
        <w:pStyle w:val="107"/>
        <w:numPr>
          <w:ilvl w:val="0"/>
          <w:numId w:val="4"/>
        </w:numPr>
        <w:spacing w:line="360" w:lineRule="auto"/>
        <w:ind w:firstLineChars="0"/>
        <w:rPr>
          <w:rFonts w:ascii="宋体" w:hAnsi="宋体"/>
          <w:sz w:val="24"/>
          <w:szCs w:val="21"/>
        </w:rPr>
      </w:pPr>
      <w:r>
        <w:rPr>
          <w:rFonts w:hint="eastAsia" w:ascii="宋体" w:hAnsi="宋体"/>
          <w:sz w:val="24"/>
          <w:szCs w:val="21"/>
        </w:rPr>
        <w:t>★</w:t>
      </w:r>
      <w:r>
        <w:rPr>
          <w:rFonts w:hint="eastAsia" w:ascii="宋体" w:hAnsi="宋体"/>
          <w:bCs/>
          <w:sz w:val="24"/>
          <w:szCs w:val="21"/>
        </w:rPr>
        <w:t>供应商在获得中标资格后，</w:t>
      </w:r>
      <w:r>
        <w:rPr>
          <w:rFonts w:hint="eastAsia" w:ascii="宋体" w:hAnsi="宋体"/>
          <w:sz w:val="24"/>
          <w:szCs w:val="21"/>
        </w:rPr>
        <w:t>不得私自转让或委托他人经营送餐，一经发现采购人有权单方面终止合同，并给予经济处罚或诉诸法律。</w:t>
      </w:r>
    </w:p>
    <w:p w14:paraId="1F2A0C55">
      <w:pPr>
        <w:spacing w:line="360" w:lineRule="auto"/>
        <w:rPr>
          <w:rFonts w:ascii="宋体" w:hAnsi="宋体"/>
          <w:b/>
          <w:bCs/>
          <w:sz w:val="24"/>
          <w:szCs w:val="21"/>
        </w:rPr>
      </w:pPr>
      <w:r>
        <w:rPr>
          <w:rFonts w:hint="eastAsia" w:ascii="宋体" w:hAnsi="宋体"/>
          <w:b/>
          <w:bCs/>
          <w:sz w:val="24"/>
          <w:szCs w:val="21"/>
        </w:rPr>
        <w:t>（三）服务要求</w:t>
      </w:r>
    </w:p>
    <w:p w14:paraId="039A4E0E">
      <w:pPr>
        <w:pStyle w:val="107"/>
        <w:numPr>
          <w:ilvl w:val="0"/>
          <w:numId w:val="5"/>
        </w:numPr>
        <w:spacing w:line="360" w:lineRule="auto"/>
        <w:ind w:firstLineChars="0"/>
        <w:rPr>
          <w:rFonts w:hint="eastAsia" w:ascii="宋体" w:hAnsi="宋体"/>
          <w:sz w:val="24"/>
          <w:szCs w:val="21"/>
        </w:rPr>
      </w:pPr>
      <w:r>
        <w:rPr>
          <w:rFonts w:hint="eastAsia" w:ascii="宋体" w:hAnsi="宋体"/>
          <w:sz w:val="24"/>
          <w:szCs w:val="21"/>
        </w:rPr>
        <w:t>供应商在项目运营期间必须保证提供早餐、午餐、晚餐及应急供餐等餐饮服务。餐品配送到指定地点后，供应商需协助采购人共同完成分餐工作，并做好餐余垃圾及用后餐具的清理工作。</w:t>
      </w:r>
    </w:p>
    <w:p w14:paraId="626F58A6">
      <w:pPr>
        <w:pStyle w:val="107"/>
        <w:numPr>
          <w:ilvl w:val="0"/>
          <w:numId w:val="5"/>
        </w:numPr>
        <w:spacing w:line="360" w:lineRule="auto"/>
        <w:ind w:firstLineChars="0"/>
        <w:rPr>
          <w:rFonts w:ascii="宋体" w:hAnsi="宋体"/>
          <w:sz w:val="24"/>
          <w:szCs w:val="21"/>
        </w:rPr>
      </w:pPr>
      <w:r>
        <w:rPr>
          <w:rFonts w:hint="eastAsia" w:ascii="宋体" w:hAnsi="宋体"/>
          <w:sz w:val="24"/>
          <w:szCs w:val="21"/>
        </w:rPr>
        <w:t>供餐时间要求：早餐：06:45</w:t>
      </w:r>
      <w:r>
        <w:rPr>
          <w:rFonts w:ascii="宋体" w:hAnsi="宋体"/>
          <w:sz w:val="24"/>
          <w:szCs w:val="21"/>
        </w:rPr>
        <w:t>-7</w:t>
      </w:r>
      <w:r>
        <w:rPr>
          <w:rFonts w:hint="eastAsia" w:ascii="宋体" w:hAnsi="宋体"/>
          <w:sz w:val="24"/>
          <w:szCs w:val="21"/>
        </w:rPr>
        <w:t>:1</w:t>
      </w:r>
      <w:r>
        <w:rPr>
          <w:rFonts w:ascii="宋体" w:hAnsi="宋体"/>
          <w:sz w:val="24"/>
          <w:szCs w:val="21"/>
        </w:rPr>
        <w:t>5</w:t>
      </w:r>
      <w:r>
        <w:rPr>
          <w:rFonts w:hint="eastAsia" w:ascii="宋体" w:hAnsi="宋体"/>
          <w:sz w:val="24"/>
          <w:szCs w:val="21"/>
        </w:rPr>
        <w:t>，午餐：10:30</w:t>
      </w:r>
      <w:r>
        <w:rPr>
          <w:rFonts w:ascii="宋体" w:hAnsi="宋体"/>
          <w:sz w:val="24"/>
          <w:szCs w:val="21"/>
        </w:rPr>
        <w:t>-11</w:t>
      </w:r>
      <w:r>
        <w:rPr>
          <w:rFonts w:hint="eastAsia" w:ascii="宋体" w:hAnsi="宋体"/>
          <w:sz w:val="24"/>
          <w:szCs w:val="21"/>
        </w:rPr>
        <w:t>:3</w:t>
      </w:r>
      <w:r>
        <w:rPr>
          <w:rFonts w:ascii="宋体" w:hAnsi="宋体"/>
          <w:sz w:val="24"/>
          <w:szCs w:val="21"/>
        </w:rPr>
        <w:t>0</w:t>
      </w:r>
      <w:r>
        <w:rPr>
          <w:rFonts w:hint="eastAsia" w:ascii="宋体" w:hAnsi="宋体"/>
          <w:sz w:val="24"/>
          <w:szCs w:val="21"/>
        </w:rPr>
        <w:t>，晚餐：16:30</w:t>
      </w:r>
      <w:r>
        <w:rPr>
          <w:rFonts w:ascii="宋体" w:hAnsi="宋体"/>
          <w:sz w:val="24"/>
          <w:szCs w:val="21"/>
        </w:rPr>
        <w:t>-17</w:t>
      </w:r>
      <w:r>
        <w:rPr>
          <w:rFonts w:hint="eastAsia" w:ascii="宋体" w:hAnsi="宋体"/>
          <w:sz w:val="24"/>
          <w:szCs w:val="21"/>
        </w:rPr>
        <w:t>:3</w:t>
      </w:r>
      <w:r>
        <w:rPr>
          <w:rFonts w:ascii="宋体" w:hAnsi="宋体"/>
          <w:sz w:val="24"/>
          <w:szCs w:val="21"/>
        </w:rPr>
        <w:t>0</w:t>
      </w:r>
      <w:r>
        <w:rPr>
          <w:rFonts w:hint="eastAsia" w:ascii="宋体" w:hAnsi="宋体"/>
          <w:sz w:val="24"/>
          <w:szCs w:val="21"/>
          <w:lang w:eastAsia="zh-CN"/>
        </w:rPr>
        <w:t>，</w:t>
      </w:r>
      <w:r>
        <w:rPr>
          <w:rFonts w:hint="eastAsia" w:ascii="宋体" w:hAnsi="宋体"/>
          <w:sz w:val="24"/>
          <w:szCs w:val="21"/>
        </w:rPr>
        <w:t>并每餐次在1小时内完成全部餐品配送服务。如出现漏送、错送情况，供应商必须在30分钟内完成补送工作。</w:t>
      </w:r>
    </w:p>
    <w:p w14:paraId="4DD89253">
      <w:pPr>
        <w:pStyle w:val="107"/>
        <w:numPr>
          <w:ilvl w:val="0"/>
          <w:numId w:val="5"/>
        </w:numPr>
        <w:spacing w:line="360" w:lineRule="auto"/>
        <w:ind w:firstLineChars="0"/>
        <w:rPr>
          <w:rFonts w:ascii="宋体" w:hAnsi="宋体"/>
          <w:sz w:val="24"/>
          <w:szCs w:val="21"/>
        </w:rPr>
      </w:pPr>
      <w:r>
        <w:rPr>
          <w:rFonts w:hint="eastAsia" w:ascii="宋体" w:hAnsi="宋体"/>
          <w:sz w:val="24"/>
          <w:szCs w:val="21"/>
        </w:rPr>
        <w:t>★如因供应商原因未按时(超过30分钟)送餐而影响采购人正常诊疗工作或者出现病人投诉事件的须扣除当</w:t>
      </w:r>
      <w:r>
        <w:rPr>
          <w:rFonts w:hint="default" w:ascii="宋体" w:hAnsi="宋体"/>
          <w:sz w:val="24"/>
          <w:szCs w:val="21"/>
        </w:rPr>
        <w:t>前</w:t>
      </w:r>
      <w:r>
        <w:rPr>
          <w:rFonts w:hint="eastAsia" w:ascii="宋体" w:hAnsi="宋体"/>
          <w:sz w:val="24"/>
          <w:szCs w:val="21"/>
        </w:rPr>
        <w:t>餐费</w:t>
      </w:r>
      <w:r>
        <w:rPr>
          <w:rFonts w:hint="default" w:ascii="宋体" w:hAnsi="宋体"/>
          <w:sz w:val="24"/>
          <w:szCs w:val="21"/>
        </w:rPr>
        <w:t>;</w:t>
      </w:r>
      <w:r>
        <w:rPr>
          <w:rFonts w:hint="eastAsia" w:ascii="宋体" w:hAnsi="宋体"/>
          <w:sz w:val="24"/>
          <w:szCs w:val="21"/>
        </w:rPr>
        <w:t>发生3次或以上，采购人有权单方面解除合同，取消供应商供餐资格，且供应商应向采购人支付2万元作为违约金。采购人如临时有应急配餐需求的，经与供应商商议后另行确定配送时间。</w:t>
      </w:r>
    </w:p>
    <w:p w14:paraId="6D622C31">
      <w:pPr>
        <w:pStyle w:val="107"/>
        <w:numPr>
          <w:ilvl w:val="0"/>
          <w:numId w:val="5"/>
        </w:numPr>
        <w:spacing w:line="360" w:lineRule="auto"/>
        <w:ind w:firstLineChars="0"/>
        <w:rPr>
          <w:rFonts w:ascii="宋体" w:hAnsi="宋体"/>
          <w:sz w:val="24"/>
          <w:szCs w:val="21"/>
        </w:rPr>
      </w:pPr>
      <w:r>
        <w:rPr>
          <w:rFonts w:hint="eastAsia" w:ascii="宋体" w:hAnsi="宋体"/>
          <w:sz w:val="24"/>
          <w:szCs w:val="21"/>
        </w:rPr>
        <w:t>标准套餐：</w:t>
      </w:r>
    </w:p>
    <w:tbl>
      <w:tblPr>
        <w:tblStyle w:val="37"/>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275"/>
        <w:gridCol w:w="5529"/>
        <w:gridCol w:w="1984"/>
      </w:tblGrid>
      <w:tr w14:paraId="0F70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gridSpan w:val="2"/>
            <w:noWrap w:val="0"/>
            <w:vAlign w:val="center"/>
          </w:tcPr>
          <w:p w14:paraId="47CE0D5A">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套餐</w:t>
            </w:r>
          </w:p>
        </w:tc>
        <w:tc>
          <w:tcPr>
            <w:tcW w:w="5529" w:type="dxa"/>
            <w:noWrap w:val="0"/>
            <w:vAlign w:val="center"/>
          </w:tcPr>
          <w:p w14:paraId="3113CF6E">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餐饮标准</w:t>
            </w:r>
          </w:p>
        </w:tc>
        <w:tc>
          <w:tcPr>
            <w:tcW w:w="1984" w:type="dxa"/>
            <w:noWrap w:val="0"/>
            <w:vAlign w:val="center"/>
          </w:tcPr>
          <w:p w14:paraId="463281B5">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 xml:space="preserve">最高限价 </w:t>
            </w:r>
            <w:r>
              <w:rPr>
                <w:rFonts w:hint="default" w:ascii="宋体" w:hAnsi="宋体"/>
                <w:kern w:val="0"/>
                <w:sz w:val="24"/>
                <w:szCs w:val="21"/>
              </w:rPr>
              <w:t xml:space="preserve">    </w:t>
            </w:r>
            <w:r>
              <w:rPr>
                <w:rFonts w:hint="eastAsia" w:ascii="宋体" w:hAnsi="宋体"/>
                <w:kern w:val="0"/>
                <w:sz w:val="24"/>
                <w:szCs w:val="21"/>
              </w:rPr>
              <w:t>（元/份）</w:t>
            </w:r>
          </w:p>
        </w:tc>
      </w:tr>
      <w:tr w14:paraId="602F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noWrap w:val="0"/>
            <w:vAlign w:val="center"/>
          </w:tcPr>
          <w:p w14:paraId="7DA24B53">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套餐一</w:t>
            </w:r>
          </w:p>
        </w:tc>
        <w:tc>
          <w:tcPr>
            <w:tcW w:w="1275" w:type="dxa"/>
            <w:noWrap w:val="0"/>
            <w:vAlign w:val="center"/>
          </w:tcPr>
          <w:p w14:paraId="58C2F43B">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早餐</w:t>
            </w:r>
          </w:p>
        </w:tc>
        <w:tc>
          <w:tcPr>
            <w:tcW w:w="5529" w:type="dxa"/>
            <w:noWrap w:val="0"/>
            <w:vAlign w:val="center"/>
          </w:tcPr>
          <w:p w14:paraId="29EBCDD4">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一份粥/豆浆/牛奶+一份粉/面/点心</w:t>
            </w:r>
          </w:p>
        </w:tc>
        <w:tc>
          <w:tcPr>
            <w:tcW w:w="1984" w:type="dxa"/>
            <w:noWrap w:val="0"/>
            <w:vAlign w:val="center"/>
          </w:tcPr>
          <w:p w14:paraId="6486C6B4">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 xml:space="preserve">8 </w:t>
            </w:r>
          </w:p>
        </w:tc>
      </w:tr>
      <w:tr w14:paraId="50E6B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noWrap w:val="0"/>
            <w:vAlign w:val="center"/>
          </w:tcPr>
          <w:p w14:paraId="53C685C3">
            <w:pPr>
              <w:keepNext w:val="0"/>
              <w:keepLines w:val="0"/>
              <w:suppressLineNumbers w:val="0"/>
              <w:spacing w:before="0" w:beforeAutospacing="0" w:after="0" w:afterAutospacing="0" w:line="360" w:lineRule="auto"/>
              <w:ind w:left="0" w:right="0"/>
              <w:rPr>
                <w:rFonts w:hint="default" w:ascii="宋体" w:hAnsi="宋体"/>
                <w:kern w:val="0"/>
                <w:sz w:val="24"/>
                <w:szCs w:val="21"/>
              </w:rPr>
            </w:pPr>
          </w:p>
        </w:tc>
        <w:tc>
          <w:tcPr>
            <w:tcW w:w="1275" w:type="dxa"/>
            <w:noWrap w:val="0"/>
            <w:vAlign w:val="center"/>
          </w:tcPr>
          <w:p w14:paraId="3744CD20">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午、晚餐</w:t>
            </w:r>
          </w:p>
        </w:tc>
        <w:tc>
          <w:tcPr>
            <w:tcW w:w="5529" w:type="dxa"/>
            <w:noWrap w:val="0"/>
            <w:vAlign w:val="center"/>
          </w:tcPr>
          <w:p w14:paraId="6858A793">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一份肉（肉＞150g</w:t>
            </w:r>
            <w:r>
              <w:rPr>
                <w:rFonts w:hint="default" w:ascii="宋体" w:hAnsi="宋体"/>
                <w:kern w:val="0"/>
                <w:sz w:val="24"/>
                <w:szCs w:val="21"/>
              </w:rPr>
              <w:t>/份</w:t>
            </w:r>
            <w:r>
              <w:rPr>
                <w:rFonts w:hint="eastAsia" w:ascii="宋体" w:hAnsi="宋体"/>
                <w:kern w:val="0"/>
                <w:sz w:val="24"/>
                <w:szCs w:val="21"/>
              </w:rPr>
              <w:t>）、</w:t>
            </w:r>
          </w:p>
          <w:p w14:paraId="4B993870">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一份小炒（肉＞50g</w:t>
            </w:r>
            <w:r>
              <w:rPr>
                <w:rFonts w:hint="default" w:ascii="宋体" w:hAnsi="宋体"/>
                <w:kern w:val="0"/>
                <w:sz w:val="24"/>
                <w:szCs w:val="21"/>
              </w:rPr>
              <w:t>+</w:t>
            </w:r>
            <w:r>
              <w:rPr>
                <w:rFonts w:hint="eastAsia" w:ascii="宋体" w:hAnsi="宋体"/>
                <w:kern w:val="0"/>
                <w:sz w:val="24"/>
                <w:szCs w:val="21"/>
              </w:rPr>
              <w:t>菜＞100g</w:t>
            </w:r>
            <w:r>
              <w:rPr>
                <w:rFonts w:hint="default" w:ascii="宋体" w:hAnsi="宋体"/>
                <w:kern w:val="0"/>
                <w:sz w:val="24"/>
                <w:szCs w:val="21"/>
              </w:rPr>
              <w:t>/份</w:t>
            </w:r>
            <w:r>
              <w:rPr>
                <w:rFonts w:hint="eastAsia" w:ascii="宋体" w:hAnsi="宋体"/>
                <w:kern w:val="0"/>
                <w:sz w:val="24"/>
                <w:szCs w:val="21"/>
              </w:rPr>
              <w:t>）、</w:t>
            </w:r>
          </w:p>
          <w:p w14:paraId="756EBB67">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一份青菜（＞150g</w:t>
            </w:r>
            <w:r>
              <w:rPr>
                <w:rFonts w:hint="default" w:ascii="宋体" w:hAnsi="宋体"/>
                <w:kern w:val="0"/>
                <w:sz w:val="24"/>
                <w:szCs w:val="21"/>
              </w:rPr>
              <w:t>/份</w:t>
            </w:r>
            <w:r>
              <w:rPr>
                <w:rFonts w:hint="eastAsia" w:ascii="宋体" w:hAnsi="宋体"/>
                <w:kern w:val="0"/>
                <w:sz w:val="24"/>
                <w:szCs w:val="21"/>
              </w:rPr>
              <w:t>）</w:t>
            </w:r>
          </w:p>
          <w:p w14:paraId="426AF6D5">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一份米饭（＞200g</w:t>
            </w:r>
            <w:r>
              <w:rPr>
                <w:rFonts w:hint="default" w:ascii="宋体" w:hAnsi="宋体"/>
                <w:kern w:val="0"/>
                <w:sz w:val="24"/>
                <w:szCs w:val="21"/>
              </w:rPr>
              <w:t>/份</w:t>
            </w:r>
            <w:r>
              <w:rPr>
                <w:rFonts w:hint="eastAsia" w:ascii="宋体" w:hAnsi="宋体"/>
                <w:kern w:val="0"/>
                <w:sz w:val="24"/>
                <w:szCs w:val="21"/>
              </w:rPr>
              <w:t>）</w:t>
            </w:r>
          </w:p>
        </w:tc>
        <w:tc>
          <w:tcPr>
            <w:tcW w:w="1984" w:type="dxa"/>
            <w:noWrap w:val="0"/>
            <w:vAlign w:val="center"/>
          </w:tcPr>
          <w:p w14:paraId="301F9BCE">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1</w:t>
            </w:r>
            <w:r>
              <w:rPr>
                <w:rFonts w:hint="default" w:ascii="宋体" w:hAnsi="宋体"/>
                <w:kern w:val="0"/>
                <w:sz w:val="24"/>
                <w:szCs w:val="21"/>
              </w:rPr>
              <w:t>3</w:t>
            </w:r>
            <w:r>
              <w:rPr>
                <w:rFonts w:hint="eastAsia" w:ascii="宋体" w:hAnsi="宋体"/>
                <w:kern w:val="0"/>
                <w:sz w:val="24"/>
                <w:szCs w:val="21"/>
              </w:rPr>
              <w:t xml:space="preserve"> </w:t>
            </w:r>
          </w:p>
        </w:tc>
      </w:tr>
      <w:tr w14:paraId="6903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noWrap w:val="0"/>
            <w:vAlign w:val="center"/>
          </w:tcPr>
          <w:p w14:paraId="323D6FD1">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套餐二</w:t>
            </w:r>
          </w:p>
        </w:tc>
        <w:tc>
          <w:tcPr>
            <w:tcW w:w="1275" w:type="dxa"/>
            <w:noWrap w:val="0"/>
            <w:vAlign w:val="center"/>
          </w:tcPr>
          <w:p w14:paraId="714C20FC">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早餐</w:t>
            </w:r>
          </w:p>
        </w:tc>
        <w:tc>
          <w:tcPr>
            <w:tcW w:w="5529" w:type="dxa"/>
            <w:noWrap w:val="0"/>
            <w:vAlign w:val="center"/>
          </w:tcPr>
          <w:p w14:paraId="6F373743">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一份粥/豆浆/牛奶/</w:t>
            </w:r>
            <w:r>
              <w:rPr>
                <w:rFonts w:hint="default" w:ascii="宋体" w:hAnsi="宋体"/>
                <w:kern w:val="0"/>
                <w:sz w:val="24"/>
                <w:szCs w:val="21"/>
              </w:rPr>
              <w:t>…</w:t>
            </w:r>
            <w:r>
              <w:rPr>
                <w:rFonts w:hint="eastAsia" w:ascii="宋体" w:hAnsi="宋体"/>
                <w:kern w:val="0"/>
                <w:sz w:val="24"/>
                <w:szCs w:val="21"/>
              </w:rPr>
              <w:t>+一份粉/面/点心/</w:t>
            </w:r>
            <w:r>
              <w:rPr>
                <w:rFonts w:hint="default" w:ascii="宋体" w:hAnsi="宋体"/>
                <w:kern w:val="0"/>
                <w:sz w:val="24"/>
                <w:szCs w:val="21"/>
              </w:rPr>
              <w:t>…</w:t>
            </w:r>
          </w:p>
        </w:tc>
        <w:tc>
          <w:tcPr>
            <w:tcW w:w="1984" w:type="dxa"/>
            <w:noWrap w:val="0"/>
            <w:vAlign w:val="center"/>
          </w:tcPr>
          <w:p w14:paraId="45FF9DC0">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8</w:t>
            </w:r>
          </w:p>
        </w:tc>
      </w:tr>
      <w:tr w14:paraId="6B87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noWrap w:val="0"/>
            <w:vAlign w:val="center"/>
          </w:tcPr>
          <w:p w14:paraId="2B6ED411">
            <w:pPr>
              <w:keepNext w:val="0"/>
              <w:keepLines w:val="0"/>
              <w:suppressLineNumbers w:val="0"/>
              <w:spacing w:before="0" w:beforeAutospacing="0" w:after="0" w:afterAutospacing="0" w:line="360" w:lineRule="auto"/>
              <w:ind w:left="0" w:right="0"/>
              <w:rPr>
                <w:rFonts w:hint="default" w:ascii="宋体" w:hAnsi="宋体"/>
                <w:kern w:val="0"/>
                <w:sz w:val="24"/>
                <w:szCs w:val="21"/>
              </w:rPr>
            </w:pPr>
          </w:p>
        </w:tc>
        <w:tc>
          <w:tcPr>
            <w:tcW w:w="1275" w:type="dxa"/>
            <w:noWrap w:val="0"/>
            <w:vAlign w:val="center"/>
          </w:tcPr>
          <w:p w14:paraId="430D60E7">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午、晚餐</w:t>
            </w:r>
          </w:p>
        </w:tc>
        <w:tc>
          <w:tcPr>
            <w:tcW w:w="5529" w:type="dxa"/>
            <w:noWrap w:val="0"/>
            <w:vAlign w:val="center"/>
          </w:tcPr>
          <w:p w14:paraId="30A9450D">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一份肉（肉＞1</w:t>
            </w:r>
            <w:r>
              <w:rPr>
                <w:rFonts w:hint="default" w:ascii="宋体" w:hAnsi="宋体"/>
                <w:kern w:val="0"/>
                <w:sz w:val="24"/>
                <w:szCs w:val="21"/>
              </w:rPr>
              <w:t>5</w:t>
            </w:r>
            <w:r>
              <w:rPr>
                <w:rFonts w:hint="eastAsia" w:ascii="宋体" w:hAnsi="宋体"/>
                <w:kern w:val="0"/>
                <w:sz w:val="24"/>
                <w:szCs w:val="21"/>
              </w:rPr>
              <w:t>0g</w:t>
            </w:r>
            <w:r>
              <w:rPr>
                <w:rFonts w:hint="default" w:ascii="宋体" w:hAnsi="宋体"/>
                <w:kern w:val="0"/>
                <w:sz w:val="24"/>
                <w:szCs w:val="21"/>
              </w:rPr>
              <w:t>/份</w:t>
            </w:r>
            <w:r>
              <w:rPr>
                <w:rFonts w:hint="eastAsia" w:ascii="宋体" w:hAnsi="宋体"/>
                <w:kern w:val="0"/>
                <w:sz w:val="24"/>
                <w:szCs w:val="21"/>
              </w:rPr>
              <w:t>）、</w:t>
            </w:r>
          </w:p>
          <w:p w14:paraId="2E122F64">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二份小炒（肉＞</w:t>
            </w:r>
            <w:r>
              <w:rPr>
                <w:rFonts w:hint="default" w:ascii="宋体" w:hAnsi="宋体"/>
                <w:kern w:val="0"/>
                <w:sz w:val="24"/>
                <w:szCs w:val="21"/>
              </w:rPr>
              <w:t>50</w:t>
            </w:r>
            <w:r>
              <w:rPr>
                <w:rFonts w:hint="eastAsia" w:ascii="宋体" w:hAnsi="宋体"/>
                <w:kern w:val="0"/>
                <w:sz w:val="24"/>
                <w:szCs w:val="21"/>
              </w:rPr>
              <w:t>g</w:t>
            </w:r>
            <w:r>
              <w:rPr>
                <w:rFonts w:hint="default" w:ascii="宋体" w:hAnsi="宋体"/>
                <w:kern w:val="0"/>
                <w:sz w:val="24"/>
                <w:szCs w:val="21"/>
              </w:rPr>
              <w:t>+</w:t>
            </w:r>
            <w:r>
              <w:rPr>
                <w:rFonts w:hint="eastAsia" w:ascii="宋体" w:hAnsi="宋体"/>
                <w:kern w:val="0"/>
                <w:sz w:val="24"/>
                <w:szCs w:val="21"/>
              </w:rPr>
              <w:t>菜＞</w:t>
            </w:r>
            <w:r>
              <w:rPr>
                <w:rFonts w:hint="default" w:ascii="宋体" w:hAnsi="宋体"/>
                <w:kern w:val="0"/>
                <w:sz w:val="24"/>
                <w:szCs w:val="21"/>
              </w:rPr>
              <w:t>1</w:t>
            </w:r>
            <w:r>
              <w:rPr>
                <w:rFonts w:hint="eastAsia" w:ascii="宋体" w:hAnsi="宋体"/>
                <w:kern w:val="0"/>
                <w:sz w:val="24"/>
                <w:szCs w:val="21"/>
              </w:rPr>
              <w:t>00g</w:t>
            </w:r>
            <w:r>
              <w:rPr>
                <w:rFonts w:hint="default" w:ascii="宋体" w:hAnsi="宋体"/>
                <w:kern w:val="0"/>
                <w:sz w:val="24"/>
                <w:szCs w:val="21"/>
              </w:rPr>
              <w:t>/份</w:t>
            </w:r>
            <w:r>
              <w:rPr>
                <w:rFonts w:hint="eastAsia" w:ascii="宋体" w:hAnsi="宋体"/>
                <w:kern w:val="0"/>
                <w:sz w:val="24"/>
                <w:szCs w:val="21"/>
              </w:rPr>
              <w:t>）、</w:t>
            </w:r>
          </w:p>
          <w:p w14:paraId="1A13BCD1">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一份青菜（＞150g</w:t>
            </w:r>
            <w:r>
              <w:rPr>
                <w:rFonts w:hint="default" w:ascii="宋体" w:hAnsi="宋体"/>
                <w:kern w:val="0"/>
                <w:sz w:val="24"/>
                <w:szCs w:val="21"/>
              </w:rPr>
              <w:t>/份</w:t>
            </w:r>
            <w:r>
              <w:rPr>
                <w:rFonts w:hint="eastAsia" w:ascii="宋体" w:hAnsi="宋体"/>
                <w:kern w:val="0"/>
                <w:sz w:val="24"/>
                <w:szCs w:val="21"/>
              </w:rPr>
              <w:t>）、</w:t>
            </w:r>
          </w:p>
          <w:p w14:paraId="56B20A3A">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一份米饭（＞200g</w:t>
            </w:r>
            <w:r>
              <w:rPr>
                <w:rFonts w:hint="default" w:ascii="宋体" w:hAnsi="宋体"/>
                <w:kern w:val="0"/>
                <w:sz w:val="24"/>
                <w:szCs w:val="21"/>
              </w:rPr>
              <w:t>/份</w:t>
            </w:r>
            <w:r>
              <w:rPr>
                <w:rFonts w:hint="eastAsia" w:ascii="宋体" w:hAnsi="宋体"/>
                <w:kern w:val="0"/>
                <w:sz w:val="24"/>
                <w:szCs w:val="21"/>
              </w:rPr>
              <w:t>）</w:t>
            </w:r>
          </w:p>
        </w:tc>
        <w:tc>
          <w:tcPr>
            <w:tcW w:w="1984" w:type="dxa"/>
            <w:noWrap w:val="0"/>
            <w:vAlign w:val="center"/>
          </w:tcPr>
          <w:p w14:paraId="582C6FA4">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1</w:t>
            </w:r>
            <w:r>
              <w:rPr>
                <w:rFonts w:hint="default" w:ascii="宋体" w:hAnsi="宋体"/>
                <w:kern w:val="0"/>
                <w:sz w:val="24"/>
                <w:szCs w:val="21"/>
              </w:rPr>
              <w:t>5</w:t>
            </w:r>
          </w:p>
        </w:tc>
      </w:tr>
      <w:tr w14:paraId="2F13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noWrap w:val="0"/>
            <w:vAlign w:val="center"/>
          </w:tcPr>
          <w:p w14:paraId="6F69C08C">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套餐三</w:t>
            </w:r>
          </w:p>
        </w:tc>
        <w:tc>
          <w:tcPr>
            <w:tcW w:w="1275" w:type="dxa"/>
            <w:noWrap w:val="0"/>
            <w:vAlign w:val="center"/>
          </w:tcPr>
          <w:p w14:paraId="7DF50F56">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早餐</w:t>
            </w:r>
          </w:p>
        </w:tc>
        <w:tc>
          <w:tcPr>
            <w:tcW w:w="5529" w:type="dxa"/>
            <w:noWrap w:val="0"/>
            <w:vAlign w:val="center"/>
          </w:tcPr>
          <w:p w14:paraId="0143B26C">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一份粥/豆浆/牛奶/</w:t>
            </w:r>
            <w:r>
              <w:rPr>
                <w:rFonts w:hint="default" w:ascii="宋体" w:hAnsi="宋体"/>
                <w:kern w:val="0"/>
                <w:sz w:val="24"/>
                <w:szCs w:val="21"/>
              </w:rPr>
              <w:t>…</w:t>
            </w:r>
            <w:r>
              <w:rPr>
                <w:rFonts w:hint="eastAsia" w:ascii="宋体" w:hAnsi="宋体"/>
                <w:kern w:val="0"/>
                <w:sz w:val="24"/>
                <w:szCs w:val="21"/>
              </w:rPr>
              <w:t>+一份粉/面/点心/</w:t>
            </w:r>
            <w:r>
              <w:rPr>
                <w:rFonts w:hint="default" w:ascii="宋体" w:hAnsi="宋体"/>
                <w:kern w:val="0"/>
                <w:sz w:val="24"/>
                <w:szCs w:val="21"/>
              </w:rPr>
              <w:t>…</w:t>
            </w:r>
          </w:p>
        </w:tc>
        <w:tc>
          <w:tcPr>
            <w:tcW w:w="1984" w:type="dxa"/>
            <w:noWrap w:val="0"/>
            <w:vAlign w:val="center"/>
          </w:tcPr>
          <w:p w14:paraId="0D2A2657">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8</w:t>
            </w:r>
          </w:p>
        </w:tc>
      </w:tr>
      <w:tr w14:paraId="5797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noWrap w:val="0"/>
            <w:vAlign w:val="center"/>
          </w:tcPr>
          <w:p w14:paraId="5629EF7E">
            <w:pPr>
              <w:keepNext w:val="0"/>
              <w:keepLines w:val="0"/>
              <w:suppressLineNumbers w:val="0"/>
              <w:spacing w:before="0" w:beforeAutospacing="0" w:after="0" w:afterAutospacing="0" w:line="360" w:lineRule="auto"/>
              <w:ind w:left="0" w:right="0"/>
              <w:rPr>
                <w:rFonts w:hint="default" w:ascii="宋体" w:hAnsi="宋体"/>
                <w:kern w:val="0"/>
                <w:sz w:val="24"/>
                <w:szCs w:val="21"/>
              </w:rPr>
            </w:pPr>
          </w:p>
        </w:tc>
        <w:tc>
          <w:tcPr>
            <w:tcW w:w="1275" w:type="dxa"/>
            <w:noWrap w:val="0"/>
            <w:vAlign w:val="center"/>
          </w:tcPr>
          <w:p w14:paraId="6BF18917">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午、晚餐</w:t>
            </w:r>
          </w:p>
        </w:tc>
        <w:tc>
          <w:tcPr>
            <w:tcW w:w="5529" w:type="dxa"/>
            <w:noWrap w:val="0"/>
            <w:vAlign w:val="center"/>
          </w:tcPr>
          <w:p w14:paraId="401FB3DC">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二份肉（肉＞</w:t>
            </w:r>
            <w:r>
              <w:rPr>
                <w:rFonts w:hint="default" w:ascii="宋体" w:hAnsi="宋体"/>
                <w:kern w:val="0"/>
                <w:sz w:val="24"/>
                <w:szCs w:val="21"/>
              </w:rPr>
              <w:t>15</w:t>
            </w:r>
            <w:r>
              <w:rPr>
                <w:rFonts w:hint="eastAsia" w:ascii="宋体" w:hAnsi="宋体"/>
                <w:kern w:val="0"/>
                <w:sz w:val="24"/>
                <w:szCs w:val="21"/>
              </w:rPr>
              <w:t>0g</w:t>
            </w:r>
            <w:r>
              <w:rPr>
                <w:rFonts w:hint="default" w:ascii="宋体" w:hAnsi="宋体"/>
                <w:kern w:val="0"/>
                <w:sz w:val="24"/>
                <w:szCs w:val="21"/>
              </w:rPr>
              <w:t>/份</w:t>
            </w:r>
            <w:r>
              <w:rPr>
                <w:rFonts w:hint="eastAsia" w:ascii="宋体" w:hAnsi="宋体"/>
                <w:kern w:val="0"/>
                <w:sz w:val="24"/>
                <w:szCs w:val="21"/>
              </w:rPr>
              <w:t>）、</w:t>
            </w:r>
          </w:p>
          <w:p w14:paraId="4A3EE462">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一份小炒（肉＞50g</w:t>
            </w:r>
            <w:r>
              <w:rPr>
                <w:rFonts w:hint="default" w:ascii="宋体" w:hAnsi="宋体"/>
                <w:kern w:val="0"/>
                <w:sz w:val="24"/>
                <w:szCs w:val="21"/>
              </w:rPr>
              <w:t xml:space="preserve"> +</w:t>
            </w:r>
            <w:r>
              <w:rPr>
                <w:rFonts w:hint="eastAsia" w:ascii="宋体" w:hAnsi="宋体"/>
                <w:kern w:val="0"/>
                <w:sz w:val="24"/>
                <w:szCs w:val="21"/>
              </w:rPr>
              <w:t>菜＞100g</w:t>
            </w:r>
            <w:r>
              <w:rPr>
                <w:rFonts w:hint="default" w:ascii="宋体" w:hAnsi="宋体"/>
                <w:kern w:val="0"/>
                <w:sz w:val="24"/>
                <w:szCs w:val="21"/>
              </w:rPr>
              <w:t>/份</w:t>
            </w:r>
            <w:r>
              <w:rPr>
                <w:rFonts w:hint="eastAsia" w:ascii="宋体" w:hAnsi="宋体"/>
                <w:kern w:val="0"/>
                <w:sz w:val="24"/>
                <w:szCs w:val="21"/>
              </w:rPr>
              <w:t>）</w:t>
            </w:r>
          </w:p>
          <w:p w14:paraId="2E4F34F0">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一份青菜（＞150g</w:t>
            </w:r>
            <w:r>
              <w:rPr>
                <w:rFonts w:hint="default" w:ascii="宋体" w:hAnsi="宋体"/>
                <w:kern w:val="0"/>
                <w:sz w:val="24"/>
                <w:szCs w:val="21"/>
              </w:rPr>
              <w:t>/份</w:t>
            </w:r>
            <w:r>
              <w:rPr>
                <w:rFonts w:hint="eastAsia" w:ascii="宋体" w:hAnsi="宋体"/>
                <w:kern w:val="0"/>
                <w:sz w:val="24"/>
                <w:szCs w:val="21"/>
              </w:rPr>
              <w:t>）</w:t>
            </w:r>
          </w:p>
          <w:p w14:paraId="3C74B8A1">
            <w:pPr>
              <w:keepNext w:val="0"/>
              <w:keepLines w:val="0"/>
              <w:suppressLineNumbers w:val="0"/>
              <w:spacing w:before="0" w:beforeAutospacing="0" w:after="0" w:afterAutospacing="0" w:line="360" w:lineRule="auto"/>
              <w:ind w:left="0" w:right="0"/>
              <w:rPr>
                <w:rFonts w:hint="default" w:ascii="宋体" w:hAnsi="宋体"/>
                <w:kern w:val="0"/>
                <w:sz w:val="24"/>
                <w:szCs w:val="21"/>
              </w:rPr>
            </w:pPr>
            <w:r>
              <w:rPr>
                <w:rFonts w:hint="eastAsia" w:ascii="宋体" w:hAnsi="宋体"/>
                <w:kern w:val="0"/>
                <w:sz w:val="24"/>
                <w:szCs w:val="21"/>
              </w:rPr>
              <w:t>一份米饭（＞200g</w:t>
            </w:r>
            <w:r>
              <w:rPr>
                <w:rFonts w:hint="default" w:ascii="宋体" w:hAnsi="宋体"/>
                <w:kern w:val="0"/>
                <w:sz w:val="24"/>
                <w:szCs w:val="21"/>
              </w:rPr>
              <w:t>/份</w:t>
            </w:r>
            <w:r>
              <w:rPr>
                <w:rFonts w:hint="eastAsia" w:ascii="宋体" w:hAnsi="宋体"/>
                <w:kern w:val="0"/>
                <w:sz w:val="24"/>
                <w:szCs w:val="21"/>
              </w:rPr>
              <w:t>）</w:t>
            </w:r>
          </w:p>
        </w:tc>
        <w:tc>
          <w:tcPr>
            <w:tcW w:w="1984" w:type="dxa"/>
            <w:noWrap w:val="0"/>
            <w:vAlign w:val="center"/>
          </w:tcPr>
          <w:p w14:paraId="725F8815">
            <w:pPr>
              <w:keepNext w:val="0"/>
              <w:keepLines w:val="0"/>
              <w:suppressLineNumbers w:val="0"/>
              <w:spacing w:before="0" w:beforeAutospacing="0" w:after="0" w:afterAutospacing="0" w:line="360" w:lineRule="auto"/>
              <w:ind w:left="0" w:right="0"/>
              <w:jc w:val="center"/>
              <w:rPr>
                <w:rFonts w:hint="default" w:ascii="宋体" w:hAnsi="宋体"/>
                <w:kern w:val="0"/>
                <w:sz w:val="24"/>
                <w:szCs w:val="21"/>
              </w:rPr>
            </w:pPr>
            <w:r>
              <w:rPr>
                <w:rFonts w:hint="eastAsia" w:ascii="宋体" w:hAnsi="宋体"/>
                <w:kern w:val="0"/>
                <w:sz w:val="24"/>
                <w:szCs w:val="21"/>
              </w:rPr>
              <w:t>1</w:t>
            </w:r>
            <w:r>
              <w:rPr>
                <w:rFonts w:hint="default" w:ascii="宋体" w:hAnsi="宋体"/>
                <w:kern w:val="0"/>
                <w:sz w:val="24"/>
                <w:szCs w:val="21"/>
              </w:rPr>
              <w:t>8</w:t>
            </w:r>
          </w:p>
        </w:tc>
      </w:tr>
    </w:tbl>
    <w:p w14:paraId="3CA350D2">
      <w:pPr>
        <w:spacing w:line="360" w:lineRule="auto"/>
        <w:rPr>
          <w:rFonts w:hint="eastAsia" w:ascii="宋体" w:hAnsi="宋体"/>
          <w:sz w:val="24"/>
          <w:szCs w:val="21"/>
        </w:rPr>
      </w:pPr>
    </w:p>
    <w:p w14:paraId="7CB06E87">
      <w:pPr>
        <w:pStyle w:val="107"/>
        <w:numPr>
          <w:ilvl w:val="0"/>
          <w:numId w:val="6"/>
        </w:numPr>
        <w:spacing w:line="360" w:lineRule="auto"/>
        <w:ind w:firstLineChars="0"/>
        <w:rPr>
          <w:rFonts w:ascii="宋体" w:hAnsi="宋体"/>
          <w:sz w:val="24"/>
          <w:szCs w:val="21"/>
        </w:rPr>
      </w:pPr>
      <w:r>
        <w:rPr>
          <w:rFonts w:hint="eastAsia" w:ascii="宋体" w:hAnsi="宋体"/>
          <w:sz w:val="24"/>
          <w:szCs w:val="21"/>
        </w:rPr>
        <w:t>供应商应按餐饮标准足额提供配餐，各套餐售价不得高于相应限价，餐品在符合餐饮标准的基础上可提供多元化的菜式。</w:t>
      </w:r>
    </w:p>
    <w:p w14:paraId="2A66FD9F">
      <w:pPr>
        <w:pStyle w:val="107"/>
        <w:numPr>
          <w:ilvl w:val="0"/>
          <w:numId w:val="6"/>
        </w:numPr>
        <w:spacing w:line="360" w:lineRule="auto"/>
        <w:ind w:firstLineChars="0"/>
        <w:rPr>
          <w:rFonts w:ascii="宋体" w:hAnsi="宋体"/>
          <w:sz w:val="24"/>
          <w:szCs w:val="21"/>
        </w:rPr>
      </w:pPr>
      <w:r>
        <w:rPr>
          <w:rFonts w:hint="eastAsia" w:ascii="宋体" w:hAnsi="宋体"/>
          <w:sz w:val="24"/>
          <w:szCs w:val="21"/>
        </w:rPr>
        <w:t>如供应商有自定义套餐可增加列表并提供方案。</w:t>
      </w:r>
    </w:p>
    <w:p w14:paraId="2025DF43">
      <w:pPr>
        <w:pStyle w:val="107"/>
        <w:numPr>
          <w:ilvl w:val="0"/>
          <w:numId w:val="6"/>
        </w:numPr>
        <w:spacing w:line="360" w:lineRule="auto"/>
        <w:ind w:firstLineChars="0"/>
        <w:rPr>
          <w:rFonts w:ascii="宋体" w:hAnsi="宋体"/>
          <w:sz w:val="24"/>
          <w:szCs w:val="21"/>
        </w:rPr>
      </w:pPr>
      <w:r>
        <w:rPr>
          <w:rFonts w:hint="eastAsia" w:ascii="宋体" w:hAnsi="宋体"/>
          <w:sz w:val="24"/>
          <w:szCs w:val="21"/>
        </w:rPr>
        <w:t>供应商须对上述定价及服务</w:t>
      </w:r>
      <w:r>
        <w:rPr>
          <w:rFonts w:hint="eastAsia" w:ascii="宋体" w:hAnsi="宋体"/>
          <w:b/>
          <w:bCs/>
          <w:sz w:val="24"/>
          <w:szCs w:val="21"/>
        </w:rPr>
        <w:t>出具承诺函</w:t>
      </w:r>
      <w:r>
        <w:rPr>
          <w:rFonts w:hint="eastAsia" w:ascii="宋体" w:hAnsi="宋体"/>
          <w:sz w:val="24"/>
          <w:szCs w:val="21"/>
        </w:rPr>
        <w:t>。</w:t>
      </w:r>
    </w:p>
    <w:p w14:paraId="1617A4A2">
      <w:pPr>
        <w:pStyle w:val="107"/>
        <w:numPr>
          <w:ilvl w:val="0"/>
          <w:numId w:val="5"/>
        </w:numPr>
        <w:spacing w:line="360" w:lineRule="auto"/>
        <w:ind w:firstLineChars="0"/>
        <w:rPr>
          <w:rFonts w:ascii="宋体" w:hAnsi="宋体"/>
          <w:sz w:val="24"/>
          <w:szCs w:val="21"/>
        </w:rPr>
      </w:pPr>
      <w:r>
        <w:rPr>
          <w:rFonts w:hint="eastAsia" w:ascii="宋体" w:hAnsi="宋体"/>
          <w:sz w:val="24"/>
          <w:szCs w:val="21"/>
        </w:rPr>
        <w:t>供应商提供订餐平台，平台系统操作简单、方便快捷，具有餐品介绍、订餐（含送餐地点、时间、菜品）、交费、退订、退费以及意反馈、投诉、满意度调查等功能。供应商应设项目负责人专人管理(包括不限于订、退订、月结算等工作) ，供应商须根据采购人实际需求完善相关软、硬件设施的维保、升级和设备增购等。</w:t>
      </w:r>
      <w:r>
        <w:rPr>
          <w:rFonts w:ascii="宋体" w:hAnsi="宋体"/>
          <w:sz w:val="24"/>
          <w:szCs w:val="21"/>
        </w:rPr>
        <w:t>供应商应开通采购人平台管理的订餐数据查阅权限，用于采购人对账。</w:t>
      </w:r>
    </w:p>
    <w:p w14:paraId="509547B5">
      <w:pPr>
        <w:pStyle w:val="107"/>
        <w:numPr>
          <w:ilvl w:val="0"/>
          <w:numId w:val="5"/>
        </w:numPr>
        <w:spacing w:line="360" w:lineRule="auto"/>
        <w:ind w:firstLineChars="0"/>
        <w:rPr>
          <w:rFonts w:ascii="宋体" w:hAnsi="宋体"/>
          <w:sz w:val="24"/>
          <w:szCs w:val="21"/>
        </w:rPr>
      </w:pPr>
      <w:r>
        <w:rPr>
          <w:rFonts w:hint="eastAsia" w:ascii="宋体" w:hAnsi="宋体"/>
          <w:sz w:val="24"/>
          <w:szCs w:val="21"/>
        </w:rPr>
        <w:t>供应商</w:t>
      </w:r>
      <w:r>
        <w:rPr>
          <w:rFonts w:hint="default" w:ascii="宋体" w:hAnsi="宋体"/>
          <w:sz w:val="24"/>
          <w:szCs w:val="21"/>
        </w:rPr>
        <w:t>须</w:t>
      </w:r>
      <w:r>
        <w:rPr>
          <w:rFonts w:hint="eastAsia" w:ascii="宋体" w:hAnsi="宋体"/>
          <w:sz w:val="24"/>
          <w:szCs w:val="21"/>
        </w:rPr>
        <w:t>具备应对突发事件的能力，并提供应急措施</w:t>
      </w:r>
      <w:r>
        <w:rPr>
          <w:rFonts w:hint="default" w:ascii="宋体" w:hAnsi="宋体"/>
          <w:sz w:val="24"/>
          <w:szCs w:val="21"/>
        </w:rPr>
        <w:t>，</w:t>
      </w:r>
      <w:r>
        <w:rPr>
          <w:rFonts w:hint="eastAsia" w:ascii="宋体" w:hAnsi="宋体"/>
          <w:sz w:val="24"/>
          <w:szCs w:val="21"/>
        </w:rPr>
        <w:t>包括但不限于食物中毒或者其他食源性疾患、医院封闭、因交通、卫生、天气等原因影响送餐突发事件</w:t>
      </w:r>
      <w:r>
        <w:rPr>
          <w:rFonts w:hint="default" w:ascii="宋体" w:hAnsi="宋体"/>
          <w:sz w:val="24"/>
          <w:szCs w:val="21"/>
        </w:rPr>
        <w:t>等</w:t>
      </w:r>
      <w:r>
        <w:rPr>
          <w:rFonts w:hint="eastAsia" w:ascii="宋体" w:hAnsi="宋体"/>
          <w:sz w:val="24"/>
          <w:szCs w:val="21"/>
        </w:rPr>
        <w:t>应急预案，确保采购人及时得到餐品供应。配送食品出现变质变味等质量问题的，应当全部收回并销毁,采取紧急措施供应配餐，采购人有权按情节严重程度扣罚1000元至</w:t>
      </w:r>
      <w:r>
        <w:rPr>
          <w:rFonts w:ascii="宋体" w:hAnsi="宋体"/>
          <w:sz w:val="24"/>
          <w:szCs w:val="21"/>
        </w:rPr>
        <w:t>1</w:t>
      </w:r>
      <w:r>
        <w:rPr>
          <w:rFonts w:hint="eastAsia" w:ascii="宋体" w:hAnsi="宋体"/>
          <w:sz w:val="24"/>
          <w:szCs w:val="21"/>
        </w:rPr>
        <w:t>万元。</w:t>
      </w:r>
    </w:p>
    <w:p w14:paraId="21C4DA59">
      <w:pPr>
        <w:pStyle w:val="107"/>
        <w:numPr>
          <w:ilvl w:val="0"/>
          <w:numId w:val="5"/>
        </w:numPr>
        <w:spacing w:line="360" w:lineRule="auto"/>
        <w:ind w:firstLineChars="0"/>
        <w:rPr>
          <w:rFonts w:ascii="宋体" w:hAnsi="宋体"/>
          <w:sz w:val="24"/>
          <w:szCs w:val="21"/>
        </w:rPr>
      </w:pPr>
      <w:r>
        <w:rPr>
          <w:rFonts w:hint="eastAsia" w:ascii="宋体" w:hAnsi="宋体"/>
          <w:sz w:val="24"/>
          <w:szCs w:val="21"/>
        </w:rPr>
        <w:t>食品安全要求：</w:t>
      </w:r>
    </w:p>
    <w:p w14:paraId="13E9A3B6">
      <w:pPr>
        <w:pStyle w:val="107"/>
        <w:numPr>
          <w:ilvl w:val="0"/>
          <w:numId w:val="7"/>
        </w:numPr>
        <w:spacing w:line="360" w:lineRule="auto"/>
        <w:ind w:firstLineChars="0"/>
        <w:rPr>
          <w:rFonts w:ascii="宋体" w:hAnsi="宋体"/>
          <w:sz w:val="24"/>
          <w:szCs w:val="21"/>
        </w:rPr>
      </w:pPr>
      <w:r>
        <w:rPr>
          <w:rFonts w:hint="eastAsia" w:ascii="宋体" w:hAnsi="宋体"/>
          <w:sz w:val="24"/>
          <w:szCs w:val="21"/>
        </w:rPr>
        <w:t>供应商提供符合食用标准的餐具供采购人的员工和患者家属就餐使用。</w:t>
      </w:r>
    </w:p>
    <w:p w14:paraId="10B9BF6F">
      <w:pPr>
        <w:pStyle w:val="107"/>
        <w:numPr>
          <w:ilvl w:val="0"/>
          <w:numId w:val="7"/>
        </w:numPr>
        <w:spacing w:line="360" w:lineRule="auto"/>
        <w:ind w:firstLineChars="0"/>
        <w:rPr>
          <w:rFonts w:ascii="宋体" w:hAnsi="宋体"/>
          <w:sz w:val="24"/>
          <w:szCs w:val="21"/>
        </w:rPr>
      </w:pPr>
      <w:r>
        <w:rPr>
          <w:rFonts w:hint="eastAsia" w:ascii="宋体" w:hAnsi="宋体"/>
          <w:sz w:val="24"/>
          <w:szCs w:val="21"/>
        </w:rPr>
        <w:t>供应商必须按营养菜谱为用餐人员提供高蛋白、营养均衡的各类菜肴，使用的米、食油、调味料等要符合国家安全标准</w:t>
      </w:r>
      <w:r>
        <w:rPr>
          <w:rFonts w:ascii="宋体" w:hAnsi="宋体"/>
          <w:sz w:val="24"/>
          <w:szCs w:val="21"/>
        </w:rPr>
        <w:t>,外包装有安全标识，并实施溯源管理。</w:t>
      </w:r>
    </w:p>
    <w:p w14:paraId="6D40D927">
      <w:pPr>
        <w:pStyle w:val="107"/>
        <w:numPr>
          <w:ilvl w:val="0"/>
          <w:numId w:val="7"/>
        </w:numPr>
        <w:spacing w:line="360" w:lineRule="auto"/>
        <w:ind w:firstLineChars="0"/>
        <w:rPr>
          <w:rFonts w:ascii="宋体" w:hAnsi="宋体"/>
          <w:sz w:val="24"/>
          <w:szCs w:val="21"/>
        </w:rPr>
      </w:pPr>
      <w:r>
        <w:rPr>
          <w:rFonts w:hint="eastAsia" w:ascii="宋体" w:hAnsi="宋体"/>
          <w:sz w:val="24"/>
          <w:szCs w:val="21"/>
        </w:rPr>
        <w:t>供应商必须遵守国家规定的卫生管理条例，严格执行《食品安全法》和《动物检疫法》，保证供应新鲜的肉、蔬菜等食品，若发现供应商供应变质食品的，采购人有权取消其配送资格，并承担由此造成的经济责任和法律责任。</w:t>
      </w:r>
    </w:p>
    <w:p w14:paraId="64D9EC74">
      <w:pPr>
        <w:pStyle w:val="107"/>
        <w:numPr>
          <w:ilvl w:val="0"/>
          <w:numId w:val="7"/>
        </w:numPr>
        <w:spacing w:line="360" w:lineRule="auto"/>
        <w:ind w:firstLineChars="0"/>
        <w:rPr>
          <w:rFonts w:ascii="宋体" w:hAnsi="宋体"/>
          <w:sz w:val="24"/>
          <w:szCs w:val="21"/>
        </w:rPr>
      </w:pPr>
      <w:r>
        <w:rPr>
          <w:rFonts w:hint="eastAsia" w:ascii="宋体" w:hAnsi="宋体"/>
          <w:sz w:val="24"/>
          <w:szCs w:val="21"/>
        </w:rPr>
        <w:t>供应商每天须对所购原料按食品卫生监督部门要求做好农药残留检验工作，如发生因食用供应商提供的食品导致腹泻、食物中毒等事故，供应商承担一切法律责任。</w:t>
      </w:r>
    </w:p>
    <w:p w14:paraId="12AF014A">
      <w:pPr>
        <w:pStyle w:val="107"/>
        <w:numPr>
          <w:ilvl w:val="0"/>
          <w:numId w:val="7"/>
        </w:numPr>
        <w:spacing w:line="360" w:lineRule="auto"/>
        <w:ind w:firstLineChars="0"/>
        <w:rPr>
          <w:rFonts w:ascii="宋体" w:hAnsi="宋体"/>
          <w:sz w:val="24"/>
          <w:szCs w:val="21"/>
        </w:rPr>
      </w:pPr>
      <w:r>
        <w:rPr>
          <w:rFonts w:hint="eastAsia" w:ascii="宋体" w:hAnsi="宋体"/>
          <w:sz w:val="24"/>
          <w:szCs w:val="21"/>
        </w:rPr>
        <w:t>供应商应当按规定提供食品留样，食品留样应记录留样食品名称、留样时间</w:t>
      </w:r>
      <w:r>
        <w:rPr>
          <w:rFonts w:ascii="宋体" w:hAnsi="宋体"/>
          <w:sz w:val="24"/>
          <w:szCs w:val="21"/>
        </w:rPr>
        <w:t>(月、日、时)、留样人员等情况，在专用冷藏设备0℃~8℃条件下存放48小时以上，每个品种的留样量应满足检验检测需要，且不少于125</w:t>
      </w:r>
      <w:r>
        <w:rPr>
          <w:rFonts w:hint="eastAsia" w:ascii="宋体" w:hAnsi="宋体"/>
          <w:sz w:val="24"/>
          <w:szCs w:val="21"/>
        </w:rPr>
        <w:t>g</w:t>
      </w:r>
      <w:r>
        <w:rPr>
          <w:rFonts w:hint="default" w:ascii="宋体" w:hAnsi="宋体"/>
          <w:sz w:val="24"/>
          <w:szCs w:val="21"/>
        </w:rPr>
        <w:t>，</w:t>
      </w:r>
      <w:r>
        <w:rPr>
          <w:rFonts w:hint="eastAsia" w:ascii="宋体" w:hAnsi="宋体"/>
          <w:sz w:val="24"/>
          <w:szCs w:val="21"/>
        </w:rPr>
        <w:t>以备追索与查验。</w:t>
      </w:r>
    </w:p>
    <w:p w14:paraId="17B79DE0">
      <w:pPr>
        <w:pStyle w:val="107"/>
        <w:numPr>
          <w:ilvl w:val="0"/>
          <w:numId w:val="7"/>
        </w:numPr>
        <w:spacing w:line="360" w:lineRule="auto"/>
        <w:ind w:firstLineChars="0"/>
        <w:rPr>
          <w:rFonts w:ascii="宋体" w:hAnsi="宋体"/>
          <w:sz w:val="24"/>
          <w:szCs w:val="21"/>
          <w:highlight w:val="none"/>
        </w:rPr>
      </w:pPr>
      <w:r>
        <w:rPr>
          <w:rFonts w:hint="eastAsia" w:ascii="宋体" w:hAnsi="宋体"/>
          <w:sz w:val="24"/>
          <w:szCs w:val="21"/>
        </w:rPr>
        <w:t>供应商不得采购、加工和使用法律、法规和规章规定的禁止经营或者不符合食品安全标准的食品、食品添加剂、食品相关产品。不得外购熟食、凉菜，不得加工制作四季豆、鲜黄花菜、野生蘑菇、发芽土豆等高风险食品，不得提供冷荤类食品、生食类、三明治、凉皮、裱花及冷加工蛋糕等食品</w:t>
      </w:r>
      <w:r>
        <w:rPr>
          <w:rFonts w:hint="eastAsia" w:ascii="宋体" w:hAnsi="宋体"/>
          <w:sz w:val="24"/>
          <w:szCs w:val="21"/>
          <w:highlight w:val="none"/>
        </w:rPr>
        <w:t>。</w:t>
      </w:r>
    </w:p>
    <w:p w14:paraId="59368073">
      <w:pPr>
        <w:pStyle w:val="107"/>
        <w:numPr>
          <w:ilvl w:val="0"/>
          <w:numId w:val="7"/>
        </w:numPr>
        <w:spacing w:line="360" w:lineRule="auto"/>
        <w:ind w:firstLineChars="0"/>
        <w:rPr>
          <w:rFonts w:ascii="宋体" w:hAnsi="宋体"/>
          <w:sz w:val="24"/>
          <w:szCs w:val="21"/>
          <w:highlight w:val="none"/>
        </w:rPr>
      </w:pPr>
      <w:r>
        <w:rPr>
          <w:rFonts w:hint="eastAsia" w:ascii="宋体" w:hAnsi="宋体"/>
          <w:sz w:val="24"/>
          <w:szCs w:val="21"/>
          <w:highlight w:val="none"/>
        </w:rPr>
        <w:t>★供应商应保证当天所有餐次的出品都是当天制作，如经第三方检测确因供应商的餐品质量和食品安全出现问题，造成采购人食品安全事故的，</w:t>
      </w:r>
      <w:r>
        <w:rPr>
          <w:rFonts w:hint="eastAsia" w:ascii="宋体" w:hAnsi="宋体" w:eastAsia="宋体" w:cs="Times New Roman"/>
          <w:kern w:val="2"/>
          <w:sz w:val="24"/>
          <w:szCs w:val="21"/>
          <w:highlight w:val="none"/>
          <w:lang w:val="en-US" w:eastAsia="zh-CN" w:bidi="ar"/>
        </w:rPr>
        <w:t>采购人有权立即解除合同，所有的法律责任和经济损失由供应商承担，且供应商须向采购人支付2万元作为违约金。</w:t>
      </w:r>
      <w:r>
        <w:rPr>
          <w:rFonts w:ascii="宋体" w:hAnsi="宋体" w:eastAsia="宋体" w:cs="宋体"/>
          <w:sz w:val="24"/>
          <w:szCs w:val="24"/>
          <w:highlight w:val="none"/>
          <w:lang w:eastAsia="zh-CN"/>
        </w:rPr>
        <w:t xml:space="preserve"> </w:t>
      </w:r>
    </w:p>
    <w:p w14:paraId="5B78147C">
      <w:pPr>
        <w:pStyle w:val="107"/>
        <w:numPr>
          <w:ilvl w:val="0"/>
          <w:numId w:val="5"/>
        </w:numPr>
        <w:spacing w:line="360" w:lineRule="auto"/>
        <w:ind w:firstLineChars="0"/>
        <w:rPr>
          <w:rFonts w:ascii="宋体" w:hAnsi="宋体"/>
          <w:sz w:val="24"/>
          <w:szCs w:val="21"/>
          <w:highlight w:val="none"/>
        </w:rPr>
      </w:pPr>
      <w:r>
        <w:rPr>
          <w:rFonts w:hint="eastAsia" w:ascii="宋体" w:hAnsi="宋体"/>
          <w:sz w:val="24"/>
          <w:szCs w:val="21"/>
          <w:highlight w:val="none"/>
        </w:rPr>
        <w:t>供应商需配合做好与原供应商的交接工作。</w:t>
      </w:r>
    </w:p>
    <w:p w14:paraId="442E71B6">
      <w:pPr>
        <w:pStyle w:val="107"/>
        <w:numPr>
          <w:ilvl w:val="0"/>
          <w:numId w:val="5"/>
        </w:numPr>
        <w:spacing w:line="360" w:lineRule="auto"/>
        <w:ind w:firstLineChars="0"/>
        <w:rPr>
          <w:rFonts w:ascii="宋体" w:hAnsi="宋体"/>
          <w:sz w:val="24"/>
          <w:szCs w:val="21"/>
        </w:rPr>
      </w:pPr>
      <w:r>
        <w:rPr>
          <w:rFonts w:hint="eastAsia" w:ascii="宋体" w:hAnsi="宋体"/>
          <w:vanish/>
          <w:sz w:val="24"/>
          <w:szCs w:val="21"/>
        </w:rPr>
        <w:t>招标方指定时间内完成各项订餐送餐服务。等功能。乙方应设立专人专</w:t>
      </w:r>
      <w:r>
        <w:rPr>
          <w:rFonts w:hint="eastAsia" w:ascii="宋体" w:hAnsi="宋体"/>
          <w:sz w:val="24"/>
          <w:szCs w:val="21"/>
        </w:rPr>
        <w:t>供应商的工作人员须服从采购人协调管理，并配合医院做好各项应急供餐和上级交办餐饮相关任务。</w:t>
      </w:r>
    </w:p>
    <w:p w14:paraId="79D37752">
      <w:pPr>
        <w:pStyle w:val="107"/>
        <w:numPr>
          <w:ilvl w:val="0"/>
          <w:numId w:val="5"/>
        </w:numPr>
        <w:spacing w:line="360" w:lineRule="auto"/>
        <w:ind w:firstLineChars="0"/>
        <w:rPr>
          <w:rFonts w:ascii="宋体" w:hAnsi="宋体"/>
          <w:sz w:val="24"/>
          <w:szCs w:val="21"/>
        </w:rPr>
      </w:pPr>
      <w:r>
        <w:rPr>
          <w:rFonts w:hint="eastAsia" w:ascii="宋体" w:hAnsi="宋体"/>
          <w:sz w:val="24"/>
          <w:szCs w:val="21"/>
        </w:rPr>
        <w:t>★供应商需严格执行供应商的食品安全等各项医院管理制度及工作要求，如违反上述制度或要求经采购人书面警告仍拒不整改或整改不到位的，采购人有权终止合同，且对采购人造成财产或声誉损害的，供应商应承担赔偿责任，且供应商应向采购人支付2万元作为违约金。</w:t>
      </w:r>
    </w:p>
    <w:p w14:paraId="70961F9F">
      <w:pPr>
        <w:pStyle w:val="107"/>
        <w:numPr>
          <w:ilvl w:val="0"/>
          <w:numId w:val="5"/>
        </w:numPr>
        <w:spacing w:line="360" w:lineRule="auto"/>
        <w:ind w:firstLineChars="0"/>
        <w:rPr>
          <w:rFonts w:ascii="宋体" w:hAnsi="宋体"/>
          <w:sz w:val="24"/>
          <w:szCs w:val="21"/>
          <w:highlight w:val="none"/>
        </w:rPr>
      </w:pPr>
      <w:r>
        <w:rPr>
          <w:rFonts w:hint="eastAsia" w:ascii="宋体" w:hAnsi="宋体"/>
          <w:bCs/>
          <w:sz w:val="24"/>
          <w:szCs w:val="21"/>
        </w:rPr>
        <w:t>配送要求</w:t>
      </w:r>
    </w:p>
    <w:p w14:paraId="09385A26">
      <w:pPr>
        <w:pStyle w:val="107"/>
        <w:numPr>
          <w:ilvl w:val="0"/>
          <w:numId w:val="8"/>
        </w:numPr>
        <w:spacing w:line="360" w:lineRule="auto"/>
        <w:ind w:firstLineChars="0"/>
        <w:rPr>
          <w:rFonts w:ascii="宋体" w:hAnsi="宋体"/>
          <w:bCs/>
          <w:sz w:val="24"/>
          <w:szCs w:val="21"/>
        </w:rPr>
      </w:pPr>
      <w:r>
        <w:rPr>
          <w:rFonts w:hint="eastAsia" w:ascii="宋体" w:hAnsi="宋体"/>
          <w:sz w:val="24"/>
          <w:szCs w:val="21"/>
          <w:highlight w:val="none"/>
        </w:rPr>
        <w:t>★</w:t>
      </w:r>
      <w:r>
        <w:rPr>
          <w:rFonts w:hint="eastAsia" w:ascii="宋体" w:hAnsi="宋体"/>
          <w:bCs/>
          <w:sz w:val="24"/>
          <w:szCs w:val="21"/>
          <w:highlight w:val="none"/>
        </w:rPr>
        <w:t>配餐车辆要求：供应商在获得中标资格后，必须配备</w:t>
      </w:r>
      <w:r>
        <w:rPr>
          <w:rFonts w:hint="default" w:ascii="宋体" w:hAnsi="宋体"/>
          <w:bCs/>
          <w:sz w:val="24"/>
          <w:szCs w:val="21"/>
          <w:highlight w:val="none"/>
        </w:rPr>
        <w:t>至少1 台</w:t>
      </w:r>
      <w:r>
        <w:rPr>
          <w:rFonts w:hint="eastAsia" w:ascii="宋体" w:hAnsi="宋体"/>
          <w:bCs/>
          <w:sz w:val="24"/>
          <w:szCs w:val="21"/>
          <w:highlight w:val="none"/>
        </w:rPr>
        <w:t>专用送</w:t>
      </w:r>
      <w:r>
        <w:rPr>
          <w:rFonts w:hint="eastAsia" w:ascii="宋体" w:hAnsi="宋体"/>
          <w:bCs/>
          <w:sz w:val="24"/>
          <w:szCs w:val="21"/>
        </w:rPr>
        <w:t>餐车辆(车辆尾部为密封车厢，保证食品运送安全</w:t>
      </w:r>
      <w:r>
        <w:rPr>
          <w:rFonts w:hint="default" w:ascii="宋体" w:hAnsi="宋体"/>
          <w:bCs/>
          <w:sz w:val="24"/>
          <w:szCs w:val="21"/>
        </w:rPr>
        <w:t>）。</w:t>
      </w:r>
      <w:r>
        <w:rPr>
          <w:rFonts w:hint="eastAsia" w:ascii="宋体" w:hAnsi="宋体"/>
          <w:bCs/>
          <w:sz w:val="24"/>
          <w:szCs w:val="21"/>
        </w:rPr>
        <w:t>供应商不得私自转让或委托他人经营送餐，一经发现采购人有权单方面终止合同，并给予经济处罚或诉诸法律，且</w:t>
      </w:r>
      <w:r>
        <w:rPr>
          <w:rFonts w:hint="eastAsia" w:ascii="宋体" w:hAnsi="宋体"/>
          <w:sz w:val="24"/>
          <w:szCs w:val="21"/>
        </w:rPr>
        <w:t>供应商应向采购人支付2万元作为违约金。</w:t>
      </w:r>
    </w:p>
    <w:p w14:paraId="38666C35">
      <w:pPr>
        <w:pStyle w:val="107"/>
        <w:numPr>
          <w:ilvl w:val="0"/>
          <w:numId w:val="8"/>
        </w:numPr>
        <w:spacing w:line="360" w:lineRule="auto"/>
        <w:ind w:firstLineChars="0"/>
        <w:rPr>
          <w:rFonts w:ascii="宋体" w:hAnsi="宋体"/>
          <w:bCs/>
          <w:sz w:val="24"/>
          <w:szCs w:val="21"/>
        </w:rPr>
      </w:pPr>
      <w:r>
        <w:rPr>
          <w:rFonts w:hint="eastAsia" w:ascii="宋体" w:hAnsi="宋体"/>
          <w:bCs/>
          <w:sz w:val="24"/>
          <w:szCs w:val="21"/>
        </w:rPr>
        <w:t>食品运输需采用符合卫生标准的外包装和运载工具，保证运输工具的清洁卫生无污染，做到每天按时清洁和消毒。运输车厢的内仓，包括地面、墙面和车顶，应使用抗腐蚀、防潮，易清洁消毒的材料。投标人应保证车厢内无不良气体和异味；运输途中严防日晒、雨淋，注意通风散热，并严防车辆机械损伤，车厢内食品堆放科学合理，避免造成食品的交叉污染。送餐人员应当保持个人卫生。</w:t>
      </w:r>
    </w:p>
    <w:p w14:paraId="3C72FB17">
      <w:pPr>
        <w:pStyle w:val="107"/>
        <w:numPr>
          <w:ilvl w:val="0"/>
          <w:numId w:val="8"/>
        </w:numPr>
        <w:spacing w:line="360" w:lineRule="auto"/>
        <w:ind w:firstLineChars="0"/>
        <w:rPr>
          <w:rFonts w:ascii="宋体" w:hAnsi="宋体"/>
          <w:bCs/>
          <w:sz w:val="24"/>
          <w:szCs w:val="21"/>
        </w:rPr>
      </w:pPr>
      <w:r>
        <w:rPr>
          <w:rFonts w:hint="eastAsia" w:ascii="宋体" w:hAnsi="宋体"/>
          <w:bCs/>
          <w:sz w:val="24"/>
          <w:szCs w:val="21"/>
        </w:rPr>
        <w:t>食品配送过程的温度等条件应当符合食品安全要求，所有配送的食物要煮熟煮透，优化配送时间，确保餐食到达医院指定地点时的中心温度达60℃以上，食品从制作完成到食用时间间隔不得超过4个小时。</w:t>
      </w:r>
    </w:p>
    <w:p w14:paraId="3C5C8C16">
      <w:pPr>
        <w:pStyle w:val="107"/>
        <w:numPr>
          <w:ilvl w:val="0"/>
          <w:numId w:val="8"/>
        </w:numPr>
        <w:spacing w:line="360" w:lineRule="auto"/>
        <w:ind w:firstLineChars="0"/>
        <w:rPr>
          <w:rFonts w:ascii="宋体" w:hAnsi="宋体"/>
          <w:bCs/>
          <w:sz w:val="24"/>
          <w:szCs w:val="21"/>
        </w:rPr>
      </w:pPr>
      <w:r>
        <w:rPr>
          <w:rFonts w:hint="eastAsia" w:ascii="宋体" w:hAnsi="宋体"/>
          <w:bCs/>
          <w:sz w:val="24"/>
          <w:szCs w:val="21"/>
        </w:rPr>
        <w:t>包装必须与运输方式相适应，包装及运输等费用均由供应商负责，由于包装面造成餐盒在运输过程中有任何损坏、丢失由供应商负责。</w:t>
      </w:r>
    </w:p>
    <w:p w14:paraId="1841FF27">
      <w:pPr>
        <w:pStyle w:val="107"/>
        <w:numPr>
          <w:ilvl w:val="0"/>
          <w:numId w:val="8"/>
        </w:numPr>
        <w:spacing w:line="360" w:lineRule="auto"/>
        <w:ind w:firstLineChars="0"/>
        <w:rPr>
          <w:rFonts w:ascii="宋体" w:hAnsi="宋体"/>
          <w:bCs/>
          <w:sz w:val="24"/>
          <w:szCs w:val="21"/>
        </w:rPr>
      </w:pPr>
      <w:r>
        <w:rPr>
          <w:rFonts w:hint="eastAsia" w:ascii="宋体" w:hAnsi="宋体"/>
          <w:bCs/>
          <w:sz w:val="24"/>
          <w:szCs w:val="21"/>
        </w:rPr>
        <w:t>中央厨房配送的食品,应在包装或者容器上标注中央厨房信息,以及食品名称,加工时间、保存条件、保存期限/食用时限,并提醒用餐人员收到后尽快食用。</w:t>
      </w:r>
    </w:p>
    <w:p w14:paraId="605582BD">
      <w:pPr>
        <w:numPr>
          <w:ilvl w:val="0"/>
          <w:numId w:val="9"/>
        </w:numPr>
        <w:spacing w:line="360" w:lineRule="auto"/>
        <w:rPr>
          <w:rFonts w:ascii="宋体" w:hAnsi="宋体"/>
          <w:b/>
          <w:bCs/>
          <w:sz w:val="24"/>
          <w:szCs w:val="21"/>
        </w:rPr>
      </w:pPr>
      <w:r>
        <w:rPr>
          <w:rFonts w:ascii="宋体" w:hAnsi="宋体"/>
          <w:b/>
          <w:bCs/>
          <w:sz w:val="24"/>
          <w:szCs w:val="21"/>
        </w:rPr>
        <w:t>项目验收</w:t>
      </w:r>
    </w:p>
    <w:p w14:paraId="4906F465">
      <w:pPr>
        <w:spacing w:line="360" w:lineRule="auto"/>
        <w:rPr>
          <w:rFonts w:hint="eastAsia" w:ascii="宋体" w:hAnsi="宋体"/>
          <w:bCs/>
          <w:kern w:val="0"/>
          <w:sz w:val="24"/>
          <w:szCs w:val="21"/>
        </w:rPr>
      </w:pPr>
      <w:r>
        <w:rPr>
          <w:rFonts w:ascii="宋体" w:hAnsi="宋体"/>
          <w:bCs/>
          <w:kern w:val="0"/>
          <w:sz w:val="24"/>
          <w:szCs w:val="21"/>
        </w:rPr>
        <w:t xml:space="preserve">    </w:t>
      </w:r>
      <w:r>
        <w:rPr>
          <w:rFonts w:hint="eastAsia" w:ascii="宋体" w:hAnsi="宋体"/>
          <w:bCs/>
          <w:kern w:val="0"/>
          <w:sz w:val="24"/>
          <w:szCs w:val="21"/>
        </w:rPr>
        <w:t>采购人组成验收小组，按照采购合同规定的技术、服务、</w:t>
      </w:r>
      <w:r>
        <w:rPr>
          <w:rFonts w:ascii="宋体" w:hAnsi="宋体"/>
          <w:bCs/>
          <w:kern w:val="0"/>
          <w:sz w:val="24"/>
          <w:szCs w:val="21"/>
        </w:rPr>
        <w:t>管理、质量考评要求，</w:t>
      </w:r>
      <w:r>
        <w:rPr>
          <w:rFonts w:hint="eastAsia" w:ascii="宋体" w:hAnsi="宋体"/>
          <w:bCs/>
          <w:kern w:val="0"/>
          <w:sz w:val="24"/>
          <w:szCs w:val="21"/>
        </w:rPr>
        <w:t>组织对中标人</w:t>
      </w:r>
      <w:r>
        <w:rPr>
          <w:rFonts w:ascii="宋体" w:hAnsi="宋体"/>
          <w:bCs/>
          <w:kern w:val="0"/>
          <w:sz w:val="24"/>
          <w:szCs w:val="21"/>
        </w:rPr>
        <w:t>进行实地考察（食品卫生质量、环境卫生、安全生产和用工情况等</w:t>
      </w:r>
      <w:r>
        <w:rPr>
          <w:rFonts w:hint="eastAsia" w:ascii="宋体" w:hAnsi="宋体"/>
          <w:bCs/>
          <w:kern w:val="0"/>
          <w:sz w:val="24"/>
          <w:szCs w:val="21"/>
        </w:rPr>
        <w:t>情况</w:t>
      </w:r>
      <w:r>
        <w:rPr>
          <w:rFonts w:ascii="宋体" w:hAnsi="宋体"/>
          <w:bCs/>
          <w:kern w:val="0"/>
          <w:sz w:val="24"/>
          <w:szCs w:val="21"/>
        </w:rPr>
        <w:t>）</w:t>
      </w:r>
      <w:r>
        <w:rPr>
          <w:rFonts w:hint="eastAsia" w:ascii="宋体" w:hAnsi="宋体"/>
          <w:bCs/>
          <w:kern w:val="0"/>
          <w:sz w:val="24"/>
          <w:szCs w:val="21"/>
        </w:rPr>
        <w:t>进行验收</w:t>
      </w:r>
      <w:r>
        <w:rPr>
          <w:rFonts w:ascii="宋体" w:hAnsi="宋体"/>
          <w:bCs/>
          <w:kern w:val="0"/>
          <w:sz w:val="24"/>
          <w:szCs w:val="21"/>
        </w:rPr>
        <w:t>，并出具验收报告</w:t>
      </w:r>
      <w:r>
        <w:rPr>
          <w:rFonts w:hint="eastAsia" w:ascii="宋体" w:hAnsi="宋体"/>
          <w:bCs/>
          <w:kern w:val="0"/>
          <w:sz w:val="24"/>
          <w:szCs w:val="21"/>
        </w:rPr>
        <w:t>。</w:t>
      </w:r>
    </w:p>
    <w:p w14:paraId="23A52AF9">
      <w:pPr>
        <w:numPr>
          <w:ilvl w:val="0"/>
          <w:numId w:val="9"/>
        </w:numPr>
        <w:spacing w:line="360" w:lineRule="auto"/>
        <w:rPr>
          <w:rFonts w:ascii="宋体" w:hAnsi="宋体"/>
          <w:b/>
          <w:bCs/>
          <w:sz w:val="24"/>
          <w:szCs w:val="21"/>
        </w:rPr>
      </w:pPr>
      <w:r>
        <w:rPr>
          <w:rFonts w:hint="eastAsia" w:ascii="宋体" w:hAnsi="宋体"/>
          <w:b/>
          <w:bCs/>
          <w:sz w:val="24"/>
          <w:szCs w:val="21"/>
        </w:rPr>
        <w:t>监督管理</w:t>
      </w:r>
    </w:p>
    <w:p w14:paraId="2ECC8C81">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rPr>
        <w:t>★采购人成立由食品安全工作小组，定期按照合同中有关评价条款对供餐单位开展考核评价，向供餐单位通报考核评价结果，及时反馈问题并督促其落实整改。供应商对落实食品安全主体责任不到位，存在以下情况的，采购人有权终止合同，供应商</w:t>
      </w:r>
      <w:r>
        <w:rPr>
          <w:rFonts w:hint="eastAsia" w:ascii="宋体" w:hAnsi="宋体"/>
          <w:sz w:val="24"/>
          <w:szCs w:val="21"/>
          <w:highlight w:val="none"/>
        </w:rPr>
        <w:t>应向采购人支付合同价</w:t>
      </w:r>
      <w:r>
        <w:rPr>
          <w:rFonts w:hint="default" w:ascii="宋体" w:hAnsi="宋体"/>
          <w:sz w:val="24"/>
          <w:szCs w:val="21"/>
          <w:highlight w:val="none"/>
        </w:rPr>
        <w:t>1</w:t>
      </w:r>
      <w:r>
        <w:rPr>
          <w:rFonts w:ascii="宋体" w:hAnsi="宋体"/>
          <w:sz w:val="24"/>
          <w:szCs w:val="21"/>
          <w:highlight w:val="none"/>
        </w:rPr>
        <w:t>0%</w:t>
      </w:r>
      <w:r>
        <w:rPr>
          <w:rFonts w:hint="eastAsia" w:ascii="宋体" w:hAnsi="宋体"/>
          <w:sz w:val="24"/>
          <w:szCs w:val="21"/>
          <w:highlight w:val="none"/>
        </w:rPr>
        <w:t>作为违约金，报告属地市场监管、行政部门。</w:t>
      </w:r>
    </w:p>
    <w:p w14:paraId="25F2636E">
      <w:pPr>
        <w:pStyle w:val="107"/>
        <w:numPr>
          <w:ilvl w:val="0"/>
          <w:numId w:val="11"/>
        </w:numPr>
        <w:spacing w:line="360" w:lineRule="auto"/>
        <w:ind w:firstLineChars="0"/>
        <w:rPr>
          <w:rFonts w:ascii="宋体" w:hAnsi="宋体"/>
          <w:sz w:val="24"/>
          <w:szCs w:val="21"/>
        </w:rPr>
      </w:pPr>
      <w:r>
        <w:rPr>
          <w:rFonts w:hint="eastAsia" w:ascii="宋体" w:hAnsi="宋体"/>
          <w:sz w:val="24"/>
          <w:szCs w:val="21"/>
        </w:rPr>
        <w:t>食品经营许可证超过有效期的(如国家或当地另有政策规定人适用其执行)。</w:t>
      </w:r>
    </w:p>
    <w:p w14:paraId="542419B5">
      <w:pPr>
        <w:pStyle w:val="107"/>
        <w:numPr>
          <w:ilvl w:val="0"/>
          <w:numId w:val="11"/>
        </w:numPr>
        <w:spacing w:line="360" w:lineRule="auto"/>
        <w:ind w:firstLineChars="0"/>
        <w:rPr>
          <w:rFonts w:ascii="宋体" w:hAnsi="宋体"/>
          <w:sz w:val="24"/>
          <w:szCs w:val="21"/>
        </w:rPr>
      </w:pPr>
      <w:r>
        <w:rPr>
          <w:rFonts w:hint="eastAsia" w:ascii="宋体" w:hAnsi="宋体"/>
          <w:sz w:val="24"/>
          <w:szCs w:val="21"/>
        </w:rPr>
        <w:t>发生较大或以上食品安全事故的。</w:t>
      </w:r>
    </w:p>
    <w:p w14:paraId="18EAE8A4">
      <w:pPr>
        <w:pStyle w:val="107"/>
        <w:numPr>
          <w:ilvl w:val="0"/>
          <w:numId w:val="11"/>
        </w:numPr>
        <w:spacing w:line="360" w:lineRule="auto"/>
        <w:ind w:firstLineChars="0"/>
        <w:rPr>
          <w:rFonts w:ascii="宋体" w:hAnsi="宋体"/>
          <w:sz w:val="24"/>
          <w:szCs w:val="21"/>
        </w:rPr>
      </w:pPr>
      <w:r>
        <w:rPr>
          <w:rFonts w:hint="eastAsia" w:ascii="宋体" w:hAnsi="宋体"/>
          <w:sz w:val="24"/>
          <w:szCs w:val="21"/>
        </w:rPr>
        <w:t>因食品安全问题引发较大或以上舆情事件的。</w:t>
      </w:r>
    </w:p>
    <w:p w14:paraId="642D056C">
      <w:pPr>
        <w:pStyle w:val="107"/>
        <w:numPr>
          <w:ilvl w:val="0"/>
          <w:numId w:val="11"/>
        </w:numPr>
        <w:spacing w:line="360" w:lineRule="auto"/>
        <w:ind w:firstLineChars="0"/>
        <w:rPr>
          <w:rFonts w:ascii="宋体" w:hAnsi="宋体"/>
          <w:sz w:val="24"/>
          <w:szCs w:val="21"/>
        </w:rPr>
      </w:pPr>
      <w:r>
        <w:rPr>
          <w:rFonts w:hint="eastAsia" w:ascii="宋体" w:hAnsi="宋体"/>
          <w:sz w:val="24"/>
          <w:szCs w:val="21"/>
        </w:rPr>
        <w:t>因违反《中华人民共和国食品安全法》及其实施条例等法律法规，一年内累计受到2次或以上行政处罚的。</w:t>
      </w:r>
    </w:p>
    <w:p w14:paraId="09CE195D">
      <w:pPr>
        <w:pStyle w:val="107"/>
        <w:numPr>
          <w:ilvl w:val="0"/>
          <w:numId w:val="11"/>
        </w:numPr>
        <w:spacing w:line="360" w:lineRule="auto"/>
        <w:ind w:firstLineChars="0"/>
        <w:rPr>
          <w:rFonts w:ascii="宋体" w:hAnsi="宋体"/>
          <w:sz w:val="24"/>
          <w:szCs w:val="21"/>
        </w:rPr>
      </w:pPr>
      <w:r>
        <w:rPr>
          <w:rFonts w:hint="eastAsia" w:ascii="宋体" w:hAnsi="宋体"/>
          <w:sz w:val="24"/>
          <w:szCs w:val="21"/>
        </w:rPr>
        <w:t>因存在重大食品安全隐患受到市场监管部门或人力资源社会保障通报的。</w:t>
      </w:r>
    </w:p>
    <w:p w14:paraId="4F349CBB">
      <w:pPr>
        <w:pStyle w:val="107"/>
        <w:numPr>
          <w:ilvl w:val="0"/>
          <w:numId w:val="11"/>
        </w:numPr>
        <w:spacing w:line="360" w:lineRule="auto"/>
        <w:ind w:firstLineChars="0"/>
        <w:rPr>
          <w:rFonts w:ascii="宋体" w:hAnsi="宋体"/>
          <w:sz w:val="24"/>
          <w:szCs w:val="21"/>
        </w:rPr>
      </w:pPr>
      <w:r>
        <w:rPr>
          <w:rFonts w:hint="eastAsia" w:ascii="宋体" w:hAnsi="宋体"/>
          <w:sz w:val="24"/>
          <w:szCs w:val="21"/>
        </w:rPr>
        <w:t>发生转包、分包行为，或擅自更换履约人、变更供餐生产地址等其他违反法律法规或供餐服务合同行为的。</w:t>
      </w:r>
    </w:p>
    <w:p w14:paraId="435E3EBC">
      <w:pPr>
        <w:pStyle w:val="107"/>
        <w:numPr>
          <w:ilvl w:val="0"/>
          <w:numId w:val="11"/>
        </w:numPr>
        <w:spacing w:line="360" w:lineRule="auto"/>
        <w:ind w:firstLineChars="0"/>
        <w:rPr>
          <w:rFonts w:ascii="宋体" w:hAnsi="宋体"/>
          <w:sz w:val="24"/>
          <w:szCs w:val="21"/>
        </w:rPr>
      </w:pPr>
      <w:r>
        <w:rPr>
          <w:rFonts w:hint="eastAsia" w:ascii="宋体" w:hAnsi="宋体"/>
          <w:sz w:val="24"/>
          <w:szCs w:val="21"/>
        </w:rPr>
        <w:t>出现未按供餐服务合同约定建立相关制度或执行制度不力、经营管理混乱降低供餐质量标准、随意变更供餐食谱等情况，经约谈后拒不整改的。</w:t>
      </w:r>
    </w:p>
    <w:p w14:paraId="5BF54D49">
      <w:pPr>
        <w:pStyle w:val="107"/>
        <w:numPr>
          <w:ilvl w:val="0"/>
          <w:numId w:val="11"/>
        </w:numPr>
        <w:spacing w:line="360" w:lineRule="auto"/>
        <w:ind w:firstLineChars="0"/>
        <w:rPr>
          <w:rFonts w:ascii="宋体" w:hAnsi="宋体"/>
          <w:sz w:val="24"/>
          <w:szCs w:val="21"/>
          <w:highlight w:val="none"/>
        </w:rPr>
      </w:pPr>
      <w:r>
        <w:rPr>
          <w:rFonts w:hint="eastAsia" w:ascii="宋体" w:hAnsi="宋体"/>
          <w:sz w:val="24"/>
          <w:szCs w:val="21"/>
          <w:highlight w:val="none"/>
        </w:rPr>
        <w:t>供应商与采购人间有商业贿赂等不正当经营行为的。</w:t>
      </w:r>
    </w:p>
    <w:p w14:paraId="3F95F8EC">
      <w:pPr>
        <w:pStyle w:val="107"/>
        <w:numPr>
          <w:ilvl w:val="0"/>
          <w:numId w:val="11"/>
        </w:numPr>
        <w:spacing w:line="360" w:lineRule="auto"/>
        <w:ind w:firstLineChars="0"/>
        <w:rPr>
          <w:rFonts w:ascii="宋体" w:hAnsi="宋体"/>
          <w:sz w:val="24"/>
          <w:szCs w:val="21"/>
          <w:highlight w:val="none"/>
        </w:rPr>
      </w:pPr>
      <w:r>
        <w:rPr>
          <w:rFonts w:hint="eastAsia" w:ascii="宋体" w:hAnsi="宋体"/>
          <w:sz w:val="24"/>
          <w:szCs w:val="21"/>
          <w:highlight w:val="none"/>
        </w:rPr>
        <w:t>存在其他违法、违规、违约等行为，影响恶劣的。</w:t>
      </w:r>
    </w:p>
    <w:p w14:paraId="3BFB8F0C">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highlight w:val="none"/>
        </w:rPr>
        <w:t>★供应商须做好院内餐饮保障服务工作，接受采购人监督检查并每月按要求提交食品安全管理资料。采购人按《餐饮管理月度服务质量考评》进行考评，月度考评分≧80分为合格，﹤80分时，每下降1分扣罚</w:t>
      </w:r>
      <w:r>
        <w:rPr>
          <w:rFonts w:ascii="宋体" w:hAnsi="宋体"/>
          <w:sz w:val="24"/>
          <w:szCs w:val="21"/>
          <w:highlight w:val="none"/>
        </w:rPr>
        <w:t>10</w:t>
      </w:r>
      <w:r>
        <w:rPr>
          <w:rFonts w:hint="eastAsia" w:ascii="宋体" w:hAnsi="宋体"/>
          <w:sz w:val="24"/>
          <w:szCs w:val="21"/>
          <w:highlight w:val="none"/>
        </w:rPr>
        <w:t>00元。</w:t>
      </w:r>
      <w:r>
        <w:rPr>
          <w:rFonts w:hint="eastAsia" w:ascii="宋体" w:hAnsi="宋体"/>
          <w:sz w:val="24"/>
          <w:highlight w:val="none"/>
        </w:rPr>
        <w:t>连续3个月考评低于80分采购人有权终止合同</w:t>
      </w:r>
      <w:r>
        <w:rPr>
          <w:rFonts w:hint="eastAsia" w:ascii="宋体" w:hAnsi="宋体"/>
          <w:sz w:val="24"/>
          <w:szCs w:val="21"/>
          <w:highlight w:val="none"/>
        </w:rPr>
        <w:t>。</w:t>
      </w:r>
    </w:p>
    <w:p w14:paraId="1E30CA79">
      <w:pPr>
        <w:pStyle w:val="107"/>
        <w:numPr>
          <w:ilvl w:val="0"/>
          <w:numId w:val="10"/>
        </w:numPr>
        <w:spacing w:line="360" w:lineRule="auto"/>
        <w:ind w:firstLineChars="0"/>
        <w:rPr>
          <w:rFonts w:ascii="宋体" w:hAnsi="宋体"/>
          <w:sz w:val="24"/>
          <w:szCs w:val="21"/>
          <w:highlight w:val="none"/>
        </w:rPr>
      </w:pPr>
      <w:r>
        <w:rPr>
          <w:rFonts w:hint="default" w:ascii="宋体" w:hAnsi="宋体"/>
          <w:sz w:val="24"/>
          <w:szCs w:val="21"/>
          <w:highlight w:val="none"/>
        </w:rPr>
        <w:t>供应商</w:t>
      </w:r>
      <w:r>
        <w:rPr>
          <w:rFonts w:hint="eastAsia" w:ascii="宋体" w:hAnsi="宋体"/>
          <w:sz w:val="24"/>
          <w:szCs w:val="21"/>
          <w:highlight w:val="none"/>
        </w:rPr>
        <w:t>配合采购人处理应急任务表现出色的，予以相应奖励。具体奖励方案由采购人决定。</w:t>
      </w:r>
    </w:p>
    <w:p w14:paraId="52A3FB89">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highlight w:val="none"/>
        </w:rPr>
        <w:t>★未经采购人同意不按食谱规定足额提供配餐的，应当向采购人支付违约金1万元。出现此类情形两次以上，采购人可以解除合同，取消供应商供餐资格。</w:t>
      </w:r>
    </w:p>
    <w:p w14:paraId="74E4EAC1">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highlight w:val="none"/>
        </w:rPr>
        <w:t>每周食谱不征求采购人意见，采购人有权求供应商限期改正，累计出现此类情形3次以上的，采购人可以解除合</w:t>
      </w:r>
      <w:r>
        <w:rPr>
          <w:rFonts w:hint="default" w:ascii="宋体" w:hAnsi="宋体"/>
          <w:sz w:val="24"/>
          <w:szCs w:val="21"/>
          <w:highlight w:val="none"/>
        </w:rPr>
        <w:t>同</w:t>
      </w:r>
      <w:r>
        <w:rPr>
          <w:rFonts w:hint="eastAsia" w:ascii="宋体" w:hAnsi="宋体"/>
          <w:sz w:val="24"/>
          <w:szCs w:val="21"/>
          <w:highlight w:val="none"/>
        </w:rPr>
        <w:t>取消供应商供餐资格。</w:t>
      </w:r>
    </w:p>
    <w:p w14:paraId="137702C8">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highlight w:val="none"/>
        </w:rPr>
        <w:t>★配送食品出现变质变味等质量问题的，应当全部收回并销毁，立即采取补救措施供应配餐，并向采购人支付违约金人民币</w:t>
      </w:r>
      <w:r>
        <w:rPr>
          <w:rFonts w:ascii="宋体" w:hAnsi="宋体"/>
          <w:sz w:val="24"/>
          <w:szCs w:val="21"/>
          <w:highlight w:val="none"/>
        </w:rPr>
        <w:t>2</w:t>
      </w:r>
      <w:r>
        <w:rPr>
          <w:rFonts w:hint="eastAsia" w:ascii="宋体" w:hAnsi="宋体"/>
          <w:sz w:val="24"/>
          <w:szCs w:val="21"/>
          <w:highlight w:val="none"/>
        </w:rPr>
        <w:t>万元，累计出现此类情形两次以上的，采购人有权解除合同，取消供应商供餐资格。</w:t>
      </w:r>
    </w:p>
    <w:p w14:paraId="67538609">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highlight w:val="none"/>
        </w:rPr>
        <w:t>因供餐不符合卫生条件导致出现群体性(</w:t>
      </w:r>
      <w:r>
        <w:rPr>
          <w:rFonts w:ascii="宋体" w:hAnsi="宋体"/>
          <w:sz w:val="24"/>
          <w:szCs w:val="21"/>
          <w:highlight w:val="none"/>
        </w:rPr>
        <w:t>3</w:t>
      </w:r>
      <w:r>
        <w:rPr>
          <w:rFonts w:hint="eastAsia" w:ascii="宋体" w:hAnsi="宋体"/>
          <w:sz w:val="24"/>
          <w:szCs w:val="21"/>
          <w:highlight w:val="none"/>
        </w:rPr>
        <w:t>人以上)食物中毒的，采购人有权立即解除合同，取消供应商供餐资格，供应商依法承担事故导致的相应法律责任，供应商应向采购人支付2万元作为违约金。</w:t>
      </w:r>
    </w:p>
    <w:p w14:paraId="0FAF8CB9">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highlight w:val="none"/>
        </w:rPr>
        <w:t>★供应商不能因停水、停电、停燃气、节假日停工等非经采购人同意的原因而停止供餐，如停止供餐的，采购人有权立即解除合同，取消供应商供餐资格，供应商应向采购人支付合同总价</w:t>
      </w:r>
      <w:r>
        <w:rPr>
          <w:rFonts w:hint="default" w:ascii="宋体" w:hAnsi="宋体"/>
          <w:sz w:val="24"/>
          <w:szCs w:val="21"/>
          <w:highlight w:val="none"/>
        </w:rPr>
        <w:t>1</w:t>
      </w:r>
      <w:r>
        <w:rPr>
          <w:rFonts w:hint="eastAsia" w:ascii="宋体" w:hAnsi="宋体"/>
          <w:sz w:val="24"/>
          <w:szCs w:val="21"/>
          <w:highlight w:val="none"/>
        </w:rPr>
        <w:t>0%作为违约金。</w:t>
      </w:r>
    </w:p>
    <w:p w14:paraId="64F7D9C1">
      <w:pPr>
        <w:pStyle w:val="107"/>
        <w:numPr>
          <w:ilvl w:val="0"/>
          <w:numId w:val="10"/>
        </w:numPr>
        <w:spacing w:line="360" w:lineRule="auto"/>
        <w:ind w:firstLineChars="0"/>
        <w:rPr>
          <w:rFonts w:ascii="宋体" w:hAnsi="宋体"/>
          <w:sz w:val="24"/>
          <w:szCs w:val="21"/>
          <w:highlight w:val="none"/>
        </w:rPr>
      </w:pPr>
      <w:r>
        <w:rPr>
          <w:rFonts w:hint="default" w:ascii="宋体" w:hAnsi="宋体"/>
          <w:sz w:val="24"/>
          <w:szCs w:val="21"/>
          <w:highlight w:val="none"/>
        </w:rPr>
        <w:t>供应商食品</w:t>
      </w:r>
      <w:r>
        <w:rPr>
          <w:rFonts w:hint="eastAsia" w:ascii="宋体" w:hAnsi="宋体"/>
          <w:sz w:val="24"/>
          <w:szCs w:val="21"/>
          <w:highlight w:val="none"/>
        </w:rPr>
        <w:t>经营许可证超过有效期的，或因</w:t>
      </w:r>
      <w:r>
        <w:rPr>
          <w:rFonts w:hint="default" w:ascii="宋体" w:hAnsi="宋体"/>
          <w:sz w:val="24"/>
          <w:szCs w:val="21"/>
          <w:highlight w:val="none"/>
        </w:rPr>
        <w:t>供应商</w:t>
      </w:r>
      <w:r>
        <w:rPr>
          <w:rFonts w:hint="eastAsia" w:ascii="宋体" w:hAnsi="宋体"/>
          <w:sz w:val="24"/>
          <w:szCs w:val="21"/>
          <w:highlight w:val="none"/>
        </w:rPr>
        <w:t>从事违法经营活动被有关管理部门处以吊销证照的</w:t>
      </w:r>
      <w:r>
        <w:rPr>
          <w:rFonts w:hint="default" w:ascii="宋体" w:hAnsi="宋体"/>
          <w:sz w:val="24"/>
          <w:szCs w:val="21"/>
          <w:highlight w:val="none"/>
        </w:rPr>
        <w:t>，</w:t>
      </w:r>
      <w:r>
        <w:rPr>
          <w:rFonts w:hint="eastAsia" w:ascii="宋体" w:hAnsi="宋体"/>
          <w:sz w:val="24"/>
          <w:szCs w:val="21"/>
          <w:highlight w:val="none"/>
        </w:rPr>
        <w:t>取消供应商供餐资格。</w:t>
      </w:r>
    </w:p>
    <w:p w14:paraId="4B171EAD">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highlight w:val="none"/>
        </w:rPr>
        <w:t>因违反《食品安全法》及其实施条例等法律法规，累计受到两次或以上行政处罚的，取消供应商供餐资格。</w:t>
      </w:r>
    </w:p>
    <w:p w14:paraId="6E5F2BF6">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highlight w:val="none"/>
        </w:rPr>
        <w:t>因存在重大食品安全隐患受到市场监管部门或卫健部门(人力资源社会保障)通报的，取消供应商供餐资格。</w:t>
      </w:r>
    </w:p>
    <w:p w14:paraId="0ECB02A5">
      <w:pPr>
        <w:pStyle w:val="107"/>
        <w:numPr>
          <w:ilvl w:val="0"/>
          <w:numId w:val="10"/>
        </w:numPr>
        <w:spacing w:line="360" w:lineRule="auto"/>
        <w:ind w:firstLineChars="0"/>
        <w:rPr>
          <w:rFonts w:ascii="宋体" w:hAnsi="宋体"/>
          <w:sz w:val="24"/>
          <w:szCs w:val="21"/>
          <w:highlight w:val="none"/>
        </w:rPr>
      </w:pPr>
      <w:r>
        <w:rPr>
          <w:rFonts w:hint="eastAsia" w:ascii="宋体" w:hAnsi="宋体"/>
          <w:sz w:val="24"/>
          <w:szCs w:val="21"/>
          <w:highlight w:val="none"/>
        </w:rPr>
        <w:t>★</w:t>
      </w:r>
      <w:r>
        <w:rPr>
          <w:rFonts w:hint="default" w:ascii="宋体" w:hAnsi="宋体"/>
          <w:sz w:val="24"/>
          <w:szCs w:val="21"/>
          <w:highlight w:val="none"/>
        </w:rPr>
        <w:t>履约</w:t>
      </w:r>
      <w:r>
        <w:rPr>
          <w:rFonts w:hint="eastAsia" w:ascii="宋体" w:hAnsi="宋体"/>
          <w:sz w:val="24"/>
          <w:szCs w:val="21"/>
          <w:highlight w:val="none"/>
        </w:rPr>
        <w:t>保证金：供应商须在签订合同后5个工作日内，向采购人缴交</w:t>
      </w:r>
      <w:r>
        <w:rPr>
          <w:rFonts w:hint="default" w:ascii="宋体" w:hAnsi="宋体"/>
          <w:sz w:val="24"/>
          <w:szCs w:val="21"/>
          <w:highlight w:val="none"/>
        </w:rPr>
        <w:t>履约</w:t>
      </w:r>
      <w:r>
        <w:rPr>
          <w:rFonts w:hint="eastAsia" w:ascii="宋体" w:hAnsi="宋体"/>
          <w:sz w:val="24"/>
          <w:szCs w:val="21"/>
          <w:highlight w:val="none"/>
        </w:rPr>
        <w:t>保证金</w:t>
      </w:r>
      <w:r>
        <w:rPr>
          <w:rFonts w:ascii="宋体" w:hAnsi="宋体"/>
          <w:sz w:val="24"/>
          <w:szCs w:val="21"/>
          <w:highlight w:val="none"/>
        </w:rPr>
        <w:t>3</w:t>
      </w:r>
      <w:r>
        <w:rPr>
          <w:rFonts w:hint="eastAsia" w:ascii="宋体" w:hAnsi="宋体"/>
          <w:sz w:val="24"/>
          <w:szCs w:val="21"/>
          <w:highlight w:val="none"/>
        </w:rPr>
        <w:t>万元（人民币）。运营服务期间，如供应商有违约行为，采购人有权使用</w:t>
      </w:r>
      <w:r>
        <w:rPr>
          <w:rFonts w:hint="default" w:ascii="宋体" w:hAnsi="宋体"/>
          <w:sz w:val="24"/>
          <w:szCs w:val="21"/>
          <w:highlight w:val="none"/>
        </w:rPr>
        <w:t>履约</w:t>
      </w:r>
      <w:r>
        <w:rPr>
          <w:rFonts w:hint="eastAsia" w:ascii="宋体" w:hAnsi="宋体"/>
          <w:sz w:val="24"/>
          <w:szCs w:val="21"/>
          <w:highlight w:val="none"/>
        </w:rPr>
        <w:t>保证金进行赔偿或处罚，</w:t>
      </w:r>
      <w:r>
        <w:rPr>
          <w:rFonts w:hint="default" w:ascii="宋体" w:hAnsi="宋体"/>
          <w:sz w:val="24"/>
          <w:szCs w:val="21"/>
          <w:highlight w:val="none"/>
        </w:rPr>
        <w:t>履约</w:t>
      </w:r>
      <w:r>
        <w:rPr>
          <w:rFonts w:hint="eastAsia" w:ascii="宋体" w:hAnsi="宋体"/>
          <w:sz w:val="24"/>
          <w:szCs w:val="21"/>
          <w:highlight w:val="none"/>
        </w:rPr>
        <w:t>保证金被使用后,供应商必须在两个月内补齐。运营服务期满后，供应商如无违约，无食物中毒及其他食品安全问题等民事赔偿，采购人无条件将</w:t>
      </w:r>
      <w:r>
        <w:rPr>
          <w:rFonts w:hint="default" w:ascii="宋体" w:hAnsi="宋体"/>
          <w:sz w:val="24"/>
          <w:szCs w:val="21"/>
          <w:highlight w:val="none"/>
        </w:rPr>
        <w:t>履约</w:t>
      </w:r>
      <w:r>
        <w:rPr>
          <w:rFonts w:hint="eastAsia" w:ascii="宋体" w:hAnsi="宋体"/>
          <w:sz w:val="24"/>
          <w:szCs w:val="21"/>
          <w:highlight w:val="none"/>
        </w:rPr>
        <w:t>保证金（不计利息）退回供应商。由于供应商原因而提前终止合同的，必须提前两个月通知采购人,否则因此而造成采购人的一切损失由供应商负责,供应商无权要求返还</w:t>
      </w:r>
      <w:r>
        <w:rPr>
          <w:rFonts w:hint="default" w:ascii="宋体" w:hAnsi="宋体"/>
          <w:sz w:val="24"/>
          <w:szCs w:val="21"/>
          <w:highlight w:val="none"/>
        </w:rPr>
        <w:t>履约</w:t>
      </w:r>
      <w:r>
        <w:rPr>
          <w:rFonts w:hint="eastAsia" w:ascii="宋体" w:hAnsi="宋体"/>
          <w:sz w:val="24"/>
          <w:szCs w:val="21"/>
          <w:highlight w:val="none"/>
        </w:rPr>
        <w:t>保证金。采购人逾期退还履约保证金的，中标供应商可按有关法律规定追缴相应费用，但因中标供应商自身原因导致的除外。</w:t>
      </w:r>
    </w:p>
    <w:p w14:paraId="3EEA2C8C">
      <w:pPr>
        <w:pStyle w:val="107"/>
        <w:numPr>
          <w:ilvl w:val="0"/>
          <w:numId w:val="10"/>
        </w:numPr>
        <w:spacing w:line="360" w:lineRule="auto"/>
        <w:ind w:firstLineChars="0"/>
        <w:rPr>
          <w:rFonts w:ascii="宋体" w:hAnsi="宋体"/>
          <w:sz w:val="24"/>
          <w:szCs w:val="21"/>
        </w:rPr>
      </w:pPr>
      <w:r>
        <w:rPr>
          <w:rFonts w:hint="eastAsia" w:ascii="宋体" w:hAnsi="宋体"/>
          <w:sz w:val="24"/>
          <w:szCs w:val="21"/>
          <w:highlight w:val="none"/>
        </w:rPr>
        <w:t>供应商人员应遵守采购人的各项管理规定，不得影响采购人的正常管理秩序。供应商对其员工及聘用人员的侵权行为承担全部法律责任，供应商人员在采购人范围内发生事故，或因供应商及供应商人员过错导致在提供服务过程中发生各种事故的，因此造成的一切人身损害或财产损失，供应商应</w:t>
      </w:r>
      <w:r>
        <w:rPr>
          <w:rFonts w:hint="default" w:ascii="宋体" w:hAnsi="宋体"/>
          <w:sz w:val="24"/>
          <w:szCs w:val="21"/>
          <w:highlight w:val="none"/>
        </w:rPr>
        <w:t>妥</w:t>
      </w:r>
      <w:r>
        <w:rPr>
          <w:rFonts w:hint="eastAsia" w:ascii="宋体" w:hAnsi="宋体"/>
          <w:sz w:val="24"/>
          <w:szCs w:val="21"/>
          <w:highlight w:val="none"/>
        </w:rPr>
        <w:t>善处理纠纷并自行承担法律责任及赔偿责任</w:t>
      </w:r>
      <w:r>
        <w:rPr>
          <w:rFonts w:ascii="宋体" w:hAnsi="宋体"/>
          <w:sz w:val="24"/>
          <w:szCs w:val="21"/>
          <w:highlight w:val="none"/>
        </w:rPr>
        <w:t>(包括但不限于赔偿</w:t>
      </w:r>
      <w:r>
        <w:rPr>
          <w:rFonts w:hint="eastAsia" w:ascii="宋体" w:hAnsi="宋体"/>
          <w:sz w:val="24"/>
          <w:szCs w:val="21"/>
          <w:highlight w:val="none"/>
        </w:rPr>
        <w:t>采购人</w:t>
      </w:r>
      <w:r>
        <w:rPr>
          <w:rFonts w:ascii="宋体" w:hAnsi="宋体"/>
          <w:sz w:val="24"/>
          <w:szCs w:val="21"/>
          <w:highlight w:val="none"/>
        </w:rPr>
        <w:t>因此支出的赔偿金/和解款、诉讼</w:t>
      </w:r>
      <w:r>
        <w:rPr>
          <w:rFonts w:ascii="宋体" w:hAnsi="宋体"/>
          <w:sz w:val="24"/>
          <w:szCs w:val="21"/>
        </w:rPr>
        <w:t>费/仲裁费、律师费等)。</w:t>
      </w:r>
    </w:p>
    <w:p w14:paraId="171130C5">
      <w:pPr>
        <w:numPr>
          <w:ilvl w:val="0"/>
          <w:numId w:val="9"/>
        </w:numPr>
        <w:spacing w:line="360" w:lineRule="auto"/>
        <w:rPr>
          <w:rFonts w:hint="eastAsia" w:ascii="宋体" w:hAnsi="宋体"/>
          <w:sz w:val="24"/>
          <w:szCs w:val="21"/>
        </w:rPr>
      </w:pPr>
      <w:r>
        <w:rPr>
          <w:rFonts w:hint="eastAsia" w:ascii="宋体" w:hAnsi="宋体"/>
          <w:sz w:val="24"/>
          <w:szCs w:val="21"/>
        </w:rPr>
        <w:t>餐费付款说明：</w:t>
      </w:r>
    </w:p>
    <w:p w14:paraId="47D99648">
      <w:pPr>
        <w:spacing w:line="360" w:lineRule="auto"/>
        <w:rPr>
          <w:rFonts w:ascii="宋体" w:hAnsi="宋体"/>
          <w:sz w:val="24"/>
        </w:rPr>
      </w:pPr>
      <w:r>
        <w:rPr>
          <w:rFonts w:ascii="宋体" w:hAnsi="宋体"/>
          <w:sz w:val="24"/>
          <w:szCs w:val="21"/>
        </w:rPr>
        <w:t>1.</w:t>
      </w:r>
      <w:r>
        <w:rPr>
          <w:rFonts w:hint="eastAsia" w:ascii="宋体" w:hAnsi="宋体"/>
          <w:sz w:val="24"/>
        </w:rPr>
        <w:t>合同期内，</w:t>
      </w:r>
      <w:r>
        <w:rPr>
          <w:rFonts w:ascii="宋体" w:hAnsi="宋体"/>
          <w:sz w:val="24"/>
        </w:rPr>
        <w:t>采购人</w:t>
      </w:r>
      <w:r>
        <w:rPr>
          <w:rFonts w:hint="eastAsia" w:ascii="宋体" w:hAnsi="宋体"/>
          <w:sz w:val="24"/>
        </w:rPr>
        <w:t>按月支付</w:t>
      </w:r>
      <w:r>
        <w:rPr>
          <w:rFonts w:ascii="宋体" w:hAnsi="宋体"/>
          <w:sz w:val="24"/>
        </w:rPr>
        <w:t>采购人</w:t>
      </w:r>
      <w:r>
        <w:rPr>
          <w:rFonts w:hint="eastAsia" w:ascii="宋体" w:hAnsi="宋体"/>
          <w:sz w:val="24"/>
        </w:rPr>
        <w:t>餐补费用支付给</w:t>
      </w:r>
      <w:r>
        <w:rPr>
          <w:rFonts w:ascii="宋体" w:hAnsi="宋体"/>
          <w:sz w:val="24"/>
        </w:rPr>
        <w:t>供应商</w:t>
      </w:r>
      <w:r>
        <w:rPr>
          <w:rFonts w:hint="eastAsia" w:ascii="宋体" w:hAnsi="宋体"/>
          <w:sz w:val="24"/>
        </w:rPr>
        <w:t>。</w:t>
      </w:r>
      <w:r>
        <w:rPr>
          <w:rFonts w:ascii="宋体" w:hAnsi="宋体"/>
          <w:sz w:val="24"/>
        </w:rPr>
        <w:t>供应商</w:t>
      </w:r>
      <w:r>
        <w:rPr>
          <w:rFonts w:hint="eastAsia" w:ascii="宋体" w:hAnsi="宋体"/>
          <w:sz w:val="24"/>
        </w:rPr>
        <w:t>于每月15日前向</w:t>
      </w:r>
      <w:r>
        <w:rPr>
          <w:rFonts w:ascii="宋体" w:hAnsi="宋体"/>
          <w:sz w:val="24"/>
        </w:rPr>
        <w:t>采购人</w:t>
      </w:r>
      <w:r>
        <w:rPr>
          <w:rFonts w:hint="eastAsia" w:ascii="宋体" w:hAnsi="宋体"/>
          <w:sz w:val="24"/>
        </w:rPr>
        <w:t>提交上月双方确认的餐饮配送服务汇总表、等额发票</w:t>
      </w:r>
      <w:r>
        <w:rPr>
          <w:rFonts w:ascii="宋体" w:hAnsi="宋体"/>
          <w:sz w:val="24"/>
        </w:rPr>
        <w:t>、餐饮管理</w:t>
      </w:r>
      <w:r>
        <w:rPr>
          <w:rFonts w:hint="eastAsia" w:ascii="宋体" w:hAnsi="宋体"/>
          <w:sz w:val="24"/>
        </w:rPr>
        <w:t>月度服务质量考评</w:t>
      </w:r>
      <w:r>
        <w:rPr>
          <w:rFonts w:ascii="宋体" w:hAnsi="宋体"/>
          <w:sz w:val="24"/>
        </w:rPr>
        <w:t>表</w:t>
      </w:r>
      <w:r>
        <w:rPr>
          <w:rFonts w:hint="eastAsia" w:ascii="宋体" w:hAnsi="宋体"/>
          <w:sz w:val="24"/>
        </w:rPr>
        <w:t>等资料，</w:t>
      </w:r>
      <w:r>
        <w:rPr>
          <w:rFonts w:ascii="宋体" w:hAnsi="宋体"/>
          <w:sz w:val="24"/>
        </w:rPr>
        <w:t>采购人</w:t>
      </w:r>
      <w:r>
        <w:rPr>
          <w:rFonts w:hint="eastAsia" w:ascii="宋体" w:hAnsi="宋体"/>
          <w:sz w:val="24"/>
        </w:rPr>
        <w:t>根据</w:t>
      </w:r>
      <w:r>
        <w:rPr>
          <w:rFonts w:ascii="宋体" w:hAnsi="宋体"/>
          <w:sz w:val="24"/>
        </w:rPr>
        <w:t>供应商</w:t>
      </w:r>
      <w:r>
        <w:rPr>
          <w:rFonts w:hint="eastAsia" w:ascii="宋体" w:hAnsi="宋体"/>
          <w:sz w:val="24"/>
        </w:rPr>
        <w:t>履约情况及服务质量考核情况，在收到合格的付款凭证后5个工作日内办理支付(具体付款方式以采购人财务制度为准)</w:t>
      </w:r>
      <w:r>
        <w:rPr>
          <w:rFonts w:ascii="宋体" w:hAnsi="宋体"/>
          <w:sz w:val="24"/>
        </w:rPr>
        <w:t>。</w:t>
      </w:r>
    </w:p>
    <w:p w14:paraId="3B6D6ABC">
      <w:pPr>
        <w:spacing w:line="360" w:lineRule="auto"/>
        <w:rPr>
          <w:rFonts w:ascii="宋体" w:hAnsi="宋体"/>
          <w:sz w:val="24"/>
        </w:rPr>
      </w:pPr>
      <w:r>
        <w:rPr>
          <w:rFonts w:hint="default" w:ascii="宋体" w:hAnsi="宋体"/>
          <w:sz w:val="24"/>
          <w:szCs w:val="21"/>
        </w:rPr>
        <w:t>2.医院工作人员餐饮补助由采购人支付，其余</w:t>
      </w:r>
      <w:r>
        <w:rPr>
          <w:rFonts w:hint="eastAsia" w:ascii="宋体" w:hAnsi="宋体"/>
          <w:sz w:val="24"/>
          <w:szCs w:val="21"/>
        </w:rPr>
        <w:t>相关餐费由用餐人直接向供应商支付。</w:t>
      </w:r>
    </w:p>
    <w:p w14:paraId="07BD6CA8">
      <w:pPr>
        <w:rPr>
          <w:rFonts w:hint="eastAsia" w:ascii="宋体" w:hAnsi="宋体"/>
          <w:sz w:val="24"/>
          <w:szCs w:val="21"/>
          <w:lang w:val="en-US" w:eastAsia="zh-CN"/>
        </w:rPr>
      </w:pPr>
      <w:r>
        <w:rPr>
          <w:rFonts w:hint="eastAsia" w:ascii="宋体" w:hAnsi="宋体"/>
          <w:sz w:val="24"/>
          <w:szCs w:val="21"/>
          <w:lang w:eastAsia="zh-CN"/>
        </w:rPr>
        <w:t>（</w:t>
      </w:r>
      <w:r>
        <w:rPr>
          <w:rFonts w:hint="eastAsia" w:ascii="宋体" w:hAnsi="宋体"/>
          <w:sz w:val="24"/>
          <w:szCs w:val="21"/>
          <w:lang w:val="en-US" w:eastAsia="zh-CN"/>
        </w:rPr>
        <w:t>七</w:t>
      </w:r>
      <w:r>
        <w:rPr>
          <w:rFonts w:hint="eastAsia" w:ascii="宋体" w:hAnsi="宋体"/>
          <w:sz w:val="24"/>
          <w:szCs w:val="21"/>
          <w:lang w:eastAsia="zh-CN"/>
        </w:rPr>
        <w:t>）</w:t>
      </w:r>
      <w:r>
        <w:rPr>
          <w:rFonts w:hint="eastAsia" w:ascii="宋体" w:hAnsi="宋体"/>
          <w:sz w:val="24"/>
          <w:szCs w:val="21"/>
          <w:lang w:val="en-US" w:eastAsia="zh-CN"/>
        </w:rPr>
        <w:t>其他要求</w:t>
      </w:r>
    </w:p>
    <w:p w14:paraId="7102F5B0">
      <w:pPr>
        <w:spacing w:line="360" w:lineRule="auto"/>
        <w:rPr>
          <w:rFonts w:hint="default" w:ascii="宋体" w:hAnsi="宋体"/>
          <w:sz w:val="24"/>
          <w:lang w:val="en-US" w:eastAsia="zh-CN"/>
        </w:rPr>
      </w:pPr>
      <w:r>
        <w:rPr>
          <w:rFonts w:hint="eastAsia" w:ascii="宋体" w:hAnsi="宋体"/>
          <w:sz w:val="24"/>
          <w:lang w:val="en-US" w:eastAsia="zh-CN"/>
        </w:rPr>
        <w:t>1.供应商需具有质量管理体系认证证书、环境管理体系认证证书、职业健康安全管理体系认证证书。</w:t>
      </w:r>
    </w:p>
    <w:p w14:paraId="4BC6B874">
      <w:pPr>
        <w:spacing w:line="360" w:lineRule="auto"/>
        <w:rPr>
          <w:rFonts w:hint="default" w:ascii="宋体" w:hAnsi="宋体"/>
          <w:sz w:val="24"/>
          <w:lang w:val="en-US" w:eastAsia="zh-CN"/>
        </w:rPr>
      </w:pPr>
      <w:r>
        <w:rPr>
          <w:rFonts w:hint="eastAsia" w:ascii="宋体" w:hAnsi="宋体"/>
          <w:sz w:val="24"/>
          <w:lang w:val="en-US" w:eastAsia="zh-CN"/>
        </w:rPr>
        <w:t>2.供应商需提供截止</w:t>
      </w:r>
      <w:r>
        <w:rPr>
          <w:rFonts w:hint="eastAsia" w:ascii="宋体" w:hAnsi="宋体"/>
          <w:sz w:val="24"/>
          <w:highlight w:val="none"/>
          <w:lang w:val="en-US" w:eastAsia="zh-CN"/>
        </w:rPr>
        <w:t>提交响应文件日前六个月内任意一个月的产品检测报告复</w:t>
      </w:r>
      <w:r>
        <w:rPr>
          <w:rFonts w:hint="eastAsia" w:ascii="宋体" w:hAnsi="宋体"/>
          <w:sz w:val="24"/>
          <w:lang w:val="en-US" w:eastAsia="zh-CN"/>
        </w:rPr>
        <w:t>印件（检测报告由具有CMA资格的第三方检测机构出具），检测类别要求如下： 蔬果类、水产类、肉类、粮油类。</w:t>
      </w:r>
    </w:p>
    <w:p w14:paraId="4A1BC622">
      <w:pPr>
        <w:spacing w:line="360" w:lineRule="auto"/>
        <w:rPr>
          <w:rFonts w:ascii="宋体" w:hAnsi="宋体"/>
          <w:sz w:val="24"/>
        </w:rPr>
      </w:pPr>
    </w:p>
    <w:p w14:paraId="386378F3">
      <w:pPr>
        <w:rPr>
          <w:rFonts w:ascii="宋体" w:hAnsi="宋体"/>
          <w:sz w:val="24"/>
          <w:szCs w:val="21"/>
        </w:rPr>
      </w:pPr>
    </w:p>
    <w:p w14:paraId="51DFFF29">
      <w:pPr>
        <w:rPr>
          <w:rFonts w:hint="eastAsia" w:ascii="宋体" w:hAnsi="宋体"/>
          <w:sz w:val="24"/>
          <w:szCs w:val="21"/>
        </w:rPr>
      </w:pPr>
    </w:p>
    <w:p w14:paraId="2C360D73">
      <w:pPr>
        <w:rPr>
          <w:rFonts w:ascii="宋体" w:hAnsi="宋体"/>
          <w:sz w:val="24"/>
          <w:szCs w:val="21"/>
        </w:rPr>
      </w:pPr>
    </w:p>
    <w:p w14:paraId="114BD660">
      <w:pPr>
        <w:rPr>
          <w:rFonts w:ascii="宋体" w:hAnsi="宋体"/>
          <w:sz w:val="24"/>
          <w:szCs w:val="21"/>
        </w:rPr>
      </w:pPr>
    </w:p>
    <w:p w14:paraId="01E4997C">
      <w:pPr>
        <w:rPr>
          <w:rFonts w:ascii="宋体" w:hAnsi="宋体"/>
          <w:sz w:val="24"/>
          <w:szCs w:val="21"/>
        </w:rPr>
      </w:pPr>
      <w:r>
        <w:rPr>
          <w:rFonts w:hint="eastAsia" w:ascii="宋体" w:hAnsi="宋体"/>
          <w:sz w:val="24"/>
          <w:szCs w:val="21"/>
        </w:rPr>
        <w:t>附表：（</w:t>
      </w:r>
      <w:r>
        <w:rPr>
          <w:rFonts w:hint="default" w:ascii="宋体" w:hAnsi="宋体"/>
          <w:sz w:val="24"/>
          <w:szCs w:val="21"/>
        </w:rPr>
        <w:t>采购人</w:t>
      </w:r>
      <w:r>
        <w:rPr>
          <w:rFonts w:hint="eastAsia" w:ascii="宋体" w:hAnsi="宋体"/>
          <w:sz w:val="24"/>
          <w:szCs w:val="21"/>
        </w:rPr>
        <w:t>有权根据现场实际运行需求对以下内容作调整）</w:t>
      </w:r>
    </w:p>
    <w:p w14:paraId="6EDA7C07">
      <w:pPr>
        <w:widowControl/>
        <w:spacing w:line="240" w:lineRule="auto"/>
        <w:jc w:val="center"/>
        <w:rPr>
          <w:rFonts w:hint="eastAsia" w:ascii="宋体" w:hAnsi="宋体" w:cs="仿宋"/>
          <w:kern w:val="0"/>
          <w:sz w:val="30"/>
          <w:szCs w:val="30"/>
        </w:rPr>
      </w:pPr>
      <w:r>
        <w:rPr>
          <w:rFonts w:hint="eastAsia" w:ascii="宋体" w:hAnsi="宋体" w:cs="方正小标宋简体"/>
          <w:kern w:val="0"/>
          <w:sz w:val="30"/>
          <w:szCs w:val="30"/>
        </w:rPr>
        <w:t>餐饮管理月度服务质量考评表</w:t>
      </w:r>
    </w:p>
    <w:p w14:paraId="10AE3DDB">
      <w:pPr>
        <w:spacing w:line="240" w:lineRule="auto"/>
        <w:rPr>
          <w:rFonts w:ascii="宋体" w:hAnsi="宋体" w:cs="仿宋"/>
          <w:sz w:val="24"/>
          <w:szCs w:val="24"/>
        </w:rPr>
      </w:pPr>
      <w:r>
        <w:rPr>
          <w:rFonts w:hint="eastAsia" w:ascii="宋体" w:hAnsi="宋体" w:cs="仿宋"/>
          <w:sz w:val="24"/>
          <w:szCs w:val="24"/>
        </w:rPr>
        <w:t>考评月份：</w:t>
      </w:r>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5087"/>
        <w:gridCol w:w="1797"/>
        <w:gridCol w:w="1048"/>
      </w:tblGrid>
      <w:tr w14:paraId="731F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80" w:type="pct"/>
            <w:noWrap w:val="0"/>
            <w:vAlign w:val="center"/>
          </w:tcPr>
          <w:p w14:paraId="0DD7C286">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考评内容</w:t>
            </w:r>
          </w:p>
        </w:tc>
        <w:tc>
          <w:tcPr>
            <w:tcW w:w="2642" w:type="pct"/>
            <w:noWrap w:val="0"/>
            <w:vAlign w:val="center"/>
          </w:tcPr>
          <w:p w14:paraId="41EE2B10">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扣分原因</w:t>
            </w:r>
          </w:p>
        </w:tc>
        <w:tc>
          <w:tcPr>
            <w:tcW w:w="933" w:type="pct"/>
            <w:noWrap w:val="0"/>
            <w:vAlign w:val="center"/>
          </w:tcPr>
          <w:p w14:paraId="2AAC4FE9">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Style w:val="44"/>
                <w:rFonts w:hint="eastAsia" w:ascii="宋体" w:hAnsi="宋体" w:eastAsia="宋体" w:cs="Times New Roman"/>
                <w:sz w:val="24"/>
              </w:rPr>
              <w:t>扣分方法</w:t>
            </w:r>
          </w:p>
        </w:tc>
        <w:tc>
          <w:tcPr>
            <w:tcW w:w="543" w:type="pct"/>
            <w:noWrap w:val="0"/>
            <w:vAlign w:val="center"/>
          </w:tcPr>
          <w:p w14:paraId="0EFA1827">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得分</w:t>
            </w:r>
          </w:p>
        </w:tc>
      </w:tr>
      <w:tr w14:paraId="6E1A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880" w:type="pct"/>
            <w:noWrap w:val="0"/>
            <w:vAlign w:val="center"/>
          </w:tcPr>
          <w:p w14:paraId="4F1990F7">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 xml:space="preserve">食品证照及管理制度健全 </w:t>
            </w:r>
          </w:p>
          <w:p w14:paraId="20B084B8">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（20分）</w:t>
            </w:r>
          </w:p>
        </w:tc>
        <w:tc>
          <w:tcPr>
            <w:tcW w:w="2642" w:type="pct"/>
            <w:noWrap w:val="0"/>
            <w:vAlign w:val="center"/>
          </w:tcPr>
          <w:p w14:paraId="616C4947">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1.资质证照是否在有效期内。</w:t>
            </w:r>
          </w:p>
          <w:p w14:paraId="361495F1">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2.是否建立食品安全管理组织和岗位责任制，明确和落实食品安全责任。</w:t>
            </w:r>
          </w:p>
          <w:p w14:paraId="330E7245">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3.是否建立采购查验和索证索票制度。</w:t>
            </w:r>
          </w:p>
          <w:p w14:paraId="5F7107E9">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4.是否按要求建立健全其他食品安全管理制度（如：食品库房、烹饪间、分装间等卫生管理制度；各岗位职责；仓储保管制度；粗加工管理制度等）。</w:t>
            </w:r>
          </w:p>
        </w:tc>
        <w:tc>
          <w:tcPr>
            <w:tcW w:w="933" w:type="pct"/>
            <w:noWrap w:val="0"/>
            <w:vAlign w:val="center"/>
          </w:tcPr>
          <w:p w14:paraId="33A0D499">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1.资质证照过期扣5分/项/次。</w:t>
            </w:r>
          </w:p>
          <w:p w14:paraId="06DFBD60">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2、每缺少一项、未按制度执行扣2分∕项/次。</w:t>
            </w:r>
          </w:p>
        </w:tc>
        <w:tc>
          <w:tcPr>
            <w:tcW w:w="543" w:type="pct"/>
            <w:noWrap w:val="0"/>
            <w:vAlign w:val="center"/>
          </w:tcPr>
          <w:p w14:paraId="184BD8D9">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p>
        </w:tc>
      </w:tr>
      <w:tr w14:paraId="1973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0" w:type="pct"/>
            <w:noWrap w:val="0"/>
            <w:vAlign w:val="center"/>
          </w:tcPr>
          <w:p w14:paraId="35AC333E">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食品安全管理</w:t>
            </w:r>
          </w:p>
          <w:p w14:paraId="61455E74">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w:t>
            </w:r>
            <w:r>
              <w:rPr>
                <w:rFonts w:hint="default" w:ascii="宋体" w:hAnsi="宋体" w:eastAsia="宋体" w:cs="Times New Roman"/>
                <w:kern w:val="2"/>
                <w:sz w:val="24"/>
                <w:szCs w:val="20"/>
              </w:rPr>
              <w:t>20</w:t>
            </w:r>
            <w:r>
              <w:rPr>
                <w:rFonts w:hint="eastAsia" w:ascii="宋体" w:hAnsi="宋体" w:eastAsia="宋体" w:cs="Times New Roman"/>
                <w:kern w:val="2"/>
                <w:sz w:val="24"/>
                <w:szCs w:val="20"/>
              </w:rPr>
              <w:t>分）</w:t>
            </w:r>
          </w:p>
        </w:tc>
        <w:tc>
          <w:tcPr>
            <w:tcW w:w="2642" w:type="pct"/>
            <w:noWrap w:val="0"/>
            <w:vAlign w:val="center"/>
          </w:tcPr>
          <w:p w14:paraId="472AA1F6">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1.食品库房、烹饪间、分装间等场所专人管理、钥匙专管。</w:t>
            </w:r>
          </w:p>
          <w:p w14:paraId="73FFBBB2">
            <w:pPr>
              <w:keepNext w:val="0"/>
              <w:keepLines w:val="0"/>
              <w:suppressLineNumbers w:val="0"/>
              <w:spacing w:before="0" w:beforeAutospacing="0" w:after="0" w:afterAutospacing="0" w:line="360" w:lineRule="auto"/>
              <w:ind w:left="0" w:right="0"/>
              <w:jc w:val="left"/>
              <w:rPr>
                <w:rFonts w:hint="default" w:ascii="宋体" w:hAnsi="宋体" w:eastAsia="宋体" w:cs="Times New Roman"/>
                <w:sz w:val="24"/>
                <w:szCs w:val="20"/>
                <w:lang w:bidi="ar"/>
              </w:rPr>
            </w:pPr>
            <w:r>
              <w:rPr>
                <w:rFonts w:hint="eastAsia" w:ascii="宋体" w:hAnsi="宋体" w:eastAsia="宋体" w:cs="Times New Roman"/>
                <w:sz w:val="24"/>
                <w:szCs w:val="20"/>
                <w:lang w:bidi="ar"/>
              </w:rPr>
              <w:t>2.</w:t>
            </w:r>
            <w:r>
              <w:rPr>
                <w:rFonts w:hint="default" w:ascii="宋体" w:hAnsi="宋体" w:eastAsia="宋体" w:cs="Times New Roman"/>
                <w:sz w:val="24"/>
                <w:szCs w:val="20"/>
                <w:lang w:bidi="ar"/>
              </w:rPr>
              <w:t>餐具消毒清洗有流程、方法和责任人。</w:t>
            </w:r>
          </w:p>
          <w:p w14:paraId="1FC4EFD7">
            <w:pPr>
              <w:keepNext w:val="0"/>
              <w:keepLines w:val="0"/>
              <w:suppressLineNumbers w:val="0"/>
              <w:spacing w:before="0" w:beforeAutospacing="0" w:after="0" w:afterAutospacing="0" w:line="360" w:lineRule="auto"/>
              <w:ind w:left="0" w:right="0"/>
              <w:jc w:val="left"/>
              <w:rPr>
                <w:rFonts w:hint="default" w:ascii="宋体" w:hAnsi="宋体" w:eastAsia="宋体" w:cs="Times New Roman"/>
                <w:sz w:val="24"/>
                <w:szCs w:val="20"/>
                <w:lang w:bidi="ar"/>
              </w:rPr>
            </w:pPr>
            <w:r>
              <w:rPr>
                <w:rFonts w:hint="eastAsia" w:ascii="宋体" w:hAnsi="宋体" w:eastAsia="宋体" w:cs="Times New Roman"/>
                <w:sz w:val="24"/>
                <w:szCs w:val="20"/>
                <w:lang w:bidi="ar"/>
              </w:rPr>
              <w:t>3</w:t>
            </w:r>
            <w:r>
              <w:rPr>
                <w:rFonts w:hint="default" w:ascii="宋体" w:hAnsi="宋体" w:eastAsia="宋体" w:cs="Times New Roman"/>
                <w:sz w:val="24"/>
                <w:szCs w:val="20"/>
                <w:lang w:bidi="ar"/>
              </w:rPr>
              <w:t>.食堂人员会使用灭火器，有预防措施和安全责任人。</w:t>
            </w:r>
          </w:p>
          <w:p w14:paraId="589287C3">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lang w:eastAsia="zh-CN" w:bidi="ar"/>
              </w:rPr>
            </w:pPr>
            <w:r>
              <w:rPr>
                <w:rFonts w:hint="eastAsia" w:ascii="宋体" w:hAnsi="宋体" w:eastAsia="宋体" w:cs="Times New Roman"/>
                <w:sz w:val="24"/>
                <w:szCs w:val="20"/>
                <w:lang w:val="en-US" w:bidi="ar"/>
              </w:rPr>
              <w:t>4.加工经营场所的内外环境情况。（</w:t>
            </w:r>
            <w:r>
              <w:rPr>
                <w:rFonts w:hint="eastAsia" w:ascii="宋体" w:hAnsi="宋体" w:eastAsia="宋体" w:cs="Times New Roman"/>
                <w:sz w:val="24"/>
                <w:szCs w:val="20"/>
                <w:lang w:bidi="ar"/>
              </w:rPr>
              <w:t>如：</w:t>
            </w:r>
            <w:r>
              <w:rPr>
                <w:rFonts w:hint="default" w:ascii="宋体" w:hAnsi="宋体" w:eastAsia="宋体" w:cs="Times New Roman"/>
                <w:kern w:val="2"/>
                <w:sz w:val="24"/>
                <w:szCs w:val="20"/>
                <w:lang w:val="en-US" w:eastAsia="zh-CN" w:bidi="ar"/>
              </w:rPr>
              <w:t>墙壁、天花板、门窗是否清洁，是否有蜘蛛网、霉斑或其它明显积垢；地面是否洁净，是否有积水和油污，排水沟渠是否通畅；垃圾和废弃物是否及时清理，存放设施是否密闭，外观是否清洁；是否有昆虫鼠害</w:t>
            </w:r>
            <w:r>
              <w:rPr>
                <w:rFonts w:hint="eastAsia" w:ascii="宋体" w:hAnsi="宋体" w:eastAsia="宋体" w:cs="Times New Roman"/>
                <w:kern w:val="2"/>
                <w:sz w:val="24"/>
                <w:szCs w:val="20"/>
                <w:lang w:eastAsia="zh-CN" w:bidi="ar"/>
              </w:rPr>
              <w:t>等情况。）</w:t>
            </w:r>
          </w:p>
          <w:p w14:paraId="25A0C182">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lang w:eastAsia="zh-CN" w:bidi="ar"/>
              </w:rPr>
            </w:pPr>
            <w:r>
              <w:rPr>
                <w:rFonts w:hint="eastAsia" w:ascii="宋体" w:hAnsi="宋体" w:eastAsia="宋体" w:cs="Times New Roman"/>
                <w:kern w:val="2"/>
                <w:sz w:val="24"/>
                <w:szCs w:val="20"/>
                <w:lang w:eastAsia="zh-CN" w:bidi="ar"/>
              </w:rPr>
              <w:t>5.其他不符合食品卫生管理及操作的行为或违反食品安全管理的行为。</w:t>
            </w:r>
          </w:p>
        </w:tc>
        <w:tc>
          <w:tcPr>
            <w:tcW w:w="933" w:type="pct"/>
            <w:noWrap w:val="0"/>
            <w:vAlign w:val="center"/>
          </w:tcPr>
          <w:p w14:paraId="20C6F1DD">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现场随机抽查，每发现一处不规范扣3-5分。</w:t>
            </w:r>
          </w:p>
        </w:tc>
        <w:tc>
          <w:tcPr>
            <w:tcW w:w="543" w:type="pct"/>
            <w:noWrap w:val="0"/>
            <w:vAlign w:val="center"/>
          </w:tcPr>
          <w:p w14:paraId="2C903B28">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0C91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80" w:type="pct"/>
            <w:noWrap w:val="0"/>
            <w:vAlign w:val="center"/>
          </w:tcPr>
          <w:p w14:paraId="08D3F729">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食品来源及出品留样管理</w:t>
            </w:r>
          </w:p>
          <w:p w14:paraId="7FB3AC23">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（10分）</w:t>
            </w:r>
          </w:p>
        </w:tc>
        <w:tc>
          <w:tcPr>
            <w:tcW w:w="2642" w:type="pct"/>
            <w:noWrap w:val="0"/>
            <w:vAlign w:val="center"/>
          </w:tcPr>
          <w:p w14:paraId="23D990B4">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1.是否定期提供原料进价单。</w:t>
            </w:r>
            <w:r>
              <w:rPr>
                <w:rFonts w:hint="eastAsia" w:ascii="宋体" w:hAnsi="宋体" w:eastAsia="宋体" w:cs="Times New Roman"/>
                <w:sz w:val="24"/>
                <w:szCs w:val="20"/>
              </w:rPr>
              <w:t>2</w:t>
            </w:r>
            <w:r>
              <w:rPr>
                <w:rFonts w:hint="eastAsia" w:ascii="宋体" w:hAnsi="宋体" w:eastAsia="宋体" w:cs="Times New Roman"/>
                <w:sz w:val="24"/>
                <w:szCs w:val="20"/>
                <w:lang w:bidi="ar"/>
              </w:rPr>
              <w:t>.成品、半成品、调料必须有厂商、生产日期、合格证。3.烹饪加工品质控制有指定的专业责任人。4.有预防农药残留制度，操作流程和检测责任人。</w:t>
            </w:r>
            <w:r>
              <w:rPr>
                <w:rFonts w:hint="eastAsia" w:ascii="宋体" w:hAnsi="宋体" w:eastAsia="宋体" w:cs="Times New Roman"/>
                <w:sz w:val="24"/>
                <w:szCs w:val="20"/>
              </w:rPr>
              <w:t xml:space="preserve"> 5</w:t>
            </w:r>
            <w:r>
              <w:rPr>
                <w:rFonts w:hint="eastAsia" w:ascii="宋体" w:hAnsi="宋体" w:eastAsia="宋体" w:cs="Times New Roman"/>
                <w:sz w:val="24"/>
                <w:szCs w:val="20"/>
                <w:lang w:bidi="ar"/>
              </w:rPr>
              <w:t>.餐样留存48小时，有食物中毒预案。</w:t>
            </w:r>
          </w:p>
        </w:tc>
        <w:tc>
          <w:tcPr>
            <w:tcW w:w="933" w:type="pct"/>
            <w:noWrap w:val="0"/>
            <w:vAlign w:val="center"/>
          </w:tcPr>
          <w:p w14:paraId="13BCF39D">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现场随机抽查，违反一项扣2分。</w:t>
            </w:r>
          </w:p>
        </w:tc>
        <w:tc>
          <w:tcPr>
            <w:tcW w:w="543" w:type="pct"/>
            <w:noWrap w:val="0"/>
            <w:vAlign w:val="center"/>
          </w:tcPr>
          <w:p w14:paraId="01BBB42D">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1743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80" w:type="pct"/>
            <w:noWrap w:val="0"/>
            <w:vAlign w:val="center"/>
          </w:tcPr>
          <w:p w14:paraId="4A5DE303">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供餐质量管理</w:t>
            </w:r>
          </w:p>
          <w:p w14:paraId="1229B63A">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（20分）</w:t>
            </w:r>
          </w:p>
        </w:tc>
        <w:tc>
          <w:tcPr>
            <w:tcW w:w="2642" w:type="pct"/>
            <w:noWrap w:val="0"/>
            <w:vAlign w:val="center"/>
          </w:tcPr>
          <w:p w14:paraId="154B47FA">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1.食材新鲜，没有变质、老化的果蔬食品入餐，肉类按相关要求保存，确保无变质。2.餐品无异味、无异物。3.每周对菜品种搭配变化调整。4.各类食品按公布的克重供应。</w:t>
            </w:r>
          </w:p>
        </w:tc>
        <w:tc>
          <w:tcPr>
            <w:tcW w:w="933" w:type="pct"/>
            <w:noWrap w:val="0"/>
            <w:vAlign w:val="center"/>
          </w:tcPr>
          <w:p w14:paraId="5DC4AB8D">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现场随机抽查，违反一项/次扣3分。</w:t>
            </w:r>
          </w:p>
        </w:tc>
        <w:tc>
          <w:tcPr>
            <w:tcW w:w="543" w:type="pct"/>
            <w:noWrap w:val="0"/>
            <w:vAlign w:val="center"/>
          </w:tcPr>
          <w:p w14:paraId="197A0DC1">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6118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880" w:type="pct"/>
            <w:noWrap w:val="0"/>
            <w:vAlign w:val="center"/>
          </w:tcPr>
          <w:p w14:paraId="4FC98725">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从业人员健康管理及个人要求</w:t>
            </w:r>
          </w:p>
          <w:p w14:paraId="1E3536D6">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（10分）</w:t>
            </w:r>
          </w:p>
        </w:tc>
        <w:tc>
          <w:tcPr>
            <w:tcW w:w="2642" w:type="pct"/>
            <w:noWrap w:val="0"/>
            <w:vAlign w:val="center"/>
          </w:tcPr>
          <w:p w14:paraId="600AA20D">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1.从业人员是否均取得有效健康合格证明。</w:t>
            </w:r>
          </w:p>
          <w:p w14:paraId="154EE969">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2.工作人员的服务态度良好，无投诉。</w:t>
            </w:r>
          </w:p>
          <w:p w14:paraId="38640CC2">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3.分餐及餐后收拾整洁。</w:t>
            </w:r>
          </w:p>
          <w:p w14:paraId="336E0A3D">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4.按时定点送餐，无发生迟送漏送事件。</w:t>
            </w:r>
          </w:p>
          <w:p w14:paraId="0D734A29">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5.紧急事情的上报、处理及时，无不良影响。</w:t>
            </w:r>
          </w:p>
          <w:p w14:paraId="2CBFF0F7">
            <w:pPr>
              <w:keepNext w:val="0"/>
              <w:keepLines w:val="0"/>
              <w:suppressLineNumbers w:val="0"/>
              <w:spacing w:before="0" w:beforeAutospacing="0" w:after="0" w:afterAutospacing="0" w:line="360" w:lineRule="auto"/>
              <w:ind w:left="0" w:right="0"/>
              <w:rPr>
                <w:rFonts w:hint="eastAsia" w:ascii="宋体" w:hAnsi="宋体" w:eastAsia="宋体" w:cs="Times New Roman"/>
                <w:kern w:val="2"/>
                <w:sz w:val="24"/>
                <w:szCs w:val="20"/>
              </w:rPr>
            </w:pPr>
            <w:r>
              <w:rPr>
                <w:rFonts w:hint="eastAsia" w:ascii="宋体" w:hAnsi="宋体" w:eastAsia="宋体" w:cs="Times New Roman"/>
                <w:sz w:val="24"/>
                <w:szCs w:val="20"/>
                <w:lang w:bidi="ar"/>
              </w:rPr>
              <w:t>6.管理记录完善</w:t>
            </w:r>
          </w:p>
        </w:tc>
        <w:tc>
          <w:tcPr>
            <w:tcW w:w="933" w:type="pct"/>
            <w:noWrap w:val="0"/>
            <w:vAlign w:val="center"/>
          </w:tcPr>
          <w:p w14:paraId="51960897">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1.无证上岗扣3分/人，过期扣2分/人。</w:t>
            </w:r>
          </w:p>
          <w:p w14:paraId="73A92308">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2.现场随机抽查，违反一项扣2分。</w:t>
            </w:r>
          </w:p>
        </w:tc>
        <w:tc>
          <w:tcPr>
            <w:tcW w:w="543" w:type="pct"/>
            <w:noWrap w:val="0"/>
            <w:vAlign w:val="center"/>
          </w:tcPr>
          <w:p w14:paraId="4D3BF6EC">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20C6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80" w:type="pct"/>
            <w:noWrap w:val="0"/>
            <w:vAlign w:val="top"/>
          </w:tcPr>
          <w:p w14:paraId="389688F8">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lang w:val="en-US" w:eastAsia="zh-CN" w:bidi="ar"/>
              </w:rPr>
            </w:pPr>
            <w:r>
              <w:rPr>
                <w:rFonts w:hint="eastAsia" w:ascii="宋体" w:hAnsi="宋体" w:eastAsia="宋体" w:cs="Times New Roman"/>
                <w:kern w:val="2"/>
                <w:sz w:val="24"/>
                <w:szCs w:val="20"/>
                <w:lang w:val="en-US" w:eastAsia="zh-CN" w:bidi="ar"/>
              </w:rPr>
              <w:t>配送车辆卫生清洁</w:t>
            </w:r>
          </w:p>
          <w:p w14:paraId="431F8B85">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lang w:bidi="ar"/>
              </w:rPr>
            </w:pPr>
            <w:r>
              <w:rPr>
                <w:rFonts w:hint="eastAsia" w:ascii="宋体" w:hAnsi="宋体" w:eastAsia="宋体" w:cs="Times New Roman"/>
                <w:kern w:val="2"/>
                <w:sz w:val="24"/>
                <w:szCs w:val="20"/>
              </w:rPr>
              <w:t>（5分）</w:t>
            </w:r>
          </w:p>
        </w:tc>
        <w:tc>
          <w:tcPr>
            <w:tcW w:w="2642" w:type="pct"/>
            <w:noWrap w:val="0"/>
            <w:vAlign w:val="top"/>
          </w:tcPr>
          <w:p w14:paraId="09E9573B">
            <w:pPr>
              <w:keepNext w:val="0"/>
              <w:keepLines w:val="0"/>
              <w:suppressLineNumbers w:val="0"/>
              <w:spacing w:before="0" w:beforeAutospacing="0" w:after="0" w:afterAutospacing="0" w:line="360" w:lineRule="auto"/>
              <w:ind w:left="0" w:right="0"/>
              <w:rPr>
                <w:rFonts w:hint="default" w:ascii="宋体" w:hAnsi="宋体" w:eastAsia="宋体" w:cs="Times New Roman"/>
                <w:sz w:val="24"/>
                <w:szCs w:val="20"/>
                <w:lang w:bidi="ar"/>
              </w:rPr>
            </w:pPr>
            <w:r>
              <w:rPr>
                <w:rFonts w:hint="eastAsia" w:ascii="宋体" w:hAnsi="宋体" w:eastAsia="宋体" w:cs="Times New Roman"/>
                <w:kern w:val="2"/>
                <w:sz w:val="24"/>
                <w:szCs w:val="20"/>
                <w:lang w:val="en-US" w:eastAsia="zh-CN" w:bidi="ar"/>
              </w:rPr>
              <w:t>配送车辆</w:t>
            </w:r>
            <w:r>
              <w:rPr>
                <w:rFonts w:hint="eastAsia" w:ascii="宋体" w:hAnsi="宋体" w:eastAsia="宋体" w:cs="Times New Roman"/>
                <w:kern w:val="2"/>
                <w:sz w:val="24"/>
                <w:szCs w:val="20"/>
                <w:lang w:eastAsia="zh-CN" w:bidi="ar"/>
              </w:rPr>
              <w:t>符合要求</w:t>
            </w:r>
            <w:r>
              <w:rPr>
                <w:rFonts w:hint="eastAsia" w:ascii="宋体" w:hAnsi="宋体" w:eastAsia="宋体" w:cs="Times New Roman"/>
                <w:kern w:val="2"/>
                <w:sz w:val="24"/>
                <w:szCs w:val="20"/>
                <w:lang w:val="en-US" w:eastAsia="zh-CN" w:bidi="ar"/>
              </w:rPr>
              <w:t>；车厢内无不良气体和异味；食品堆放无不科学不合理现象，未造成食品的交叉污染</w:t>
            </w:r>
            <w:r>
              <w:rPr>
                <w:rFonts w:hint="eastAsia" w:ascii="宋体" w:hAnsi="宋体" w:eastAsia="宋体" w:cs="Times New Roman"/>
                <w:kern w:val="2"/>
                <w:sz w:val="24"/>
                <w:szCs w:val="20"/>
                <w:lang w:eastAsia="zh-CN" w:bidi="ar"/>
              </w:rPr>
              <w:t>。</w:t>
            </w:r>
          </w:p>
        </w:tc>
        <w:tc>
          <w:tcPr>
            <w:tcW w:w="933" w:type="pct"/>
            <w:noWrap w:val="0"/>
            <w:vAlign w:val="center"/>
          </w:tcPr>
          <w:p w14:paraId="1001164F">
            <w:pPr>
              <w:keepNext w:val="0"/>
              <w:keepLines w:val="0"/>
              <w:suppressLineNumbers w:val="0"/>
              <w:spacing w:before="0" w:beforeAutospacing="0" w:after="0" w:afterAutospacing="0" w:line="360" w:lineRule="auto"/>
              <w:ind w:left="0" w:right="0"/>
              <w:jc w:val="left"/>
              <w:rPr>
                <w:rFonts w:hint="default" w:ascii="宋体" w:hAnsi="宋体" w:eastAsia="宋体" w:cs="Times New Roman"/>
                <w:sz w:val="24"/>
                <w:szCs w:val="20"/>
                <w:lang w:bidi="ar"/>
              </w:rPr>
            </w:pPr>
            <w:r>
              <w:rPr>
                <w:rFonts w:hint="eastAsia" w:ascii="宋体" w:hAnsi="宋体" w:eastAsia="宋体" w:cs="Times New Roman"/>
                <w:sz w:val="24"/>
                <w:szCs w:val="20"/>
                <w:lang w:bidi="ar"/>
              </w:rPr>
              <w:t>每发现一处不符合扣</w:t>
            </w:r>
            <w:r>
              <w:rPr>
                <w:rFonts w:hint="eastAsia" w:ascii="宋体" w:hAnsi="宋体" w:eastAsia="宋体" w:cs="Times New Roman"/>
                <w:kern w:val="2"/>
                <w:sz w:val="24"/>
                <w:szCs w:val="20"/>
                <w:lang w:bidi="ar"/>
              </w:rPr>
              <w:t>2</w:t>
            </w:r>
            <w:r>
              <w:rPr>
                <w:rFonts w:hint="eastAsia" w:ascii="宋体" w:hAnsi="宋体" w:eastAsia="宋体" w:cs="Times New Roman"/>
                <w:sz w:val="24"/>
                <w:szCs w:val="20"/>
                <w:lang w:bidi="ar"/>
              </w:rPr>
              <w:t>分</w:t>
            </w:r>
            <w:r>
              <w:rPr>
                <w:rFonts w:hint="eastAsia" w:ascii="宋体" w:hAnsi="宋体" w:eastAsia="宋体" w:cs="Times New Roman"/>
                <w:kern w:val="2"/>
                <w:sz w:val="24"/>
                <w:szCs w:val="20"/>
                <w:lang w:bidi="ar"/>
              </w:rPr>
              <w:t>。</w:t>
            </w:r>
          </w:p>
        </w:tc>
        <w:tc>
          <w:tcPr>
            <w:tcW w:w="543" w:type="pct"/>
            <w:noWrap w:val="0"/>
            <w:vAlign w:val="center"/>
          </w:tcPr>
          <w:p w14:paraId="1BE55BEF">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3FDD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80" w:type="pct"/>
            <w:noWrap w:val="0"/>
            <w:vAlign w:val="center"/>
          </w:tcPr>
          <w:p w14:paraId="45BC420F">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价格执行情况（5分）</w:t>
            </w:r>
          </w:p>
        </w:tc>
        <w:tc>
          <w:tcPr>
            <w:tcW w:w="2642" w:type="pct"/>
            <w:noWrap w:val="0"/>
            <w:vAlign w:val="center"/>
          </w:tcPr>
          <w:p w14:paraId="410905BC">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1.按公示的餐品进行定价。2.平台不存在多扣、诱导消费等情况。</w:t>
            </w:r>
          </w:p>
        </w:tc>
        <w:tc>
          <w:tcPr>
            <w:tcW w:w="933" w:type="pct"/>
            <w:noWrap w:val="0"/>
            <w:vAlign w:val="center"/>
          </w:tcPr>
          <w:p w14:paraId="53B51024">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现场随机抽查，违反一项扣2分。</w:t>
            </w:r>
          </w:p>
        </w:tc>
        <w:tc>
          <w:tcPr>
            <w:tcW w:w="543" w:type="pct"/>
            <w:noWrap w:val="0"/>
            <w:vAlign w:val="center"/>
          </w:tcPr>
          <w:p w14:paraId="586B6379">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4FB9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80" w:type="pct"/>
            <w:noWrap w:val="0"/>
            <w:vAlign w:val="center"/>
          </w:tcPr>
          <w:p w14:paraId="1E2C5E83">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其他</w:t>
            </w:r>
          </w:p>
          <w:p w14:paraId="315D08A8">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w:t>
            </w:r>
            <w:r>
              <w:rPr>
                <w:rFonts w:hint="default" w:ascii="宋体" w:hAnsi="宋体" w:eastAsia="宋体" w:cs="Times New Roman"/>
                <w:kern w:val="2"/>
                <w:sz w:val="24"/>
                <w:szCs w:val="20"/>
              </w:rPr>
              <w:t>10</w:t>
            </w:r>
            <w:r>
              <w:rPr>
                <w:rFonts w:hint="eastAsia" w:ascii="宋体" w:hAnsi="宋体" w:eastAsia="宋体" w:cs="Times New Roman"/>
                <w:kern w:val="2"/>
                <w:sz w:val="24"/>
                <w:szCs w:val="20"/>
              </w:rPr>
              <w:t>分）</w:t>
            </w:r>
          </w:p>
        </w:tc>
        <w:tc>
          <w:tcPr>
            <w:tcW w:w="2642" w:type="pct"/>
            <w:noWrap w:val="0"/>
            <w:vAlign w:val="center"/>
          </w:tcPr>
          <w:p w14:paraId="5333F4AF">
            <w:pPr>
              <w:keepNext w:val="0"/>
              <w:keepLines w:val="0"/>
              <w:suppressLineNumbers w:val="0"/>
              <w:spacing w:before="0" w:beforeAutospacing="0" w:after="0" w:afterAutospacing="0" w:line="360" w:lineRule="auto"/>
              <w:ind w:left="0" w:right="0"/>
              <w:jc w:val="left"/>
              <w:rPr>
                <w:rFonts w:hint="default" w:ascii="宋体" w:hAnsi="宋体" w:eastAsia="宋体" w:cs="Times New Roman"/>
                <w:sz w:val="24"/>
                <w:szCs w:val="20"/>
                <w:lang w:bidi="ar"/>
              </w:rPr>
            </w:pPr>
            <w:r>
              <w:rPr>
                <w:rFonts w:hint="default" w:ascii="宋体" w:hAnsi="宋体" w:eastAsia="宋体" w:cs="Times New Roman"/>
                <w:sz w:val="24"/>
                <w:szCs w:val="20"/>
                <w:lang w:bidi="ar"/>
              </w:rPr>
              <w:t>发现问题/投诉/不良事件等情况，</w:t>
            </w:r>
            <w:r>
              <w:rPr>
                <w:rFonts w:hint="eastAsia" w:ascii="宋体" w:hAnsi="宋体" w:eastAsia="宋体" w:cs="Times New Roman"/>
                <w:sz w:val="24"/>
                <w:szCs w:val="20"/>
                <w:lang w:bidi="ar"/>
              </w:rPr>
              <w:t>未按规定时间进行整改或整改后仍未达到要求</w:t>
            </w:r>
            <w:r>
              <w:rPr>
                <w:rFonts w:hint="default" w:ascii="宋体" w:hAnsi="宋体" w:eastAsia="宋体" w:cs="Times New Roman"/>
                <w:sz w:val="24"/>
                <w:szCs w:val="20"/>
                <w:lang w:bidi="ar"/>
              </w:rPr>
              <w:t>的。</w:t>
            </w:r>
          </w:p>
        </w:tc>
        <w:tc>
          <w:tcPr>
            <w:tcW w:w="933" w:type="pct"/>
            <w:noWrap w:val="0"/>
            <w:vAlign w:val="center"/>
          </w:tcPr>
          <w:p w14:paraId="049F004A">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扣3分/宗</w:t>
            </w:r>
          </w:p>
        </w:tc>
        <w:tc>
          <w:tcPr>
            <w:tcW w:w="543" w:type="pct"/>
            <w:noWrap w:val="0"/>
            <w:vAlign w:val="center"/>
          </w:tcPr>
          <w:p w14:paraId="741B6189">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674E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80" w:type="pct"/>
            <w:noWrap w:val="0"/>
            <w:vAlign w:val="center"/>
          </w:tcPr>
          <w:p w14:paraId="34AC3E5A">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合计总分</w:t>
            </w:r>
          </w:p>
        </w:tc>
        <w:tc>
          <w:tcPr>
            <w:tcW w:w="4119" w:type="pct"/>
            <w:gridSpan w:val="3"/>
            <w:noWrap w:val="0"/>
            <w:vAlign w:val="center"/>
          </w:tcPr>
          <w:p w14:paraId="2606E4DA">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bl>
    <w:p w14:paraId="7D47CF5E">
      <w:pPr>
        <w:widowControl/>
        <w:jc w:val="left"/>
        <w:rPr>
          <w:rFonts w:ascii="宋体" w:hAnsi="宋体"/>
          <w:sz w:val="24"/>
        </w:rPr>
      </w:pPr>
      <w:r>
        <w:rPr>
          <w:rFonts w:hint="eastAsia" w:ascii="宋体" w:hAnsi="宋体"/>
          <w:sz w:val="24"/>
        </w:rPr>
        <w:t>注：</w:t>
      </w:r>
    </w:p>
    <w:p w14:paraId="594F289C">
      <w:pPr>
        <w:spacing w:line="360" w:lineRule="auto"/>
        <w:rPr>
          <w:rFonts w:hint="eastAsia" w:ascii="宋体" w:hAnsi="宋体"/>
          <w:sz w:val="24"/>
        </w:rPr>
      </w:pPr>
      <w:r>
        <w:rPr>
          <w:rFonts w:hint="default" w:ascii="宋体" w:hAnsi="宋体"/>
          <w:sz w:val="24"/>
        </w:rPr>
        <w:t>1</w:t>
      </w:r>
      <w:r>
        <w:rPr>
          <w:rFonts w:hint="eastAsia" w:ascii="宋体" w:hAnsi="宋体"/>
          <w:sz w:val="24"/>
        </w:rPr>
        <w:t>、月度考评分≧80分为合格，﹤80分时，每下降1分扣罚1000元。连续3个月考评低于80分采购人有权终止合同。</w:t>
      </w:r>
    </w:p>
    <w:p w14:paraId="4B431338">
      <w:pPr>
        <w:pStyle w:val="5"/>
        <w:rPr>
          <w:rFonts w:ascii="宋体" w:hAnsi="宋体"/>
          <w:sz w:val="24"/>
        </w:rPr>
      </w:pPr>
    </w:p>
    <w:p w14:paraId="7CDC0F26">
      <w:pPr>
        <w:pStyle w:val="5"/>
        <w:ind w:firstLine="0"/>
        <w:jc w:val="left"/>
        <w:rPr>
          <w:rFonts w:ascii="宋体" w:hAnsi="宋体" w:eastAsia="宋体"/>
          <w:sz w:val="24"/>
        </w:rPr>
      </w:pPr>
      <w:r>
        <w:rPr>
          <w:rFonts w:hint="eastAsia" w:ascii="宋体" w:hAnsi="宋体" w:eastAsia="宋体"/>
          <w:sz w:val="24"/>
        </w:rPr>
        <w:t xml:space="preserve">考评人签名： </w:t>
      </w:r>
      <w:r>
        <w:rPr>
          <w:rFonts w:ascii="宋体" w:hAnsi="宋体" w:eastAsia="宋体"/>
          <w:sz w:val="24"/>
        </w:rPr>
        <w:t xml:space="preserve">                                           </w:t>
      </w:r>
      <w:r>
        <w:rPr>
          <w:rFonts w:hint="eastAsia" w:ascii="宋体" w:hAnsi="宋体" w:eastAsia="宋体"/>
          <w:sz w:val="24"/>
        </w:rPr>
        <w:t>公司确认签名：</w:t>
      </w:r>
    </w:p>
    <w:p w14:paraId="00CB0749">
      <w:pPr>
        <w:pStyle w:val="5"/>
        <w:ind w:firstLine="0"/>
        <w:jc w:val="left"/>
        <w:rPr>
          <w:rFonts w:ascii="宋体" w:hAnsi="宋体" w:eastAsia="宋体"/>
          <w:sz w:val="24"/>
        </w:rPr>
      </w:pPr>
    </w:p>
    <w:p w14:paraId="33C02BCB">
      <w:pPr>
        <w:pStyle w:val="5"/>
        <w:ind w:firstLine="0"/>
        <w:jc w:val="left"/>
        <w:rPr>
          <w:rFonts w:ascii="宋体" w:hAnsi="宋体" w:eastAsia="宋体"/>
          <w:sz w:val="24"/>
        </w:rPr>
      </w:pPr>
    </w:p>
    <w:p w14:paraId="2B6812A5">
      <w:pPr>
        <w:pStyle w:val="5"/>
        <w:ind w:firstLine="0"/>
        <w:jc w:val="left"/>
        <w:rPr>
          <w:rFonts w:hint="eastAsia" w:ascii="宋体" w:hAnsi="宋体" w:eastAsia="宋体"/>
          <w:sz w:val="24"/>
        </w:rPr>
      </w:pPr>
      <w:r>
        <w:rPr>
          <w:rFonts w:hint="eastAsia" w:ascii="宋体" w:hAnsi="宋体" w:eastAsia="宋体"/>
          <w:sz w:val="24"/>
        </w:rPr>
        <w:t xml:space="preserve">日期： </w:t>
      </w:r>
      <w:r>
        <w:rPr>
          <w:rFonts w:ascii="宋体" w:hAnsi="宋体" w:eastAsia="宋体"/>
          <w:sz w:val="24"/>
        </w:rPr>
        <w:t xml:space="preserve">                                                 </w:t>
      </w:r>
      <w:r>
        <w:rPr>
          <w:rFonts w:hint="eastAsia" w:ascii="宋体" w:hAnsi="宋体" w:eastAsia="宋体"/>
          <w:sz w:val="24"/>
        </w:rPr>
        <w:t>日期：</w:t>
      </w:r>
    </w:p>
    <w:p w14:paraId="150AF5D4">
      <w:pPr>
        <w:pStyle w:val="5"/>
        <w:ind w:firstLine="0"/>
        <w:jc w:val="left"/>
        <w:rPr>
          <w:rFonts w:hint="eastAsia" w:ascii="宋体" w:hAnsi="宋体" w:eastAsia="宋体"/>
          <w:sz w:val="24"/>
        </w:rPr>
      </w:pPr>
    </w:p>
    <w:p w14:paraId="157ABB94"/>
    <w:p w14:paraId="7FEE26B0">
      <w:pPr>
        <w:pStyle w:val="5"/>
        <w:spacing w:line="360" w:lineRule="auto"/>
        <w:ind w:firstLine="417" w:firstLineChars="174"/>
        <w:rPr>
          <w:rStyle w:val="141"/>
          <w:rFonts w:asciiTheme="minorEastAsia" w:hAnsiTheme="minorEastAsia" w:eastAsiaTheme="minorEastAsia"/>
        </w:rPr>
      </w:pPr>
    </w:p>
    <w:p w14:paraId="5656A1A8">
      <w:pPr>
        <w:pStyle w:val="5"/>
        <w:ind w:left="0" w:leftChars="0" w:firstLine="0" w:firstLineChars="0"/>
      </w:pPr>
    </w:p>
    <w:p w14:paraId="43BDA203">
      <w:pPr>
        <w:spacing w:line="312" w:lineRule="auto"/>
        <w:ind w:left="1320" w:firstLine="1760" w:firstLineChars="550"/>
        <w:outlineLvl w:val="0"/>
        <w:rPr>
          <w:rFonts w:asciiTheme="minorEastAsia" w:hAnsiTheme="minorEastAsia" w:eastAsiaTheme="minorEastAsia"/>
          <w:b/>
          <w:sz w:val="32"/>
        </w:rPr>
      </w:pPr>
      <w:r>
        <w:rPr>
          <w:rFonts w:hint="eastAsia" w:asciiTheme="minorEastAsia" w:hAnsiTheme="minorEastAsia" w:eastAsiaTheme="minorEastAsia"/>
          <w:b/>
          <w:sz w:val="32"/>
        </w:rPr>
        <w:t>第四部分  评审办法</w:t>
      </w:r>
    </w:p>
    <w:p w14:paraId="2632E4C9">
      <w:pPr>
        <w:pStyle w:val="5"/>
      </w:pPr>
    </w:p>
    <w:p w14:paraId="457B5B8F">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、本项目评审方法</w:t>
      </w:r>
      <w:bookmarkStart w:id="5" w:name="_Hlk51102721"/>
      <w:r>
        <w:rPr>
          <w:rFonts w:hint="eastAsia" w:asciiTheme="minorEastAsia" w:hAnsiTheme="minorEastAsia" w:eastAsiaTheme="minorEastAsia"/>
          <w:sz w:val="24"/>
        </w:rPr>
        <w:t>采用综合评分法，以百分制打分法对合格响应文件进行综合评审打分。</w:t>
      </w:r>
      <w:bookmarkEnd w:id="5"/>
    </w:p>
    <w:p w14:paraId="1D2BD5EB">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、评审小组根据询比文件要求进行资格</w:t>
      </w:r>
      <w:r>
        <w:rPr>
          <w:rFonts w:asciiTheme="minorEastAsia" w:hAnsiTheme="minorEastAsia" w:eastAsiaTheme="minorEastAsia"/>
          <w:sz w:val="24"/>
        </w:rPr>
        <w:t>审查</w:t>
      </w:r>
      <w:r>
        <w:rPr>
          <w:rFonts w:hint="eastAsia" w:asciiTheme="minorEastAsia" w:hAnsiTheme="minorEastAsia" w:eastAsiaTheme="minorEastAsia"/>
          <w:sz w:val="24"/>
          <w:lang w:val="en-US" w:eastAsia="zh-CN"/>
        </w:rPr>
        <w:t>和符合性审查</w:t>
      </w:r>
      <w:r>
        <w:rPr>
          <w:rFonts w:hint="eastAsia" w:asciiTheme="minorEastAsia" w:hAnsiTheme="minorEastAsia" w:eastAsiaTheme="minorEastAsia"/>
          <w:sz w:val="24"/>
        </w:rPr>
        <w:t>，未</w:t>
      </w:r>
      <w:r>
        <w:rPr>
          <w:rFonts w:asciiTheme="minorEastAsia" w:hAnsiTheme="minorEastAsia" w:eastAsiaTheme="minorEastAsia"/>
          <w:sz w:val="24"/>
        </w:rPr>
        <w:t>通过</w:t>
      </w:r>
      <w:r>
        <w:rPr>
          <w:rFonts w:hint="eastAsia" w:asciiTheme="minorEastAsia" w:hAnsiTheme="minorEastAsia" w:eastAsiaTheme="minorEastAsia"/>
          <w:sz w:val="24"/>
        </w:rPr>
        <w:t>资格</w:t>
      </w:r>
      <w:r>
        <w:rPr>
          <w:rFonts w:asciiTheme="minorEastAsia" w:hAnsiTheme="minorEastAsia" w:eastAsiaTheme="minorEastAsia"/>
          <w:sz w:val="24"/>
        </w:rPr>
        <w:t>审查</w:t>
      </w:r>
      <w:r>
        <w:rPr>
          <w:rFonts w:hint="eastAsia" w:asciiTheme="minorEastAsia" w:hAnsiTheme="minorEastAsia" w:eastAsiaTheme="minorEastAsia"/>
          <w:sz w:val="24"/>
          <w:lang w:val="en-US" w:eastAsia="zh-CN"/>
        </w:rPr>
        <w:t>和符合性审查</w:t>
      </w:r>
      <w:r>
        <w:rPr>
          <w:rFonts w:hint="eastAsia" w:asciiTheme="minorEastAsia" w:hAnsiTheme="minorEastAsia" w:eastAsiaTheme="minorEastAsia"/>
          <w:sz w:val="24"/>
        </w:rPr>
        <w:t>的响应文件不进行评审。</w:t>
      </w:r>
    </w:p>
    <w:tbl>
      <w:tblPr>
        <w:tblStyle w:val="37"/>
        <w:tblW w:w="9820" w:type="dxa"/>
        <w:tblInd w:w="108" w:type="dxa"/>
        <w:tblLayout w:type="autofit"/>
        <w:tblCellMar>
          <w:top w:w="0" w:type="dxa"/>
          <w:left w:w="108" w:type="dxa"/>
          <w:bottom w:w="0" w:type="dxa"/>
          <w:right w:w="108" w:type="dxa"/>
        </w:tblCellMar>
      </w:tblPr>
      <w:tblGrid>
        <w:gridCol w:w="6030"/>
        <w:gridCol w:w="3790"/>
      </w:tblGrid>
      <w:tr w14:paraId="5E5D6E7F">
        <w:tblPrEx>
          <w:tblCellMar>
            <w:top w:w="0" w:type="dxa"/>
            <w:left w:w="108" w:type="dxa"/>
            <w:bottom w:w="0" w:type="dxa"/>
            <w:right w:w="108" w:type="dxa"/>
          </w:tblCellMar>
        </w:tblPrEx>
        <w:trPr>
          <w:trHeight w:val="564" w:hRule="atLeast"/>
        </w:trPr>
        <w:tc>
          <w:tcPr>
            <w:tcW w:w="9820" w:type="dxa"/>
            <w:gridSpan w:val="2"/>
            <w:tcBorders>
              <w:top w:val="nil"/>
              <w:left w:val="nil"/>
              <w:bottom w:val="nil"/>
              <w:right w:val="nil"/>
            </w:tcBorders>
            <w:shd w:val="clear" w:color="auto" w:fill="auto"/>
            <w:noWrap/>
            <w:vAlign w:val="center"/>
          </w:tcPr>
          <w:p w14:paraId="485DD4D4">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b/>
                <w:sz w:val="28"/>
              </w:rPr>
              <w:t>资格性审查表</w:t>
            </w:r>
          </w:p>
        </w:tc>
      </w:tr>
      <w:tr w14:paraId="39035EA4">
        <w:tblPrEx>
          <w:tblCellMar>
            <w:top w:w="0" w:type="dxa"/>
            <w:left w:w="108" w:type="dxa"/>
            <w:bottom w:w="0" w:type="dxa"/>
            <w:right w:w="108" w:type="dxa"/>
          </w:tblCellMar>
        </w:tblPrEx>
        <w:trPr>
          <w:trHeight w:val="660" w:hRule="atLeast"/>
        </w:trPr>
        <w:tc>
          <w:tcPr>
            <w:tcW w:w="6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96B02">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审查内容</w:t>
            </w:r>
          </w:p>
        </w:tc>
        <w:tc>
          <w:tcPr>
            <w:tcW w:w="3790" w:type="dxa"/>
            <w:tcBorders>
              <w:top w:val="single" w:color="auto" w:sz="4" w:space="0"/>
              <w:left w:val="nil"/>
              <w:bottom w:val="single" w:color="auto" w:sz="4" w:space="0"/>
              <w:right w:val="single" w:color="auto" w:sz="4" w:space="0"/>
            </w:tcBorders>
            <w:shd w:val="clear" w:color="auto" w:fill="auto"/>
            <w:noWrap/>
            <w:vAlign w:val="center"/>
          </w:tcPr>
          <w:p w14:paraId="27D7A12A">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响应供应商</w:t>
            </w:r>
          </w:p>
        </w:tc>
      </w:tr>
      <w:tr w14:paraId="68E6D950">
        <w:tblPrEx>
          <w:tblCellMar>
            <w:top w:w="0" w:type="dxa"/>
            <w:left w:w="108" w:type="dxa"/>
            <w:bottom w:w="0" w:type="dxa"/>
            <w:right w:w="108" w:type="dxa"/>
          </w:tblCellMar>
        </w:tblPrEx>
        <w:trPr>
          <w:trHeight w:val="78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3AA047AB">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b/>
                <w:sz w:val="24"/>
                <w:szCs w:val="21"/>
              </w:rPr>
              <w:t>供应商为供餐单位</w:t>
            </w:r>
            <w:r>
              <w:rPr>
                <w:rFonts w:hint="eastAsia" w:ascii="宋体" w:hAnsi="宋体"/>
                <w:sz w:val="24"/>
                <w:szCs w:val="21"/>
              </w:rPr>
              <w:t>须提供《营业执照》《食品经营许可证》且具有集体用餐配送资质；</w:t>
            </w:r>
            <w:r>
              <w:rPr>
                <w:rFonts w:hint="eastAsia" w:ascii="宋体" w:hAnsi="宋体"/>
                <w:b/>
                <w:sz w:val="24"/>
                <w:szCs w:val="21"/>
              </w:rPr>
              <w:t>供应商为餐饮服务平台者</w:t>
            </w:r>
            <w:r>
              <w:rPr>
                <w:rFonts w:hint="eastAsia" w:ascii="宋体" w:hAnsi="宋体"/>
                <w:sz w:val="24"/>
                <w:szCs w:val="21"/>
              </w:rPr>
              <w:t>除提供《营业执照》《食品经营许可证》外，还应同时提供具有集体用餐配送资质的供餐单位的《营业执照》《食品经营许可证》，且供餐单位食品经营许可证上的经营场所应与实际供餐食品的加工制作场所一致，并出具双方合作承诺函。</w:t>
            </w:r>
            <w:r>
              <w:rPr>
                <w:rFonts w:hint="eastAsia" w:ascii="宋体" w:hAnsi="宋体"/>
                <w:sz w:val="24"/>
                <w:highlight w:val="none"/>
              </w:rPr>
              <w:t>（</w:t>
            </w:r>
            <w:r>
              <w:rPr>
                <w:rFonts w:hint="default" w:ascii="宋体" w:hAnsi="宋体"/>
                <w:sz w:val="24"/>
                <w:highlight w:val="none"/>
              </w:rPr>
              <w:t>以上资料均须</w:t>
            </w:r>
            <w:r>
              <w:rPr>
                <w:rFonts w:hint="eastAsia" w:ascii="宋体" w:hAnsi="宋体"/>
                <w:sz w:val="24"/>
                <w:highlight w:val="none"/>
              </w:rPr>
              <w:t>提供盖章版扫描件)。</w:t>
            </w:r>
          </w:p>
        </w:tc>
        <w:tc>
          <w:tcPr>
            <w:tcW w:w="3790" w:type="dxa"/>
            <w:tcBorders>
              <w:top w:val="nil"/>
              <w:left w:val="nil"/>
              <w:bottom w:val="single" w:color="auto" w:sz="4" w:space="0"/>
              <w:right w:val="single" w:color="auto" w:sz="4" w:space="0"/>
            </w:tcBorders>
            <w:shd w:val="clear" w:color="auto" w:fill="auto"/>
            <w:noWrap/>
            <w:vAlign w:val="center"/>
          </w:tcPr>
          <w:p w14:paraId="4C47D1DA">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14:paraId="43BFE0DA">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75A218CC">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default" w:ascii="宋体" w:hAnsi="宋体"/>
                <w:sz w:val="24"/>
              </w:rPr>
              <w:t>本项目不接受联合体投标，不允许响应供应商对本采购货物及其相关服务进行分包和转包。</w:t>
            </w:r>
          </w:p>
        </w:tc>
        <w:tc>
          <w:tcPr>
            <w:tcW w:w="3790" w:type="dxa"/>
            <w:tcBorders>
              <w:top w:val="nil"/>
              <w:left w:val="nil"/>
              <w:bottom w:val="single" w:color="auto" w:sz="4" w:space="0"/>
              <w:right w:val="single" w:color="auto" w:sz="4" w:space="0"/>
            </w:tcBorders>
            <w:shd w:val="clear" w:color="auto" w:fill="auto"/>
            <w:noWrap/>
            <w:vAlign w:val="center"/>
          </w:tcPr>
          <w:p w14:paraId="2F537D88">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0E53E486">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3D6D9B10">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是否通过资格性审查（此处填写“通过”或“不通过”）</w:t>
            </w:r>
          </w:p>
        </w:tc>
        <w:tc>
          <w:tcPr>
            <w:tcW w:w="3790" w:type="dxa"/>
            <w:tcBorders>
              <w:top w:val="nil"/>
              <w:left w:val="nil"/>
              <w:bottom w:val="single" w:color="auto" w:sz="4" w:space="0"/>
              <w:right w:val="single" w:color="auto" w:sz="4" w:space="0"/>
            </w:tcBorders>
            <w:shd w:val="clear" w:color="auto" w:fill="auto"/>
            <w:noWrap/>
            <w:vAlign w:val="center"/>
          </w:tcPr>
          <w:p w14:paraId="29E31041">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　</w:t>
            </w:r>
          </w:p>
        </w:tc>
      </w:tr>
      <w:tr w14:paraId="40ED3BA0">
        <w:tblPrEx>
          <w:tblCellMar>
            <w:top w:w="0" w:type="dxa"/>
            <w:left w:w="108" w:type="dxa"/>
            <w:bottom w:w="0" w:type="dxa"/>
            <w:right w:w="108" w:type="dxa"/>
          </w:tblCellMar>
        </w:tblPrEx>
        <w:trPr>
          <w:trHeight w:val="739" w:hRule="atLeast"/>
        </w:trPr>
        <w:tc>
          <w:tcPr>
            <w:tcW w:w="9820" w:type="dxa"/>
            <w:gridSpan w:val="2"/>
            <w:tcBorders>
              <w:top w:val="single" w:color="auto" w:sz="4" w:space="0"/>
              <w:left w:val="nil"/>
              <w:bottom w:val="nil"/>
              <w:right w:val="nil"/>
            </w:tcBorders>
            <w:shd w:val="clear" w:color="auto" w:fill="auto"/>
            <w:noWrap/>
            <w:vAlign w:val="center"/>
          </w:tcPr>
          <w:p w14:paraId="5E184DB3">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备注：响应供应商分栏中填写“√”表示该项符合资格要求，“×”表示该项不符合资格要求。</w:t>
            </w:r>
          </w:p>
        </w:tc>
      </w:tr>
      <w:tr w14:paraId="015A7A71">
        <w:tblPrEx>
          <w:tblCellMar>
            <w:top w:w="0" w:type="dxa"/>
            <w:left w:w="108" w:type="dxa"/>
            <w:bottom w:w="0" w:type="dxa"/>
            <w:right w:w="108" w:type="dxa"/>
          </w:tblCellMar>
        </w:tblPrEx>
        <w:trPr>
          <w:trHeight w:val="564" w:hRule="atLeast"/>
        </w:trPr>
        <w:tc>
          <w:tcPr>
            <w:tcW w:w="9820" w:type="dxa"/>
            <w:gridSpan w:val="2"/>
            <w:tcBorders>
              <w:top w:val="nil"/>
              <w:left w:val="nil"/>
              <w:bottom w:val="nil"/>
              <w:right w:val="nil"/>
            </w:tcBorders>
            <w:shd w:val="clear" w:color="auto" w:fill="auto"/>
            <w:noWrap/>
            <w:vAlign w:val="center"/>
          </w:tcPr>
          <w:p w14:paraId="75C5CC99">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b/>
                <w:sz w:val="28"/>
                <w:lang w:val="en-US" w:eastAsia="zh-CN"/>
              </w:rPr>
              <w:t>符合</w:t>
            </w:r>
            <w:r>
              <w:rPr>
                <w:rFonts w:hint="eastAsia" w:ascii="宋体" w:hAnsi="宋体"/>
                <w:b/>
                <w:sz w:val="28"/>
              </w:rPr>
              <w:t>性审查表</w:t>
            </w:r>
          </w:p>
        </w:tc>
      </w:tr>
      <w:tr w14:paraId="0B65CD97">
        <w:tblPrEx>
          <w:tblCellMar>
            <w:top w:w="0" w:type="dxa"/>
            <w:left w:w="108" w:type="dxa"/>
            <w:bottom w:w="0" w:type="dxa"/>
            <w:right w:w="108" w:type="dxa"/>
          </w:tblCellMar>
        </w:tblPrEx>
        <w:trPr>
          <w:trHeight w:val="660" w:hRule="atLeast"/>
        </w:trPr>
        <w:tc>
          <w:tcPr>
            <w:tcW w:w="6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7C133">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审查内容</w:t>
            </w:r>
          </w:p>
        </w:tc>
        <w:tc>
          <w:tcPr>
            <w:tcW w:w="3790" w:type="dxa"/>
            <w:tcBorders>
              <w:top w:val="single" w:color="auto" w:sz="4" w:space="0"/>
              <w:left w:val="nil"/>
              <w:bottom w:val="single" w:color="auto" w:sz="4" w:space="0"/>
              <w:right w:val="single" w:color="auto" w:sz="4" w:space="0"/>
            </w:tcBorders>
            <w:shd w:val="clear" w:color="auto" w:fill="auto"/>
            <w:noWrap/>
            <w:vAlign w:val="center"/>
          </w:tcPr>
          <w:p w14:paraId="5E994F28">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响应供应商</w:t>
            </w:r>
          </w:p>
        </w:tc>
      </w:tr>
      <w:tr w14:paraId="127E0D90">
        <w:tblPrEx>
          <w:tblCellMar>
            <w:top w:w="0" w:type="dxa"/>
            <w:left w:w="108" w:type="dxa"/>
            <w:bottom w:w="0" w:type="dxa"/>
            <w:right w:w="108" w:type="dxa"/>
          </w:tblCellMar>
        </w:tblPrEx>
        <w:trPr>
          <w:trHeight w:val="78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191EA504">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五)★供应商在履约过程中，不得存在转包、分包或挂靠经营行为，一经发现属违约行为，将勒令限期整改，限期结束仍未按采购人要求整改则直接解除合同；或者直接解除合同并责令限期退出；因供应商违约行为而解除合同，不予退还</w:t>
            </w:r>
            <w:r>
              <w:rPr>
                <w:rFonts w:hint="eastAsia" w:ascii="宋体" w:hAnsi="宋体" w:cs="宋体"/>
                <w:kern w:val="0"/>
                <w:sz w:val="24"/>
                <w:lang w:val="en-US" w:eastAsia="zh-CN"/>
              </w:rPr>
              <w:t>履约保证金</w:t>
            </w:r>
            <w:r>
              <w:rPr>
                <w:rFonts w:hint="eastAsia" w:ascii="宋体" w:hAnsi="宋体" w:cs="宋体"/>
                <w:kern w:val="0"/>
                <w:sz w:val="24"/>
              </w:rPr>
              <w:t>，同时对供应商已发生的投入，采购人不作任何赔付。</w:t>
            </w:r>
          </w:p>
        </w:tc>
        <w:tc>
          <w:tcPr>
            <w:tcW w:w="3790" w:type="dxa"/>
            <w:tcBorders>
              <w:top w:val="nil"/>
              <w:left w:val="nil"/>
              <w:bottom w:val="single" w:color="auto" w:sz="4" w:space="0"/>
              <w:right w:val="single" w:color="auto" w:sz="4" w:space="0"/>
            </w:tcBorders>
            <w:shd w:val="clear" w:color="auto" w:fill="auto"/>
            <w:noWrap/>
            <w:vAlign w:val="center"/>
          </w:tcPr>
          <w:p w14:paraId="1A30A640">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14:paraId="419EB6AB">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6CF81C7D">
            <w:pPr>
              <w:pStyle w:val="107"/>
              <w:keepNext w:val="0"/>
              <w:keepLines w:val="0"/>
              <w:numPr>
                <w:ilvl w:val="0"/>
                <w:numId w:val="4"/>
              </w:numPr>
              <w:suppressLineNumbers w:val="0"/>
              <w:spacing w:before="0" w:beforeAutospacing="0" w:after="0" w:afterAutospacing="0" w:line="360" w:lineRule="auto"/>
              <w:ind w:right="0" w:firstLineChars="0"/>
              <w:jc w:val="lef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★供应商在获得中标资格后，不得私自转让或委托他人经营送餐，一经发现采购人有权单方面终止合同，并给予经济处罚或诉诸法律。</w:t>
            </w:r>
          </w:p>
          <w:p w14:paraId="76F88EA1">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3.★如因供应商原因未按时(超过30分钟)送餐而影响采购人正常诊疗工作或者出现病人投诉事件的须扣除当餐全部配餐费用，发生3次或以上，采购人有权单方面解除合同，取消供应商供餐资格，且供应商应向采购人支付2万元作为违约金。采购人如临时有应急配餐需求的，经与供应商商议后另行确定配送时间。</w:t>
            </w:r>
          </w:p>
        </w:tc>
        <w:tc>
          <w:tcPr>
            <w:tcW w:w="3790" w:type="dxa"/>
            <w:tcBorders>
              <w:top w:val="nil"/>
              <w:left w:val="nil"/>
              <w:bottom w:val="single" w:color="auto" w:sz="4" w:space="0"/>
              <w:right w:val="single" w:color="auto" w:sz="4" w:space="0"/>
            </w:tcBorders>
            <w:shd w:val="clear" w:color="auto" w:fill="auto"/>
            <w:noWrap/>
            <w:vAlign w:val="center"/>
          </w:tcPr>
          <w:p w14:paraId="3064DA39">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14:paraId="17DD77D8">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390DE0AD">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7)★供应商应保证当天所有餐次的出品都是当天制作，如经第三方检测确因供应商的餐品质量和食品安全出现问题，造成采购人食品安全事故的，所有的法律责任和经济损失由供应商承担，且采购人有权立即解除合同，且供应商应向采购人支付2万元作为违约金。</w:t>
            </w:r>
          </w:p>
        </w:tc>
        <w:tc>
          <w:tcPr>
            <w:tcW w:w="3790" w:type="dxa"/>
            <w:tcBorders>
              <w:top w:val="nil"/>
              <w:left w:val="nil"/>
              <w:bottom w:val="single" w:color="auto" w:sz="4" w:space="0"/>
              <w:right w:val="single" w:color="auto" w:sz="4" w:space="0"/>
            </w:tcBorders>
            <w:shd w:val="clear" w:color="auto" w:fill="auto"/>
            <w:noWrap/>
            <w:vAlign w:val="center"/>
          </w:tcPr>
          <w:p w14:paraId="603BE3E0">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09CEC3FD">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7C1021DC">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10.★供应商需严格执行供应商的食品安全等各项医院管理制度及工作要求，如违反上述制度或要求经采购人书面警告仍拒不整改或整改不到位的，采购人有权终止合同，且对采购人造成财产或声誉损害的，供应商应承担赔偿责任，且供应商应向采购人支付2万元作为违约金。</w:t>
            </w:r>
          </w:p>
        </w:tc>
        <w:tc>
          <w:tcPr>
            <w:tcW w:w="3790" w:type="dxa"/>
            <w:tcBorders>
              <w:top w:val="nil"/>
              <w:left w:val="nil"/>
              <w:bottom w:val="single" w:color="auto" w:sz="4" w:space="0"/>
              <w:right w:val="single" w:color="auto" w:sz="4" w:space="0"/>
            </w:tcBorders>
            <w:shd w:val="clear" w:color="auto" w:fill="auto"/>
            <w:noWrap/>
            <w:vAlign w:val="center"/>
          </w:tcPr>
          <w:p w14:paraId="59B665EB">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103E4EA5">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1CA1E642">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1)★配餐车辆要求：供应商在获得中标资格后，必须配备</w:t>
            </w:r>
            <w:r>
              <w:rPr>
                <w:rFonts w:hint="default" w:ascii="宋体" w:hAnsi="宋体" w:cs="宋体"/>
                <w:kern w:val="0"/>
                <w:sz w:val="24"/>
              </w:rPr>
              <w:t>至少1台</w:t>
            </w:r>
            <w:r>
              <w:rPr>
                <w:rFonts w:hint="eastAsia" w:ascii="宋体" w:hAnsi="宋体" w:cs="宋体"/>
                <w:kern w:val="0"/>
                <w:sz w:val="24"/>
              </w:rPr>
              <w:t>专用送餐车辆(车辆尾部为密封车厢，保证食品运送安全）。供应商不得私自转让或委托他人经营送餐，一经发现采购人有权单方面终止合同，并给予经济处罚或诉诸法律，且供应商应向采购人支付2万元作为违约金。</w:t>
            </w:r>
          </w:p>
        </w:tc>
        <w:tc>
          <w:tcPr>
            <w:tcW w:w="3790" w:type="dxa"/>
            <w:tcBorders>
              <w:top w:val="nil"/>
              <w:left w:val="nil"/>
              <w:bottom w:val="single" w:color="auto" w:sz="4" w:space="0"/>
              <w:right w:val="single" w:color="auto" w:sz="4" w:space="0"/>
            </w:tcBorders>
            <w:shd w:val="clear" w:color="auto" w:fill="auto"/>
            <w:noWrap/>
            <w:vAlign w:val="center"/>
          </w:tcPr>
          <w:p w14:paraId="0A76A535">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405F30EB">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1EFEAE4D">
            <w:pPr>
              <w:keepNext w:val="0"/>
              <w:keepLines w:val="0"/>
              <w:widowControl/>
              <w:numPr>
                <w:ilvl w:val="0"/>
                <w:numId w:val="12"/>
              </w:numPr>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采购人成立由食品安全工作小组，定期按照合同中有关评价条款对供餐单位开展考核评价，向供餐单位通报考核评价结果，及时反馈问题并督促其落实整改。供应商对落实食品安全主体责任不到位，存在以下情况的，采购人有权终止合同，供应商应向采购人支付合同价10%作为违约金，报告属地市场监管、行政部门。</w:t>
            </w:r>
          </w:p>
          <w:p w14:paraId="4D11269E">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1)食品经营许可证超过有效期的(如国家或当地另有政策规定人适用其执行)。</w:t>
            </w:r>
          </w:p>
          <w:p w14:paraId="7FC1F012">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2)发生较大或以上食品安全事故的。</w:t>
            </w:r>
          </w:p>
          <w:p w14:paraId="3E977F41">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3)因食品安全问题引发较大或以上舆情事件的。</w:t>
            </w:r>
          </w:p>
          <w:p w14:paraId="40BAD44D">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4)因违反《中华人民共和国食品安全法》及其实施条例等法律法规，一年内累计受到2次或以上行政处罚的。</w:t>
            </w:r>
          </w:p>
          <w:p w14:paraId="56224C2A">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5)因存在重大食品安全隐患受到市场监管部门或人力资源社会保障通报的。</w:t>
            </w:r>
          </w:p>
          <w:p w14:paraId="6010234D">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6)发生转包、分包行为，或擅自更换履约人、变更供餐生产地址等其他违反法律法规或供餐服务合同行为的。</w:t>
            </w:r>
          </w:p>
          <w:p w14:paraId="58F45E26">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7)出现未按供餐服务合同约定建立相关制度或执行制度不力、经营管理混乱降低供餐质量标准、随意变更供餐食谱等情况，经约谈后拒不整改的。</w:t>
            </w:r>
          </w:p>
          <w:p w14:paraId="2CB962B8">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8)供应商与采购人间有商业贿赂等不正当经营行为的。</w:t>
            </w:r>
          </w:p>
          <w:p w14:paraId="078B1D04">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9)存在其他违法、违规、违约等行为，影响恶劣的。</w:t>
            </w:r>
          </w:p>
        </w:tc>
        <w:tc>
          <w:tcPr>
            <w:tcW w:w="3790" w:type="dxa"/>
            <w:tcBorders>
              <w:top w:val="nil"/>
              <w:left w:val="nil"/>
              <w:bottom w:val="single" w:color="auto" w:sz="4" w:space="0"/>
              <w:right w:val="single" w:color="auto" w:sz="4" w:space="0"/>
            </w:tcBorders>
            <w:shd w:val="clear" w:color="auto" w:fill="auto"/>
            <w:noWrap/>
            <w:vAlign w:val="center"/>
          </w:tcPr>
          <w:p w14:paraId="7E278A65">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60F63E3E">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3C93D943">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2.★供应商须做好院内餐饮保障服务工作，接受采购人监督检查并每月按要求提交食品安全管理资料。采购人按《餐饮管理月度服务质量考评》进行考评，月度考评分≧80分为合格，﹤80分时，每下降1分扣罚1000元。连续3个月考评低于80分采购人有权终止合同。</w:t>
            </w:r>
          </w:p>
        </w:tc>
        <w:tc>
          <w:tcPr>
            <w:tcW w:w="3790" w:type="dxa"/>
            <w:tcBorders>
              <w:top w:val="nil"/>
              <w:left w:val="nil"/>
              <w:bottom w:val="single" w:color="auto" w:sz="4" w:space="0"/>
              <w:right w:val="single" w:color="auto" w:sz="4" w:space="0"/>
            </w:tcBorders>
            <w:shd w:val="clear" w:color="auto" w:fill="auto"/>
            <w:noWrap/>
            <w:vAlign w:val="center"/>
          </w:tcPr>
          <w:p w14:paraId="35E251F2">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5C27A1D8">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10F152C3">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4.★未经采购人同意不按食谱规定足额提供配餐的，应当向采购人支付违</w:t>
            </w:r>
            <w:r>
              <w:rPr>
                <w:rFonts w:hint="eastAsia" w:ascii="宋体" w:hAnsi="宋体" w:cs="宋体"/>
                <w:kern w:val="0"/>
                <w:sz w:val="24"/>
                <w:highlight w:val="none"/>
              </w:rPr>
              <w:t>约金1万元。出</w:t>
            </w:r>
            <w:r>
              <w:rPr>
                <w:rFonts w:hint="eastAsia" w:ascii="宋体" w:hAnsi="宋体" w:cs="宋体"/>
                <w:kern w:val="0"/>
                <w:sz w:val="24"/>
              </w:rPr>
              <w:t>现此类情形两次以上，采购人可以解除合同，取消供应商供餐资格。</w:t>
            </w:r>
          </w:p>
        </w:tc>
        <w:tc>
          <w:tcPr>
            <w:tcW w:w="3790" w:type="dxa"/>
            <w:tcBorders>
              <w:top w:val="nil"/>
              <w:left w:val="nil"/>
              <w:bottom w:val="single" w:color="auto" w:sz="4" w:space="0"/>
              <w:right w:val="single" w:color="auto" w:sz="4" w:space="0"/>
            </w:tcBorders>
            <w:shd w:val="clear" w:color="auto" w:fill="auto"/>
            <w:noWrap/>
            <w:vAlign w:val="center"/>
          </w:tcPr>
          <w:p w14:paraId="67CDE04E">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1C5780D2">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1DB838CF">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6.★配送食品出现变质变味等质量问题的，应当全部收回并销毁，立即采取补救措施供应配餐，并向采购人支付违约金人民币2万元，累计出现此类情形两次以上的，采购人有权解除合同，取消供应商供餐资格。</w:t>
            </w:r>
          </w:p>
        </w:tc>
        <w:tc>
          <w:tcPr>
            <w:tcW w:w="3790" w:type="dxa"/>
            <w:tcBorders>
              <w:top w:val="nil"/>
              <w:left w:val="nil"/>
              <w:bottom w:val="single" w:color="auto" w:sz="4" w:space="0"/>
              <w:right w:val="single" w:color="auto" w:sz="4" w:space="0"/>
            </w:tcBorders>
            <w:shd w:val="clear" w:color="auto" w:fill="auto"/>
            <w:noWrap/>
            <w:vAlign w:val="center"/>
          </w:tcPr>
          <w:p w14:paraId="4A29B212">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7E5111CF">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7E016F30">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8.★供应商不能因停水、停电、停燃气、节假日停工等非经采购人同意的原因而停止供餐，如停止供餐的，采购人有权立即解除合同，取消供应商供餐资格，供应商应向采购人支付合同总价10%作为违约金。</w:t>
            </w:r>
          </w:p>
        </w:tc>
        <w:tc>
          <w:tcPr>
            <w:tcW w:w="3790" w:type="dxa"/>
            <w:tcBorders>
              <w:top w:val="nil"/>
              <w:left w:val="nil"/>
              <w:bottom w:val="single" w:color="auto" w:sz="4" w:space="0"/>
              <w:right w:val="single" w:color="auto" w:sz="4" w:space="0"/>
            </w:tcBorders>
            <w:shd w:val="clear" w:color="auto" w:fill="auto"/>
            <w:noWrap/>
            <w:vAlign w:val="center"/>
          </w:tcPr>
          <w:p w14:paraId="4504F432">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5B5C0404">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2B2A3E68">
            <w:pPr>
              <w:keepNext w:val="0"/>
              <w:keepLines w:val="0"/>
              <w:widowControl/>
              <w:suppressLineNumbers w:val="0"/>
              <w:spacing w:before="0" w:beforeAutospacing="0" w:after="0" w:afterAutospacing="0"/>
              <w:ind w:left="0" w:right="0"/>
              <w:jc w:val="left"/>
              <w:rPr>
                <w:rFonts w:hint="eastAsia" w:ascii="宋体" w:hAnsi="宋体" w:cs="宋体"/>
                <w:kern w:val="0"/>
                <w:sz w:val="24"/>
              </w:rPr>
            </w:pPr>
            <w:r>
              <w:rPr>
                <w:rFonts w:hint="eastAsia" w:ascii="宋体" w:hAnsi="宋体" w:cs="宋体"/>
                <w:kern w:val="0"/>
                <w:sz w:val="24"/>
              </w:rPr>
              <w:t>12.★履约保证金：供应商须在签订合同后5个工作日内，向采购人缴交履约保证金3万元（人民币）。运营服务期间，如供应商有违约行为，采购人有权使用履约保证金进行赔偿或处罚，履约保证金被使用后,供应商必须在两个月内补齐。运营服务期满后，供应商如无违约，无食物中毒及其他食品安全问题等民事赔偿，采购人无条件将履约保证金（不计利息）退回供应商。由于供应商原因而提前终止合同的，必须提前两个月通知采购人,否则因此而造成采购人的一切损失由供应商负责,供应商无权要求返还履约保证金。采购人逾期退还履约保证金的，中标供应商可按有关法律规定追缴相应费用，但因中标供应商自身原因导致的除外。</w:t>
            </w:r>
          </w:p>
        </w:tc>
        <w:tc>
          <w:tcPr>
            <w:tcW w:w="3790" w:type="dxa"/>
            <w:tcBorders>
              <w:top w:val="nil"/>
              <w:left w:val="nil"/>
              <w:bottom w:val="single" w:color="auto" w:sz="4" w:space="0"/>
              <w:right w:val="single" w:color="auto" w:sz="4" w:space="0"/>
            </w:tcBorders>
            <w:shd w:val="clear" w:color="auto" w:fill="auto"/>
            <w:noWrap/>
            <w:vAlign w:val="center"/>
          </w:tcPr>
          <w:p w14:paraId="34DBE668">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3EDDF91E">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2A922494">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是否通过</w:t>
            </w:r>
            <w:r>
              <w:rPr>
                <w:rFonts w:hint="eastAsia" w:ascii="宋体" w:hAnsi="宋体" w:cs="宋体"/>
                <w:kern w:val="0"/>
                <w:sz w:val="24"/>
                <w:lang w:val="en-US" w:eastAsia="zh-CN"/>
              </w:rPr>
              <w:t>符合</w:t>
            </w:r>
            <w:r>
              <w:rPr>
                <w:rFonts w:hint="eastAsia" w:ascii="宋体" w:hAnsi="宋体" w:cs="宋体"/>
                <w:kern w:val="0"/>
                <w:sz w:val="24"/>
              </w:rPr>
              <w:t>性审查（此处填写“通过”或“不通过”）</w:t>
            </w:r>
          </w:p>
        </w:tc>
        <w:tc>
          <w:tcPr>
            <w:tcW w:w="3790" w:type="dxa"/>
            <w:tcBorders>
              <w:top w:val="nil"/>
              <w:left w:val="nil"/>
              <w:bottom w:val="single" w:color="auto" w:sz="4" w:space="0"/>
              <w:right w:val="single" w:color="auto" w:sz="4" w:space="0"/>
            </w:tcBorders>
            <w:shd w:val="clear" w:color="auto" w:fill="auto"/>
            <w:noWrap/>
            <w:vAlign w:val="center"/>
          </w:tcPr>
          <w:p w14:paraId="28B6C1C9">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　</w:t>
            </w:r>
          </w:p>
        </w:tc>
      </w:tr>
      <w:tr w14:paraId="63018D59">
        <w:tblPrEx>
          <w:tblCellMar>
            <w:top w:w="0" w:type="dxa"/>
            <w:left w:w="108" w:type="dxa"/>
            <w:bottom w:w="0" w:type="dxa"/>
            <w:right w:w="108" w:type="dxa"/>
          </w:tblCellMar>
        </w:tblPrEx>
        <w:trPr>
          <w:trHeight w:val="600" w:hRule="atLeast"/>
        </w:trPr>
        <w:tc>
          <w:tcPr>
            <w:tcW w:w="9820" w:type="dxa"/>
            <w:gridSpan w:val="2"/>
            <w:tcBorders>
              <w:top w:val="single" w:color="auto" w:sz="4" w:space="0"/>
              <w:left w:val="nil"/>
              <w:bottom w:val="nil"/>
              <w:right w:val="nil"/>
            </w:tcBorders>
            <w:shd w:val="clear" w:color="auto" w:fill="auto"/>
            <w:noWrap/>
            <w:vAlign w:val="center"/>
          </w:tcPr>
          <w:p w14:paraId="73E2618B">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备注：响应供应商分栏中填写“√”表示该项符合</w:t>
            </w:r>
            <w:r>
              <w:rPr>
                <w:rFonts w:hint="eastAsia" w:ascii="宋体" w:hAnsi="宋体" w:cs="宋体"/>
                <w:kern w:val="0"/>
                <w:sz w:val="24"/>
                <w:lang w:val="en-US" w:eastAsia="zh-CN"/>
              </w:rPr>
              <w:t>符合性</w:t>
            </w:r>
            <w:r>
              <w:rPr>
                <w:rFonts w:hint="eastAsia" w:ascii="宋体" w:hAnsi="宋体" w:cs="宋体"/>
                <w:kern w:val="0"/>
                <w:sz w:val="24"/>
              </w:rPr>
              <w:t>要求，“×”表示该项不符合</w:t>
            </w:r>
            <w:r>
              <w:rPr>
                <w:rFonts w:hint="eastAsia" w:ascii="宋体" w:hAnsi="宋体" w:cs="宋体"/>
                <w:kern w:val="0"/>
                <w:sz w:val="24"/>
                <w:lang w:val="en-US" w:eastAsia="zh-CN"/>
              </w:rPr>
              <w:t>符合性</w:t>
            </w:r>
            <w:r>
              <w:rPr>
                <w:rFonts w:hint="eastAsia" w:ascii="宋体" w:hAnsi="宋体" w:cs="宋体"/>
                <w:kern w:val="0"/>
                <w:sz w:val="24"/>
              </w:rPr>
              <w:t>要求。</w:t>
            </w:r>
          </w:p>
        </w:tc>
      </w:tr>
    </w:tbl>
    <w:p w14:paraId="01D16605">
      <w:pPr>
        <w:widowControl/>
        <w:spacing w:line="460" w:lineRule="exact"/>
        <w:rPr>
          <w:rFonts w:asciiTheme="minorEastAsia" w:hAnsiTheme="minorEastAsia" w:eastAsiaTheme="minorEastAsia"/>
          <w:sz w:val="24"/>
        </w:rPr>
      </w:pPr>
    </w:p>
    <w:p w14:paraId="3C315EE8">
      <w:pPr>
        <w:widowControl/>
        <w:spacing w:line="460" w:lineRule="exact"/>
        <w:ind w:firstLine="480" w:firstLineChars="200"/>
        <w:rPr>
          <w:rFonts w:cs="宋体" w:asciiTheme="minorEastAsia" w:hAnsiTheme="minorEastAsia" w:eastAsiaTheme="minorEastAsia"/>
          <w:color w:val="000000"/>
          <w:kern w:val="0"/>
          <w:sz w:val="24"/>
        </w:rPr>
      </w:pPr>
      <w:r>
        <w:rPr>
          <w:rFonts w:asciiTheme="minorEastAsia" w:hAnsiTheme="minorEastAsia" w:eastAsiaTheme="minorEastAsia"/>
          <w:sz w:val="24"/>
        </w:rPr>
        <w:t>3</w:t>
      </w:r>
      <w:r>
        <w:rPr>
          <w:rFonts w:hint="eastAsia" w:asciiTheme="minorEastAsia" w:hAnsiTheme="minorEastAsia" w:eastAsiaTheme="minorEastAsia"/>
          <w:sz w:val="24"/>
        </w:rPr>
        <w:t>、评审小组</w:t>
      </w:r>
      <w:bookmarkStart w:id="6" w:name="_Hlk51102788"/>
      <w:r>
        <w:rPr>
          <w:rFonts w:hint="eastAsia" w:asciiTheme="minorEastAsia" w:hAnsiTheme="minorEastAsia" w:eastAsiaTheme="minorEastAsia"/>
          <w:sz w:val="24"/>
        </w:rPr>
        <w:t>按综合得分由高到低顺序排出名次</w:t>
      </w:r>
      <w:bookmarkEnd w:id="6"/>
      <w:r>
        <w:rPr>
          <w:rFonts w:hint="eastAsia" w:asciiTheme="minorEastAsia" w:hAnsiTheme="minorEastAsia" w:eastAsiaTheme="minorEastAsia"/>
          <w:sz w:val="24"/>
        </w:rPr>
        <w:t>，并推荐综合得分排行第一的响应供应商为第一成交候选人</w:t>
      </w:r>
      <w:bookmarkStart w:id="7" w:name="_Hlk51102816"/>
      <w:r>
        <w:rPr>
          <w:rFonts w:hint="eastAsia" w:asciiTheme="minorEastAsia" w:hAnsiTheme="minorEastAsia" w:eastAsiaTheme="minorEastAsia"/>
          <w:sz w:val="24"/>
        </w:rPr>
        <w:t>（综合得分相同的，响应报价低的排序在前）、综合得分排行第二的响应供应商为第二成交候选人。第二成交候选人高于第一成交候选人报价20%以上的，只推荐1名成交候选人。</w:t>
      </w:r>
      <w:bookmarkEnd w:id="7"/>
    </w:p>
    <w:p w14:paraId="12767C21">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、评审小组按以下标准和权重进行评分。</w:t>
      </w:r>
    </w:p>
    <w:p w14:paraId="2108555E">
      <w:pPr>
        <w:tabs>
          <w:tab w:val="left" w:pos="945"/>
        </w:tabs>
        <w:spacing w:line="360" w:lineRule="auto"/>
        <w:ind w:left="113" w:leftChars="54"/>
        <w:rPr>
          <w:rFonts w:ascii="宋体" w:hAnsi="宋体"/>
          <w:sz w:val="24"/>
        </w:rPr>
      </w:pPr>
      <w:r>
        <w:rPr>
          <w:rFonts w:hint="eastAsia" w:ascii="宋体" w:hAnsi="宋体"/>
          <w:sz w:val="24"/>
        </w:rPr>
        <w:t>（1）评分总分最高为100分，商务、技术及报价的评分分值设置如下：</w:t>
      </w:r>
    </w:p>
    <w:p w14:paraId="16B286BA">
      <w:pPr>
        <w:pStyle w:val="5"/>
        <w:rPr>
          <w:sz w:val="24"/>
          <w:szCs w:val="24"/>
        </w:rPr>
      </w:pPr>
    </w:p>
    <w:tbl>
      <w:tblPr>
        <w:tblStyle w:val="37"/>
        <w:tblW w:w="493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5"/>
        <w:gridCol w:w="2106"/>
        <w:gridCol w:w="2427"/>
        <w:gridCol w:w="2689"/>
      </w:tblGrid>
      <w:tr w14:paraId="6032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14:paraId="186C2676">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分值</w:t>
            </w:r>
          </w:p>
        </w:tc>
        <w:tc>
          <w:tcPr>
            <w:tcW w:w="1109" w:type="pct"/>
            <w:vAlign w:val="bottom"/>
          </w:tcPr>
          <w:p w14:paraId="2C766789">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bCs/>
                <w:sz w:val="24"/>
              </w:rPr>
              <w:t>商务</w:t>
            </w:r>
            <w:r>
              <w:rPr>
                <w:rFonts w:hint="eastAsia" w:ascii="宋体" w:hAnsi="宋体"/>
                <w:b/>
                <w:spacing w:val="-4"/>
                <w:sz w:val="24"/>
              </w:rPr>
              <w:t>评分</w:t>
            </w:r>
          </w:p>
        </w:tc>
        <w:tc>
          <w:tcPr>
            <w:tcW w:w="1278" w:type="pct"/>
            <w:vAlign w:val="bottom"/>
          </w:tcPr>
          <w:p w14:paraId="0EF3C926">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技术评分</w:t>
            </w:r>
          </w:p>
        </w:tc>
        <w:tc>
          <w:tcPr>
            <w:tcW w:w="1415" w:type="pct"/>
            <w:vAlign w:val="bottom"/>
          </w:tcPr>
          <w:p w14:paraId="1A127C8F">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报价得分</w:t>
            </w:r>
          </w:p>
        </w:tc>
      </w:tr>
      <w:tr w14:paraId="03FA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14:paraId="30C1D4D3">
            <w:pPr>
              <w:keepNext w:val="0"/>
              <w:keepLines w:val="0"/>
              <w:suppressLineNumbers w:val="0"/>
              <w:snapToGrid w:val="0"/>
              <w:spacing w:before="0" w:beforeAutospacing="0" w:after="0" w:afterAutospacing="0" w:line="360" w:lineRule="auto"/>
              <w:ind w:left="0" w:right="0"/>
              <w:jc w:val="center"/>
              <w:rPr>
                <w:rFonts w:hint="default" w:ascii="宋体" w:hAnsi="宋体"/>
                <w:b/>
                <w:sz w:val="24"/>
                <w:highlight w:val="none"/>
              </w:rPr>
            </w:pPr>
            <w:r>
              <w:rPr>
                <w:rFonts w:hint="eastAsia" w:ascii="宋体" w:hAnsi="宋体"/>
                <w:b/>
                <w:sz w:val="24"/>
                <w:highlight w:val="none"/>
              </w:rPr>
              <w:t>100分</w:t>
            </w:r>
          </w:p>
        </w:tc>
        <w:tc>
          <w:tcPr>
            <w:tcW w:w="1109" w:type="pct"/>
            <w:vAlign w:val="bottom"/>
          </w:tcPr>
          <w:p w14:paraId="1D969EC0">
            <w:pPr>
              <w:keepNext w:val="0"/>
              <w:keepLines w:val="0"/>
              <w:suppressLineNumbers w:val="0"/>
              <w:snapToGrid w:val="0"/>
              <w:spacing w:before="0" w:beforeAutospacing="0" w:after="0" w:afterAutospacing="0" w:line="360" w:lineRule="auto"/>
              <w:ind w:left="0" w:right="0"/>
              <w:jc w:val="center"/>
              <w:rPr>
                <w:rFonts w:hint="default" w:ascii="宋体" w:hAnsi="宋体" w:eastAsia="宋体"/>
                <w:sz w:val="24"/>
                <w:highlight w:val="none"/>
                <w:lang w:val="en-US" w:eastAsia="zh-CN"/>
              </w:rPr>
            </w:pPr>
            <w:r>
              <w:rPr>
                <w:rFonts w:hint="eastAsia" w:ascii="宋体" w:hAnsi="宋体"/>
                <w:sz w:val="24"/>
                <w:highlight w:val="none"/>
                <w:lang w:val="en-US" w:eastAsia="zh-CN"/>
              </w:rPr>
              <w:t>32</w:t>
            </w:r>
          </w:p>
        </w:tc>
        <w:tc>
          <w:tcPr>
            <w:tcW w:w="1278" w:type="pct"/>
            <w:vAlign w:val="bottom"/>
          </w:tcPr>
          <w:p w14:paraId="66234836">
            <w:pPr>
              <w:keepNext w:val="0"/>
              <w:keepLines w:val="0"/>
              <w:suppressLineNumbers w:val="0"/>
              <w:snapToGrid w:val="0"/>
              <w:spacing w:before="0" w:beforeAutospacing="0" w:after="0" w:afterAutospacing="0" w:line="360" w:lineRule="auto"/>
              <w:ind w:left="0" w:right="0"/>
              <w:jc w:val="center"/>
              <w:rPr>
                <w:rFonts w:hint="default" w:ascii="宋体" w:hAnsi="宋体" w:eastAsia="宋体"/>
                <w:sz w:val="24"/>
                <w:highlight w:val="none"/>
                <w:lang w:val="en-US" w:eastAsia="zh-CN"/>
              </w:rPr>
            </w:pPr>
            <w:r>
              <w:rPr>
                <w:rFonts w:hint="eastAsia" w:ascii="宋体" w:hAnsi="宋体"/>
                <w:sz w:val="24"/>
                <w:highlight w:val="none"/>
                <w:lang w:val="en-US" w:eastAsia="zh-CN"/>
              </w:rPr>
              <w:t>50</w:t>
            </w:r>
          </w:p>
        </w:tc>
        <w:tc>
          <w:tcPr>
            <w:tcW w:w="1415" w:type="pct"/>
            <w:vAlign w:val="bottom"/>
          </w:tcPr>
          <w:p w14:paraId="3908A8AD">
            <w:pPr>
              <w:keepNext w:val="0"/>
              <w:keepLines w:val="0"/>
              <w:suppressLineNumbers w:val="0"/>
              <w:snapToGrid w:val="0"/>
              <w:spacing w:before="0" w:beforeAutospacing="0" w:after="0" w:afterAutospacing="0" w:line="360" w:lineRule="auto"/>
              <w:ind w:left="0" w:right="0"/>
              <w:jc w:val="center"/>
              <w:rPr>
                <w:rFonts w:hint="default" w:ascii="宋体" w:hAnsi="宋体" w:eastAsia="宋体"/>
                <w:sz w:val="24"/>
                <w:highlight w:val="none"/>
                <w:lang w:val="en-US" w:eastAsia="zh-CN"/>
              </w:rPr>
            </w:pPr>
            <w:r>
              <w:rPr>
                <w:rFonts w:hint="eastAsia" w:ascii="宋体" w:hAnsi="宋体"/>
                <w:sz w:val="24"/>
                <w:highlight w:val="none"/>
                <w:lang w:val="en-US" w:eastAsia="zh-CN"/>
              </w:rPr>
              <w:t>18</w:t>
            </w:r>
          </w:p>
        </w:tc>
      </w:tr>
    </w:tbl>
    <w:p w14:paraId="6AEB2A48">
      <w:pPr>
        <w:pStyle w:val="5"/>
      </w:pPr>
    </w:p>
    <w:p w14:paraId="1C2CE1CF">
      <w:pPr>
        <w:spacing w:line="312" w:lineRule="auto"/>
        <w:jc w:val="center"/>
        <w:outlineLvl w:val="0"/>
        <w:rPr>
          <w:rFonts w:asciiTheme="majorEastAsia" w:hAnsiTheme="majorEastAsia" w:eastAsiaTheme="majorEastAsia"/>
          <w:sz w:val="28"/>
          <w:szCs w:val="28"/>
        </w:rPr>
      </w:pPr>
      <w:r>
        <w:rPr>
          <w:rFonts w:hint="eastAsia" w:asciiTheme="majorEastAsia" w:hAnsiTheme="majorEastAsia" w:eastAsiaTheme="majorEastAsia"/>
          <w:b/>
          <w:sz w:val="28"/>
          <w:szCs w:val="28"/>
        </w:rPr>
        <w:t>商务评估表</w:t>
      </w:r>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0"/>
        <w:gridCol w:w="7616"/>
      </w:tblGrid>
      <w:tr w14:paraId="438F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4" w:type="pct"/>
            <w:shd w:val="clear" w:color="auto" w:fill="auto"/>
          </w:tcPr>
          <w:p w14:paraId="7E21240D">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bookmarkStart w:id="8" w:name="_Hlk51103049"/>
            <w:r>
              <w:rPr>
                <w:rFonts w:hint="eastAsia" w:asciiTheme="minorEastAsia" w:hAnsiTheme="minorEastAsia" w:eastAsiaTheme="minorEastAsia"/>
                <w:b/>
                <w:bCs/>
                <w:sz w:val="24"/>
              </w:rPr>
              <w:t>评审项目</w:t>
            </w:r>
          </w:p>
        </w:tc>
        <w:tc>
          <w:tcPr>
            <w:tcW w:w="3955" w:type="pct"/>
            <w:shd w:val="clear" w:color="auto" w:fill="auto"/>
          </w:tcPr>
          <w:p w14:paraId="7B938589">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r>
              <w:rPr>
                <w:rFonts w:hint="eastAsia" w:asciiTheme="minorEastAsia" w:hAnsiTheme="minorEastAsia" w:eastAsiaTheme="minorEastAsia"/>
                <w:b/>
                <w:bCs/>
                <w:sz w:val="24"/>
              </w:rPr>
              <w:t>评分标准</w:t>
            </w:r>
          </w:p>
        </w:tc>
      </w:tr>
      <w:tr w14:paraId="722D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trPr>
        <w:tc>
          <w:tcPr>
            <w:tcW w:w="1044" w:type="pct"/>
            <w:shd w:val="clear" w:color="auto" w:fill="auto"/>
            <w:vAlign w:val="center"/>
          </w:tcPr>
          <w:p w14:paraId="261755BB">
            <w:pPr>
              <w:keepNext w:val="0"/>
              <w:keepLines w:val="0"/>
              <w:suppressLineNumbers w:val="0"/>
              <w:spacing w:before="0" w:beforeAutospacing="0" w:after="0" w:afterAutospacing="0" w:line="340" w:lineRule="exact"/>
              <w:ind w:left="0" w:right="0"/>
              <w:jc w:val="center"/>
              <w:rPr>
                <w:rFonts w:hint="eastAsia" w:eastAsia="宋体" w:asciiTheme="minorEastAsia" w:hAnsiTheme="minorEastAsia"/>
                <w:sz w:val="24"/>
                <w:lang w:eastAsia="zh-CN"/>
              </w:rPr>
            </w:pPr>
            <w:r>
              <w:rPr>
                <w:rFonts w:hint="eastAsia" w:ascii="宋体" w:cs="宋体"/>
                <w:kern w:val="0"/>
                <w:szCs w:val="21"/>
              </w:rPr>
              <w:t>同类项目业绩</w:t>
            </w:r>
            <w:r>
              <w:rPr>
                <w:rFonts w:hint="eastAsia" w:ascii="宋体" w:cs="宋体"/>
                <w:kern w:val="0"/>
                <w:szCs w:val="21"/>
                <w:lang w:eastAsia="zh-CN"/>
              </w:rPr>
              <w:t>（</w:t>
            </w:r>
            <w:r>
              <w:rPr>
                <w:rFonts w:hint="eastAsia" w:ascii="宋体" w:cs="宋体"/>
                <w:kern w:val="0"/>
                <w:szCs w:val="21"/>
                <w:lang w:val="en-US" w:eastAsia="zh-CN"/>
              </w:rPr>
              <w:t>10.0分</w:t>
            </w:r>
            <w:r>
              <w:rPr>
                <w:rFonts w:hint="eastAsia" w:ascii="宋体" w:cs="宋体"/>
                <w:kern w:val="0"/>
                <w:szCs w:val="21"/>
                <w:lang w:eastAsia="zh-CN"/>
              </w:rPr>
              <w:t>）</w:t>
            </w:r>
          </w:p>
        </w:tc>
        <w:tc>
          <w:tcPr>
            <w:tcW w:w="3955" w:type="pct"/>
            <w:shd w:val="clear" w:color="auto" w:fill="auto"/>
            <w:vAlign w:val="center"/>
          </w:tcPr>
          <w:p w14:paraId="0AA1ACED">
            <w:pPr>
              <w:keepNext w:val="0"/>
              <w:keepLines w:val="0"/>
              <w:suppressLineNumbers w:val="0"/>
              <w:spacing w:before="0" w:beforeAutospacing="0" w:after="0" w:afterAutospacing="0" w:line="340" w:lineRule="exact"/>
              <w:ind w:left="0" w:right="0"/>
              <w:rPr>
                <w:rFonts w:hint="eastAsia" w:ascii="宋体" w:cs="宋体"/>
                <w:kern w:val="0"/>
                <w:szCs w:val="21"/>
                <w:highlight w:val="none"/>
              </w:rPr>
            </w:pPr>
            <w:r>
              <w:rPr>
                <w:rFonts w:hint="eastAsia" w:ascii="宋体" w:cs="宋体"/>
                <w:kern w:val="0"/>
                <w:szCs w:val="21"/>
                <w:highlight w:val="none"/>
              </w:rPr>
              <w:t>供应商202</w:t>
            </w:r>
            <w:r>
              <w:rPr>
                <w:rFonts w:hint="eastAsia" w:ascii="宋体" w:cs="宋体"/>
                <w:kern w:val="0"/>
                <w:szCs w:val="21"/>
                <w:highlight w:val="none"/>
                <w:lang w:val="en-US" w:eastAsia="zh-CN"/>
              </w:rPr>
              <w:t>3</w:t>
            </w:r>
            <w:r>
              <w:rPr>
                <w:rFonts w:hint="eastAsia" w:ascii="宋体" w:cs="宋体"/>
                <w:kern w:val="0"/>
                <w:szCs w:val="21"/>
                <w:highlight w:val="none"/>
              </w:rPr>
              <w:t>年1月1日至今（以合同签订时间为准）具有同类项目业绩，每项得</w:t>
            </w:r>
            <w:r>
              <w:rPr>
                <w:rFonts w:hint="eastAsia" w:ascii="宋体" w:cs="宋体"/>
                <w:kern w:val="0"/>
                <w:szCs w:val="21"/>
                <w:highlight w:val="none"/>
                <w:lang w:val="en-US" w:eastAsia="zh-CN"/>
              </w:rPr>
              <w:t>2</w:t>
            </w:r>
            <w:r>
              <w:rPr>
                <w:rFonts w:hint="eastAsia" w:ascii="宋体" w:cs="宋体"/>
                <w:kern w:val="0"/>
                <w:szCs w:val="21"/>
                <w:highlight w:val="none"/>
              </w:rPr>
              <w:t>分，最高得</w:t>
            </w:r>
            <w:r>
              <w:rPr>
                <w:rFonts w:hint="eastAsia" w:ascii="宋体" w:cs="宋体"/>
                <w:kern w:val="0"/>
                <w:szCs w:val="21"/>
                <w:highlight w:val="none"/>
                <w:lang w:val="en-US" w:eastAsia="zh-CN"/>
              </w:rPr>
              <w:t>10</w:t>
            </w:r>
            <w:r>
              <w:rPr>
                <w:rFonts w:hint="eastAsia" w:ascii="宋体" w:cs="宋体"/>
                <w:kern w:val="0"/>
                <w:szCs w:val="21"/>
                <w:highlight w:val="none"/>
              </w:rPr>
              <w:t>分。</w:t>
            </w:r>
          </w:p>
          <w:p w14:paraId="7F1EE043">
            <w:pPr>
              <w:keepNext w:val="0"/>
              <w:keepLines w:val="0"/>
              <w:suppressLineNumbers w:val="0"/>
              <w:spacing w:before="0" w:beforeAutospacing="0" w:after="0" w:afterAutospacing="0" w:line="340" w:lineRule="exact"/>
              <w:ind w:left="0" w:right="0"/>
              <w:rPr>
                <w:rFonts w:hint="eastAsia" w:eastAsia="宋体" w:asciiTheme="minorEastAsia" w:hAnsiTheme="minorEastAsia"/>
                <w:sz w:val="24"/>
                <w:szCs w:val="24"/>
                <w:highlight w:val="none"/>
                <w:lang w:eastAsia="zh-CN"/>
              </w:rPr>
            </w:pPr>
            <w:r>
              <w:rPr>
                <w:rFonts w:hint="eastAsia" w:ascii="宋体" w:cs="宋体"/>
                <w:kern w:val="0"/>
                <w:szCs w:val="21"/>
                <w:highlight w:val="none"/>
              </w:rPr>
              <w:t>提供合同复印件并加盖供应商公章，不符合或不提供不得分。多份同一个客户的业绩只能得1分</w:t>
            </w:r>
            <w:r>
              <w:rPr>
                <w:rFonts w:hint="eastAsia" w:ascii="宋体" w:cs="宋体"/>
                <w:kern w:val="0"/>
                <w:szCs w:val="21"/>
                <w:highlight w:val="none"/>
                <w:lang w:eastAsia="zh-CN"/>
              </w:rPr>
              <w:t>。</w:t>
            </w:r>
          </w:p>
        </w:tc>
      </w:tr>
      <w:tr w14:paraId="4CD6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044" w:type="pct"/>
            <w:shd w:val="clear" w:color="auto" w:fill="auto"/>
            <w:vAlign w:val="center"/>
          </w:tcPr>
          <w:p w14:paraId="7C9BB7E8">
            <w:pPr>
              <w:keepNext w:val="0"/>
              <w:keepLines w:val="0"/>
              <w:suppressLineNumbers w:val="0"/>
              <w:spacing w:before="0" w:beforeAutospacing="0" w:after="0" w:afterAutospacing="0" w:line="340" w:lineRule="exact"/>
              <w:ind w:left="0" w:right="0"/>
              <w:jc w:val="center"/>
              <w:rPr>
                <w:rFonts w:hint="default"/>
                <w:highlight w:val="yellow"/>
              </w:rPr>
            </w:pPr>
            <w:r>
              <w:rPr>
                <w:rFonts w:hint="eastAsia" w:ascii="宋体" w:hAnsi="Times New Roman" w:eastAsia="宋体" w:cs="宋体"/>
                <w:b w:val="0"/>
                <w:bCs w:val="0"/>
                <w:kern w:val="0"/>
                <w:sz w:val="21"/>
                <w:szCs w:val="21"/>
                <w:highlight w:val="none"/>
                <w:lang w:val="en-US" w:eastAsia="zh-CN" w:bidi="ar"/>
              </w:rPr>
              <w:t>用户满意评价</w:t>
            </w:r>
            <w:r>
              <w:rPr>
                <w:rFonts w:hint="eastAsia" w:ascii="宋体" w:cs="宋体"/>
                <w:kern w:val="0"/>
                <w:szCs w:val="21"/>
                <w:highlight w:val="none"/>
                <w:lang w:eastAsia="zh-CN"/>
              </w:rPr>
              <w:t>（</w:t>
            </w:r>
            <w:r>
              <w:rPr>
                <w:rFonts w:hint="default" w:ascii="宋体" w:cs="宋体"/>
                <w:kern w:val="0"/>
                <w:szCs w:val="21"/>
                <w:highlight w:val="none"/>
                <w:lang w:eastAsia="zh-CN"/>
              </w:rPr>
              <w:t>5</w:t>
            </w:r>
            <w:r>
              <w:rPr>
                <w:rFonts w:hint="eastAsia" w:ascii="宋体" w:cs="宋体"/>
                <w:kern w:val="0"/>
                <w:szCs w:val="21"/>
                <w:highlight w:val="none"/>
                <w:lang w:val="en-US" w:eastAsia="zh-CN"/>
              </w:rPr>
              <w:t>.0分</w:t>
            </w:r>
            <w:r>
              <w:rPr>
                <w:rFonts w:hint="eastAsia" w:ascii="宋体" w:cs="宋体"/>
                <w:kern w:val="0"/>
                <w:szCs w:val="21"/>
                <w:highlight w:val="none"/>
                <w:lang w:eastAsia="zh-CN"/>
              </w:rPr>
              <w:t>）</w:t>
            </w:r>
          </w:p>
        </w:tc>
        <w:tc>
          <w:tcPr>
            <w:tcW w:w="3955" w:type="pct"/>
            <w:shd w:val="clear" w:color="auto" w:fill="auto"/>
            <w:vAlign w:val="top"/>
          </w:tcPr>
          <w:p w14:paraId="01A6834B">
            <w:pPr>
              <w:pStyle w:val="10"/>
              <w:keepNext w:val="0"/>
              <w:keepLines w:val="0"/>
              <w:suppressLineNumbers w:val="0"/>
              <w:spacing w:before="0" w:beforeAutospacing="0" w:after="0" w:afterAutospacing="0"/>
              <w:ind w:left="0" w:right="0"/>
              <w:rPr>
                <w:rFonts w:hint="eastAsia" w:ascii="宋体" w:hAnsi="Times New Roman" w:eastAsia="宋体" w:cs="宋体"/>
                <w:b w:val="0"/>
                <w:bCs w:val="0"/>
                <w:kern w:val="0"/>
                <w:szCs w:val="21"/>
                <w:highlight w:val="none"/>
                <w:lang w:val="en-US" w:eastAsia="zh-CN"/>
              </w:rPr>
            </w:pPr>
            <w:r>
              <w:rPr>
                <w:rFonts w:hint="default" w:ascii="宋体" w:cs="宋体"/>
                <w:b w:val="0"/>
                <w:bCs w:val="0"/>
                <w:kern w:val="0"/>
                <w:sz w:val="21"/>
                <w:szCs w:val="21"/>
                <w:highlight w:val="none"/>
                <w:lang w:eastAsia="zh-CN" w:bidi="ar"/>
              </w:rPr>
              <w:t>供应商</w:t>
            </w:r>
            <w:r>
              <w:rPr>
                <w:rFonts w:hint="eastAsia" w:ascii="宋体" w:hAnsi="Times New Roman" w:eastAsia="宋体" w:cs="宋体"/>
                <w:b w:val="0"/>
                <w:bCs w:val="0"/>
                <w:kern w:val="0"/>
                <w:sz w:val="21"/>
                <w:szCs w:val="21"/>
                <w:highlight w:val="none"/>
                <w:lang w:val="en-US" w:eastAsia="zh-CN" w:bidi="ar"/>
              </w:rPr>
              <w:t>提供上述评分项对应业绩用户的经营评价，自202</w:t>
            </w:r>
            <w:r>
              <w:rPr>
                <w:rFonts w:hint="default" w:ascii="宋体" w:cs="宋体"/>
                <w:b w:val="0"/>
                <w:bCs w:val="0"/>
                <w:kern w:val="0"/>
                <w:sz w:val="21"/>
                <w:szCs w:val="21"/>
                <w:highlight w:val="none"/>
                <w:lang w:eastAsia="zh-CN" w:bidi="ar"/>
              </w:rPr>
              <w:t>3</w:t>
            </w:r>
            <w:r>
              <w:rPr>
                <w:rFonts w:hint="eastAsia" w:ascii="宋体" w:hAnsi="Times New Roman" w:eastAsia="宋体" w:cs="宋体"/>
                <w:b w:val="0"/>
                <w:bCs w:val="0"/>
                <w:kern w:val="0"/>
                <w:sz w:val="21"/>
                <w:szCs w:val="21"/>
                <w:highlight w:val="none"/>
                <w:lang w:val="en-US" w:eastAsia="zh-CN" w:bidi="ar"/>
              </w:rPr>
              <w:t>年1月1日以来</w:t>
            </w:r>
            <w:r>
              <w:rPr>
                <w:rFonts w:hint="eastAsia" w:ascii="宋体" w:cs="宋体"/>
                <w:kern w:val="0"/>
                <w:szCs w:val="21"/>
                <w:highlight w:val="none"/>
              </w:rPr>
              <w:t>同类项目业绩</w:t>
            </w:r>
            <w:r>
              <w:rPr>
                <w:rFonts w:hint="eastAsia" w:ascii="宋体" w:hAnsi="Times New Roman" w:eastAsia="宋体" w:cs="宋体"/>
                <w:b w:val="0"/>
                <w:bCs w:val="0"/>
                <w:kern w:val="0"/>
                <w:sz w:val="21"/>
                <w:szCs w:val="21"/>
                <w:highlight w:val="none"/>
                <w:lang w:val="en-US" w:eastAsia="zh-CN" w:bidi="ar"/>
              </w:rPr>
              <w:t>且获得用户满意评价的，提供证明文件：每提供1份得1分，最高得5分。</w:t>
            </w:r>
          </w:p>
          <w:p w14:paraId="0F7B9E36">
            <w:pPr>
              <w:pStyle w:val="10"/>
              <w:keepNext w:val="0"/>
              <w:keepLines w:val="0"/>
              <w:suppressLineNumbers w:val="0"/>
              <w:spacing w:before="0" w:beforeAutospacing="0" w:after="0" w:afterAutospacing="0"/>
              <w:ind w:left="0" w:right="0"/>
              <w:rPr>
                <w:rFonts w:hint="eastAsia" w:ascii="宋体" w:hAnsi="Times New Roman" w:eastAsia="宋体" w:cs="宋体"/>
                <w:b w:val="0"/>
                <w:bCs w:val="0"/>
                <w:kern w:val="0"/>
                <w:szCs w:val="21"/>
                <w:highlight w:val="none"/>
                <w:lang w:val="en-US" w:eastAsia="zh-CN"/>
              </w:rPr>
            </w:pPr>
            <w:r>
              <w:rPr>
                <w:rFonts w:hint="eastAsia" w:ascii="宋体" w:hAnsi="Times New Roman" w:eastAsia="宋体" w:cs="宋体"/>
                <w:b w:val="0"/>
                <w:bCs w:val="0"/>
                <w:kern w:val="0"/>
                <w:sz w:val="21"/>
                <w:szCs w:val="21"/>
                <w:highlight w:val="none"/>
                <w:lang w:val="en-US" w:eastAsia="zh-CN" w:bidi="ar"/>
              </w:rPr>
              <w:t>注1：满意评价是指：评价表内如有分档，则以最高档为满意评价；未分档时，以获得“优秀”“良好”或百分制 85分以上为满意评价。</w:t>
            </w:r>
          </w:p>
          <w:p w14:paraId="466AD8A0">
            <w:pPr>
              <w:pStyle w:val="10"/>
              <w:keepNext w:val="0"/>
              <w:keepLines w:val="0"/>
              <w:suppressLineNumbers w:val="0"/>
              <w:spacing w:before="0" w:beforeAutospacing="0" w:after="0" w:afterAutospacing="0"/>
              <w:ind w:left="0" w:right="0"/>
              <w:rPr>
                <w:rFonts w:hint="eastAsia" w:ascii="宋体" w:hAnsi="宋体" w:eastAsia="宋体" w:cs="宋体"/>
                <w:szCs w:val="21"/>
                <w:highlight w:val="none"/>
                <w:lang w:eastAsia="zh-CN"/>
              </w:rPr>
            </w:pPr>
            <w:r>
              <w:rPr>
                <w:rFonts w:hint="eastAsia" w:ascii="宋体" w:hAnsi="Times New Roman" w:eastAsia="宋体" w:cs="宋体"/>
                <w:b w:val="0"/>
                <w:bCs w:val="0"/>
                <w:kern w:val="0"/>
                <w:sz w:val="21"/>
                <w:szCs w:val="21"/>
                <w:highlight w:val="none"/>
                <w:lang w:val="en-US" w:eastAsia="zh-CN" w:bidi="ar"/>
              </w:rPr>
              <w:t>注2：须提供对应业绩并盖有用户公章的评价证明文件和合同复印件，不提供不得分。</w:t>
            </w:r>
            <w:r>
              <w:rPr>
                <w:rFonts w:hint="eastAsia" w:ascii="宋体" w:hAnsi="Times New Roman" w:eastAsia="宋体" w:cs="宋体"/>
                <w:kern w:val="0"/>
                <w:sz w:val="21"/>
                <w:szCs w:val="21"/>
                <w:highlight w:val="none"/>
                <w:lang w:val="en-US" w:eastAsia="zh-CN" w:bidi="ar"/>
              </w:rPr>
              <w:t xml:space="preserve"> </w:t>
            </w:r>
            <w:r>
              <w:rPr>
                <w:rFonts w:hint="default"/>
                <w:highlight w:val="none"/>
              </w:rPr>
              <w:t>多份同一个客户的业绩只能得1分</w:t>
            </w:r>
            <w:r>
              <w:rPr>
                <w:rFonts w:hint="eastAsia"/>
                <w:highlight w:val="none"/>
                <w:lang w:eastAsia="zh-CN"/>
              </w:rPr>
              <w:t>。</w:t>
            </w:r>
          </w:p>
        </w:tc>
      </w:tr>
      <w:tr w14:paraId="53C3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044" w:type="pct"/>
            <w:shd w:val="clear" w:color="auto" w:fill="auto"/>
            <w:vAlign w:val="center"/>
          </w:tcPr>
          <w:p w14:paraId="52A4B5C0">
            <w:pPr>
              <w:keepNext w:val="0"/>
              <w:keepLines w:val="0"/>
              <w:suppressLineNumbers w:val="0"/>
              <w:spacing w:before="0" w:beforeAutospacing="0" w:after="0" w:afterAutospacing="0" w:line="340" w:lineRule="exact"/>
              <w:ind w:left="0" w:right="0"/>
              <w:jc w:val="center"/>
              <w:rPr>
                <w:rFonts w:hint="eastAsia"/>
              </w:rPr>
            </w:pPr>
            <w:r>
              <w:rPr>
                <w:rFonts w:hint="eastAsia"/>
              </w:rPr>
              <w:t>体系认证情况</w:t>
            </w:r>
          </w:p>
          <w:p w14:paraId="4D0C2DB0">
            <w:pPr>
              <w:keepNext w:val="0"/>
              <w:keepLines w:val="0"/>
              <w:suppressLineNumbers w:val="0"/>
              <w:spacing w:before="0" w:beforeAutospacing="0" w:after="0" w:afterAutospacing="0" w:line="340" w:lineRule="exact"/>
              <w:ind w:left="0" w:right="0"/>
              <w:jc w:val="center"/>
              <w:rPr>
                <w:rFonts w:hint="eastAsia" w:eastAsia="宋体" w:asciiTheme="minorEastAsia" w:hAnsiTheme="minorEastAsia"/>
                <w:sz w:val="24"/>
                <w:lang w:eastAsia="zh-CN"/>
              </w:rPr>
            </w:pPr>
            <w:r>
              <w:rPr>
                <w:rFonts w:hint="eastAsia"/>
                <w:lang w:eastAsia="zh-CN"/>
              </w:rPr>
              <w:t>（</w:t>
            </w:r>
            <w:r>
              <w:rPr>
                <w:rFonts w:hint="eastAsia"/>
                <w:lang w:val="en-US" w:eastAsia="zh-CN"/>
              </w:rPr>
              <w:t>12.0分</w:t>
            </w:r>
            <w:r>
              <w:rPr>
                <w:rFonts w:hint="eastAsia"/>
                <w:lang w:eastAsia="zh-CN"/>
              </w:rPr>
              <w:t>）</w:t>
            </w:r>
          </w:p>
        </w:tc>
        <w:tc>
          <w:tcPr>
            <w:tcW w:w="3955" w:type="pct"/>
            <w:shd w:val="clear" w:color="auto" w:fill="auto"/>
            <w:vAlign w:val="top"/>
          </w:tcPr>
          <w:p w14:paraId="31B9B6D4">
            <w:pPr>
              <w:keepNext w:val="0"/>
              <w:keepLines w:val="0"/>
              <w:suppressLineNumbers w:val="0"/>
              <w:spacing w:before="0" w:beforeAutospacing="0" w:after="0" w:afterAutospacing="0" w:line="340" w:lineRule="exact"/>
              <w:ind w:left="0" w:right="0"/>
              <w:rPr>
                <w:rFonts w:hint="eastAsia" w:ascii="宋体" w:hAnsi="宋体" w:cs="宋体"/>
                <w:szCs w:val="21"/>
                <w:lang w:eastAsia="zh-CN"/>
              </w:rPr>
            </w:pPr>
            <w:r>
              <w:rPr>
                <w:rFonts w:hint="eastAsia" w:ascii="宋体" w:hAnsi="宋体" w:cs="宋体"/>
                <w:szCs w:val="21"/>
              </w:rPr>
              <w:t>供应商具有质量管理体系认证证书、环境管理体系认证证书、职业健康安全管理体系认证证书的，每项得</w:t>
            </w:r>
            <w:r>
              <w:rPr>
                <w:rFonts w:hint="eastAsia" w:ascii="宋体" w:hAnsi="宋体" w:cs="宋体"/>
                <w:szCs w:val="21"/>
                <w:lang w:val="en-US" w:eastAsia="zh-CN"/>
              </w:rPr>
              <w:t>4</w:t>
            </w:r>
            <w:r>
              <w:rPr>
                <w:rFonts w:hint="eastAsia" w:ascii="宋体" w:hAnsi="宋体" w:cs="宋体"/>
                <w:szCs w:val="21"/>
              </w:rPr>
              <w:t>分，最高得</w:t>
            </w:r>
            <w:r>
              <w:rPr>
                <w:rFonts w:hint="eastAsia" w:ascii="宋体" w:hAnsi="宋体" w:cs="宋体"/>
                <w:szCs w:val="21"/>
                <w:lang w:val="en-US" w:eastAsia="zh-CN"/>
              </w:rPr>
              <w:t>12</w:t>
            </w:r>
            <w:r>
              <w:rPr>
                <w:rFonts w:hint="eastAsia" w:ascii="宋体" w:hAnsi="宋体" w:cs="宋体"/>
                <w:szCs w:val="21"/>
              </w:rPr>
              <w:t>分</w:t>
            </w:r>
            <w:r>
              <w:rPr>
                <w:rFonts w:hint="eastAsia" w:ascii="宋体" w:hAnsi="宋体" w:cs="宋体"/>
                <w:szCs w:val="21"/>
                <w:lang w:eastAsia="zh-CN"/>
              </w:rPr>
              <w:t>。</w:t>
            </w:r>
          </w:p>
          <w:p w14:paraId="073CFCF2">
            <w:pPr>
              <w:keepNext w:val="0"/>
              <w:keepLines w:val="0"/>
              <w:suppressLineNumbers w:val="0"/>
              <w:spacing w:before="0" w:beforeAutospacing="0" w:after="0" w:afterAutospacing="0" w:line="340" w:lineRule="exact"/>
              <w:ind w:left="0" w:right="0"/>
              <w:rPr>
                <w:rFonts w:hint="default" w:asciiTheme="minorEastAsia" w:hAnsiTheme="minorEastAsia" w:eastAsiaTheme="minorEastAsia"/>
                <w:sz w:val="24"/>
                <w:szCs w:val="24"/>
              </w:rPr>
            </w:pPr>
            <w:r>
              <w:rPr>
                <w:rFonts w:hint="eastAsia" w:ascii="宋体" w:hAnsi="宋体" w:cs="宋体"/>
                <w:szCs w:val="21"/>
              </w:rPr>
              <w:t>提供认证证书复印件</w:t>
            </w:r>
            <w:r>
              <w:rPr>
                <w:rFonts w:hint="eastAsia" w:ascii="宋体" w:cs="宋体"/>
                <w:kern w:val="0"/>
                <w:szCs w:val="21"/>
              </w:rPr>
              <w:t>并加盖供应商公章</w:t>
            </w:r>
            <w:r>
              <w:rPr>
                <w:rFonts w:hint="eastAsia" w:ascii="宋体" w:hAnsi="宋体" w:cs="宋体"/>
                <w:szCs w:val="21"/>
              </w:rPr>
              <w:t>。不符合或不提供不</w:t>
            </w:r>
            <w:r>
              <w:rPr>
                <w:rFonts w:hint="eastAsia"/>
              </w:rPr>
              <w:t>得分。</w:t>
            </w:r>
          </w:p>
        </w:tc>
      </w:tr>
      <w:tr w14:paraId="62AD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044" w:type="pct"/>
            <w:shd w:val="clear" w:color="auto" w:fill="auto"/>
            <w:vAlign w:val="top"/>
          </w:tcPr>
          <w:p w14:paraId="38D2D4A5">
            <w:pPr>
              <w:pStyle w:val="148"/>
              <w:keepNext w:val="0"/>
              <w:keepLines w:val="0"/>
              <w:widowControl w:val="0"/>
              <w:suppressLineNumbers w:val="0"/>
              <w:spacing w:before="0" w:beforeAutospacing="0" w:after="0" w:afterAutospacing="0"/>
              <w:ind w:left="0" w:right="0"/>
              <w:jc w:val="center"/>
              <w:rPr>
                <w:rFonts w:hint="default" w:ascii="宋体" w:hAnsi="Times New Roman" w:eastAsia="宋体" w:cs="宋体"/>
                <w:kern w:val="0"/>
                <w:sz w:val="21"/>
                <w:szCs w:val="21"/>
                <w:lang w:val="en-US" w:eastAsia="zh-CN" w:bidi="ar-SA"/>
              </w:rPr>
            </w:pPr>
            <w:bookmarkStart w:id="9" w:name="_Toc14789"/>
          </w:p>
          <w:p w14:paraId="75A76FBB">
            <w:pPr>
              <w:pStyle w:val="148"/>
              <w:keepNext w:val="0"/>
              <w:keepLines w:val="0"/>
              <w:widowControl w:val="0"/>
              <w:suppressLineNumbers w:val="0"/>
              <w:spacing w:before="0" w:beforeAutospacing="0" w:after="0" w:afterAutospacing="0"/>
              <w:ind w:left="0" w:right="0"/>
              <w:jc w:val="center"/>
              <w:rPr>
                <w:rFonts w:hint="default" w:ascii="宋体" w:hAnsi="Times New Roman" w:eastAsia="宋体" w:cs="宋体"/>
                <w:kern w:val="0"/>
                <w:sz w:val="21"/>
                <w:szCs w:val="21"/>
                <w:lang w:val="en-US" w:eastAsia="zh-CN" w:bidi="ar-SA"/>
              </w:rPr>
            </w:pPr>
          </w:p>
          <w:p w14:paraId="602ABA5A">
            <w:pPr>
              <w:pStyle w:val="148"/>
              <w:keepNext w:val="0"/>
              <w:keepLines w:val="0"/>
              <w:widowControl w:val="0"/>
              <w:suppressLineNumbers w:val="0"/>
              <w:spacing w:before="0" w:beforeAutospacing="0" w:after="0" w:afterAutospacing="0"/>
              <w:ind w:left="0" w:right="0"/>
              <w:jc w:val="center"/>
              <w:rPr>
                <w:rFonts w:hint="default" w:ascii="宋体" w:hAnsi="Times New Roman" w:eastAsia="宋体" w:cs="宋体"/>
                <w:kern w:val="0"/>
                <w:sz w:val="21"/>
                <w:szCs w:val="21"/>
                <w:lang w:val="en-US" w:eastAsia="zh-CN" w:bidi="ar-SA"/>
              </w:rPr>
            </w:pPr>
          </w:p>
          <w:p w14:paraId="1A24B695">
            <w:pPr>
              <w:pStyle w:val="148"/>
              <w:keepNext w:val="0"/>
              <w:keepLines w:val="0"/>
              <w:widowControl w:val="0"/>
              <w:suppressLineNumbers w:val="0"/>
              <w:spacing w:before="0" w:beforeAutospacing="0" w:after="0" w:afterAutospacing="0"/>
              <w:ind w:left="0" w:right="0"/>
              <w:jc w:val="center"/>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 xml:space="preserve">风险管理能力 </w:t>
            </w:r>
          </w:p>
          <w:p w14:paraId="71077A40">
            <w:pPr>
              <w:pStyle w:val="148"/>
              <w:keepNext w:val="0"/>
              <w:keepLines w:val="0"/>
              <w:widowControl w:val="0"/>
              <w:suppressLineNumbers w:val="0"/>
              <w:spacing w:before="0" w:beforeAutospacing="0" w:after="0" w:afterAutospacing="0"/>
              <w:ind w:left="0" w:right="0"/>
              <w:jc w:val="center"/>
              <w:rPr>
                <w:rFonts w:hint="eastAsia" w:ascii="宋体" w:hAnsi="Times New Roman" w:eastAsia="宋体" w:cs="宋体"/>
                <w:kern w:val="0"/>
                <w:sz w:val="21"/>
                <w:szCs w:val="21"/>
                <w:lang w:val="en-US" w:eastAsia="zh-CN" w:bidi="ar-SA"/>
              </w:rPr>
            </w:pPr>
            <w:r>
              <w:rPr>
                <w:rFonts w:hint="default" w:ascii="宋体" w:hAnsi="Times New Roman" w:eastAsia="宋体" w:cs="宋体"/>
                <w:kern w:val="0"/>
                <w:sz w:val="21"/>
                <w:szCs w:val="21"/>
                <w:highlight w:val="none"/>
                <w:lang w:val="en-US" w:eastAsia="zh-CN" w:bidi="ar-SA"/>
              </w:rPr>
              <w:t>(</w:t>
            </w:r>
            <w:r>
              <w:rPr>
                <w:rFonts w:hint="default" w:ascii="宋体" w:hAnsi="Times New Roman" w:eastAsia="宋体" w:cs="宋体"/>
                <w:kern w:val="0"/>
                <w:sz w:val="21"/>
                <w:szCs w:val="21"/>
                <w:highlight w:val="none"/>
                <w:lang w:eastAsia="zh-CN" w:bidi="ar-SA"/>
              </w:rPr>
              <w:t>5</w:t>
            </w:r>
            <w:r>
              <w:rPr>
                <w:rFonts w:hint="default" w:ascii="宋体" w:hAnsi="Times New Roman" w:eastAsia="宋体" w:cs="宋体"/>
                <w:kern w:val="0"/>
                <w:sz w:val="21"/>
                <w:szCs w:val="21"/>
                <w:highlight w:val="none"/>
                <w:lang w:val="en-US" w:eastAsia="zh-CN" w:bidi="ar-SA"/>
              </w:rPr>
              <w:t>.0分)</w:t>
            </w:r>
          </w:p>
        </w:tc>
        <w:tc>
          <w:tcPr>
            <w:tcW w:w="3955" w:type="pct"/>
            <w:shd w:val="clear" w:color="auto" w:fill="auto"/>
            <w:vAlign w:val="top"/>
          </w:tcPr>
          <w:p w14:paraId="2FF518AA">
            <w:pPr>
              <w:pStyle w:val="148"/>
              <w:keepNext w:val="0"/>
              <w:keepLines w:val="0"/>
              <w:widowControl w:val="0"/>
              <w:suppressLineNumbers w:val="0"/>
              <w:spacing w:before="0" w:beforeAutospacing="0" w:after="0" w:afterAutospacing="0" w:line="400" w:lineRule="exact"/>
              <w:ind w:left="0" w:right="0"/>
              <w:jc w:val="both"/>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根据</w:t>
            </w:r>
            <w:r>
              <w:rPr>
                <w:rFonts w:hint="eastAsia" w:ascii="宋体" w:hAnsi="Times New Roman" w:eastAsia="宋体" w:cs="宋体"/>
                <w:kern w:val="0"/>
                <w:sz w:val="21"/>
                <w:szCs w:val="21"/>
                <w:lang w:val="en-US" w:eastAsia="zh-CN" w:bidi="ar-SA"/>
              </w:rPr>
              <w:t>供应商</w:t>
            </w:r>
            <w:r>
              <w:rPr>
                <w:rFonts w:hint="default" w:ascii="宋体" w:hAnsi="Times New Roman" w:eastAsia="宋体" w:cs="宋体"/>
                <w:kern w:val="0"/>
                <w:sz w:val="21"/>
                <w:szCs w:val="21"/>
                <w:lang w:val="en-US" w:eastAsia="zh-CN" w:bidi="ar-SA"/>
              </w:rPr>
              <w:t>是否购买食品安全责任险进行评分：</w:t>
            </w:r>
          </w:p>
          <w:p w14:paraId="0E119F0C">
            <w:pPr>
              <w:pStyle w:val="148"/>
              <w:keepNext w:val="0"/>
              <w:keepLines w:val="0"/>
              <w:widowControl w:val="0"/>
              <w:numPr>
                <w:ilvl w:val="0"/>
                <w:numId w:val="13"/>
              </w:numPr>
              <w:suppressLineNumbers w:val="0"/>
              <w:spacing w:before="0" w:beforeAutospacing="0" w:after="0" w:afterAutospacing="0" w:line="400" w:lineRule="exact"/>
              <w:ind w:left="0" w:right="0"/>
              <w:jc w:val="both"/>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食品安全责任险保额5000万或以上；得</w:t>
            </w:r>
            <w:r>
              <w:rPr>
                <w:rFonts w:hint="default" w:ascii="宋体" w:hAnsi="Times New Roman" w:eastAsia="宋体" w:cs="宋体"/>
                <w:kern w:val="0"/>
                <w:sz w:val="21"/>
                <w:szCs w:val="21"/>
                <w:lang w:eastAsia="zh-CN" w:bidi="ar-SA"/>
              </w:rPr>
              <w:t>5</w:t>
            </w:r>
            <w:r>
              <w:rPr>
                <w:rFonts w:hint="default" w:ascii="宋体" w:hAnsi="Times New Roman" w:eastAsia="宋体" w:cs="宋体"/>
                <w:kern w:val="0"/>
                <w:sz w:val="21"/>
                <w:szCs w:val="21"/>
                <w:lang w:val="en-US" w:eastAsia="zh-CN" w:bidi="ar-SA"/>
              </w:rPr>
              <w:t>分，</w:t>
            </w:r>
          </w:p>
          <w:p w14:paraId="029391E6">
            <w:pPr>
              <w:pStyle w:val="148"/>
              <w:keepNext w:val="0"/>
              <w:keepLines w:val="0"/>
              <w:widowControl w:val="0"/>
              <w:numPr>
                <w:ilvl w:val="0"/>
                <w:numId w:val="13"/>
              </w:numPr>
              <w:suppressLineNumbers w:val="0"/>
              <w:spacing w:before="0" w:beforeAutospacing="0" w:after="0" w:afterAutospacing="0" w:line="400" w:lineRule="exact"/>
              <w:ind w:left="0" w:right="0"/>
              <w:jc w:val="both"/>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食品安全责任险保额3000万-5000万（不含5000万）；得</w:t>
            </w:r>
            <w:r>
              <w:rPr>
                <w:rFonts w:hint="default" w:ascii="宋体" w:hAnsi="Times New Roman" w:eastAsia="宋体" w:cs="宋体"/>
                <w:kern w:val="0"/>
                <w:sz w:val="21"/>
                <w:szCs w:val="21"/>
                <w:lang w:eastAsia="zh-CN" w:bidi="ar-SA"/>
              </w:rPr>
              <w:t>4</w:t>
            </w:r>
            <w:r>
              <w:rPr>
                <w:rFonts w:hint="default" w:ascii="宋体" w:hAnsi="Times New Roman" w:eastAsia="宋体" w:cs="宋体"/>
                <w:kern w:val="0"/>
                <w:sz w:val="21"/>
                <w:szCs w:val="21"/>
                <w:lang w:val="en-US" w:eastAsia="zh-CN" w:bidi="ar-SA"/>
              </w:rPr>
              <w:t>分</w:t>
            </w:r>
          </w:p>
          <w:p w14:paraId="4A573513">
            <w:pPr>
              <w:pStyle w:val="148"/>
              <w:keepNext w:val="0"/>
              <w:keepLines w:val="0"/>
              <w:widowControl w:val="0"/>
              <w:numPr>
                <w:ilvl w:val="0"/>
                <w:numId w:val="13"/>
              </w:numPr>
              <w:suppressLineNumbers w:val="0"/>
              <w:spacing w:before="0" w:beforeAutospacing="0" w:after="0" w:afterAutospacing="0" w:line="400" w:lineRule="exact"/>
              <w:ind w:left="0" w:right="0"/>
              <w:jc w:val="both"/>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食品安全责任险保额1000万-3000万（不含3000万）；得</w:t>
            </w:r>
            <w:r>
              <w:rPr>
                <w:rFonts w:hint="default" w:ascii="宋体" w:hAnsi="Times New Roman" w:eastAsia="宋体" w:cs="宋体"/>
                <w:kern w:val="0"/>
                <w:sz w:val="21"/>
                <w:szCs w:val="21"/>
                <w:lang w:eastAsia="zh-CN" w:bidi="ar-SA"/>
              </w:rPr>
              <w:t>3</w:t>
            </w:r>
            <w:r>
              <w:rPr>
                <w:rFonts w:hint="default" w:ascii="宋体" w:hAnsi="Times New Roman" w:eastAsia="宋体" w:cs="宋体"/>
                <w:kern w:val="0"/>
                <w:sz w:val="21"/>
                <w:szCs w:val="21"/>
                <w:lang w:val="en-US" w:eastAsia="zh-CN" w:bidi="ar-SA"/>
              </w:rPr>
              <w:t>分</w:t>
            </w:r>
          </w:p>
          <w:p w14:paraId="2915E0B2">
            <w:pPr>
              <w:pStyle w:val="148"/>
              <w:keepNext w:val="0"/>
              <w:keepLines w:val="0"/>
              <w:widowControl w:val="0"/>
              <w:numPr>
                <w:ilvl w:val="0"/>
                <w:numId w:val="13"/>
              </w:numPr>
              <w:suppressLineNumbers w:val="0"/>
              <w:spacing w:before="0" w:beforeAutospacing="0" w:after="0" w:afterAutospacing="0" w:line="400" w:lineRule="exact"/>
              <w:ind w:left="0" w:right="0"/>
              <w:jc w:val="both"/>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食品安全责任险保额1000万以下；得</w:t>
            </w:r>
            <w:r>
              <w:rPr>
                <w:rFonts w:hint="default" w:ascii="宋体" w:hAnsi="Times New Roman" w:eastAsia="宋体" w:cs="宋体"/>
                <w:kern w:val="0"/>
                <w:sz w:val="21"/>
                <w:szCs w:val="21"/>
                <w:lang w:eastAsia="zh-CN" w:bidi="ar-SA"/>
              </w:rPr>
              <w:t>2</w:t>
            </w:r>
            <w:r>
              <w:rPr>
                <w:rFonts w:hint="default" w:ascii="宋体" w:hAnsi="Times New Roman" w:eastAsia="宋体" w:cs="宋体"/>
                <w:kern w:val="0"/>
                <w:sz w:val="21"/>
                <w:szCs w:val="21"/>
                <w:lang w:val="en-US" w:eastAsia="zh-CN" w:bidi="ar-SA"/>
              </w:rPr>
              <w:t>分。</w:t>
            </w:r>
          </w:p>
          <w:p w14:paraId="105DD598">
            <w:pPr>
              <w:pStyle w:val="148"/>
              <w:keepNext w:val="0"/>
              <w:keepLines w:val="0"/>
              <w:widowControl w:val="0"/>
              <w:suppressLineNumbers w:val="0"/>
              <w:spacing w:before="0" w:beforeAutospacing="0" w:after="0" w:afterAutospacing="0" w:line="400" w:lineRule="exact"/>
              <w:ind w:left="0" w:right="0"/>
              <w:jc w:val="both"/>
              <w:rPr>
                <w:rFonts w:hint="eastAsia"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注：提供保险合同复印件并加盖公章，不提供不得分。</w:t>
            </w:r>
          </w:p>
        </w:tc>
      </w:tr>
      <w:bookmarkEnd w:id="8"/>
    </w:tbl>
    <w:p w14:paraId="53C35CAB">
      <w:pPr>
        <w:pStyle w:val="5"/>
      </w:pPr>
    </w:p>
    <w:p w14:paraId="23778ACD">
      <w:pPr>
        <w:spacing w:line="312" w:lineRule="auto"/>
        <w:jc w:val="center"/>
        <w:outlineLvl w:val="0"/>
        <w:rPr>
          <w:rFonts w:asciiTheme="minorEastAsia" w:hAnsiTheme="minorEastAsia" w:eastAsiaTheme="minorEastAsia"/>
          <w:b/>
          <w:sz w:val="28"/>
          <w:szCs w:val="28"/>
        </w:rPr>
      </w:pPr>
      <w:r>
        <w:rPr>
          <w:rFonts w:hint="eastAsia" w:asciiTheme="majorEastAsia" w:hAnsiTheme="majorEastAsia" w:eastAsiaTheme="majorEastAsia"/>
          <w:b/>
          <w:sz w:val="28"/>
          <w:szCs w:val="28"/>
        </w:rPr>
        <w:t>技术评估表</w:t>
      </w:r>
    </w:p>
    <w:tbl>
      <w:tblPr>
        <w:tblStyle w:val="37"/>
        <w:tblW w:w="949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7513"/>
      </w:tblGrid>
      <w:tr w14:paraId="166B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shd w:val="clear" w:color="auto" w:fill="auto"/>
          </w:tcPr>
          <w:p w14:paraId="52519B84">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r>
              <w:rPr>
                <w:rFonts w:hint="eastAsia" w:asciiTheme="minorEastAsia" w:hAnsiTheme="minorEastAsia" w:eastAsiaTheme="minorEastAsia"/>
                <w:b/>
                <w:bCs/>
                <w:sz w:val="24"/>
              </w:rPr>
              <w:t>评审项目</w:t>
            </w:r>
          </w:p>
        </w:tc>
        <w:tc>
          <w:tcPr>
            <w:tcW w:w="7513" w:type="dxa"/>
            <w:shd w:val="clear" w:color="auto" w:fill="auto"/>
          </w:tcPr>
          <w:p w14:paraId="48FC6B47">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r>
              <w:rPr>
                <w:rFonts w:hint="eastAsia" w:asciiTheme="minorEastAsia" w:hAnsiTheme="minorEastAsia" w:eastAsiaTheme="minorEastAsia"/>
                <w:b/>
                <w:bCs/>
                <w:sz w:val="24"/>
              </w:rPr>
              <w:t>评分标准</w:t>
            </w:r>
          </w:p>
        </w:tc>
      </w:tr>
      <w:tr w14:paraId="0EDD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1984" w:type="dxa"/>
            <w:shd w:val="clear" w:color="auto" w:fill="auto"/>
            <w:vAlign w:val="top"/>
          </w:tcPr>
          <w:p w14:paraId="5E1E070F">
            <w:pPr>
              <w:pStyle w:val="148"/>
              <w:keepNext w:val="0"/>
              <w:keepLines w:val="0"/>
              <w:widowControl w:val="0"/>
              <w:suppressLineNumbers w:val="0"/>
              <w:spacing w:before="0" w:beforeAutospacing="0" w:after="0" w:afterAutospacing="0"/>
              <w:ind w:left="0" w:right="0"/>
              <w:jc w:val="center"/>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信息化订餐管理平台</w:t>
            </w:r>
            <w:r>
              <w:rPr>
                <w:rFonts w:hint="eastAsia" w:ascii="宋体" w:hAnsi="Times New Roman" w:eastAsia="宋体" w:cs="宋体"/>
                <w:kern w:val="0"/>
                <w:sz w:val="21"/>
                <w:szCs w:val="21"/>
                <w:lang w:val="en-US" w:eastAsia="zh-CN" w:bidi="ar-SA"/>
              </w:rPr>
              <w:t>方案</w:t>
            </w:r>
          </w:p>
          <w:p w14:paraId="2AD99C10">
            <w:pPr>
              <w:pStyle w:val="148"/>
              <w:keepNext w:val="0"/>
              <w:keepLines w:val="0"/>
              <w:widowControl w:val="0"/>
              <w:suppressLineNumbers w:val="0"/>
              <w:spacing w:before="0" w:beforeAutospacing="0" w:after="0" w:afterAutospacing="0"/>
              <w:ind w:left="0" w:right="0"/>
              <w:jc w:val="center"/>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highlight w:val="none"/>
                <w:lang w:val="en-US" w:eastAsia="zh-CN" w:bidi="ar-SA"/>
              </w:rPr>
              <w:t>（</w:t>
            </w:r>
            <w:r>
              <w:rPr>
                <w:rFonts w:hint="default" w:ascii="宋体" w:hAnsi="Times New Roman" w:eastAsia="宋体" w:cs="宋体"/>
                <w:kern w:val="0"/>
                <w:sz w:val="21"/>
                <w:szCs w:val="21"/>
                <w:highlight w:val="none"/>
                <w:lang w:eastAsia="zh-CN" w:bidi="ar-SA"/>
              </w:rPr>
              <w:t>8</w:t>
            </w:r>
            <w:r>
              <w:rPr>
                <w:rFonts w:hint="default" w:ascii="宋体" w:hAnsi="Times New Roman" w:eastAsia="宋体" w:cs="宋体"/>
                <w:kern w:val="0"/>
                <w:sz w:val="21"/>
                <w:szCs w:val="21"/>
                <w:highlight w:val="none"/>
                <w:lang w:val="en-US" w:eastAsia="zh-CN" w:bidi="ar-SA"/>
              </w:rPr>
              <w:t>.0分）</w:t>
            </w:r>
          </w:p>
        </w:tc>
        <w:tc>
          <w:tcPr>
            <w:tcW w:w="7513" w:type="dxa"/>
            <w:shd w:val="clear" w:color="auto" w:fill="auto"/>
            <w:vAlign w:val="top"/>
          </w:tcPr>
          <w:p w14:paraId="0ED6E47E">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根据</w:t>
            </w:r>
            <w:r>
              <w:rPr>
                <w:rFonts w:hint="default" w:ascii="宋体" w:hAnsi="Times New Roman" w:eastAsia="宋体" w:cs="宋体"/>
                <w:kern w:val="0"/>
                <w:sz w:val="21"/>
                <w:szCs w:val="21"/>
                <w:lang w:val="en-US" w:eastAsia="zh-CN" w:bidi="ar-SA"/>
              </w:rPr>
              <w:t>供应商提供</w:t>
            </w:r>
            <w:r>
              <w:rPr>
                <w:rFonts w:hint="eastAsia" w:ascii="宋体" w:hAnsi="Times New Roman" w:eastAsia="宋体" w:cs="宋体"/>
                <w:kern w:val="0"/>
                <w:sz w:val="21"/>
                <w:szCs w:val="21"/>
                <w:lang w:val="en-US" w:eastAsia="zh-CN" w:bidi="ar-SA"/>
              </w:rPr>
              <w:t>的</w:t>
            </w:r>
            <w:r>
              <w:rPr>
                <w:rFonts w:hint="default" w:ascii="宋体" w:hAnsi="Times New Roman" w:eastAsia="宋体" w:cs="宋体"/>
                <w:kern w:val="0"/>
                <w:sz w:val="21"/>
                <w:szCs w:val="21"/>
                <w:lang w:val="en-US" w:eastAsia="zh-CN" w:bidi="ar-SA"/>
              </w:rPr>
              <w:t>信息化订餐管理平台方案</w:t>
            </w:r>
            <w:r>
              <w:rPr>
                <w:rFonts w:hint="eastAsia" w:ascii="宋体" w:hAnsi="Times New Roman" w:eastAsia="宋体" w:cs="宋体"/>
                <w:kern w:val="0"/>
                <w:sz w:val="21"/>
                <w:szCs w:val="21"/>
                <w:lang w:val="en-US" w:eastAsia="zh-CN" w:bidi="ar-SA"/>
              </w:rPr>
              <w:t>进行评分：</w:t>
            </w:r>
          </w:p>
          <w:p w14:paraId="66D45A8F">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1.方案</w:t>
            </w:r>
            <w:r>
              <w:rPr>
                <w:rFonts w:hint="default" w:ascii="宋体" w:hAnsi="Times New Roman" w:eastAsia="宋体" w:cs="宋体"/>
                <w:kern w:val="0"/>
                <w:sz w:val="21"/>
                <w:szCs w:val="21"/>
                <w:lang w:val="en-US" w:eastAsia="zh-CN" w:bidi="ar-SA"/>
              </w:rPr>
              <w:t>完全满足并优于需求，得</w:t>
            </w:r>
            <w:r>
              <w:rPr>
                <w:rFonts w:hint="default" w:ascii="宋体" w:hAnsi="Times New Roman" w:eastAsia="宋体" w:cs="宋体"/>
                <w:kern w:val="0"/>
                <w:sz w:val="21"/>
                <w:szCs w:val="21"/>
                <w:lang w:eastAsia="zh-CN" w:bidi="ar-SA"/>
              </w:rPr>
              <w:t>8</w:t>
            </w:r>
            <w:r>
              <w:rPr>
                <w:rFonts w:hint="default" w:ascii="宋体" w:hAnsi="Times New Roman" w:eastAsia="宋体" w:cs="宋体"/>
                <w:kern w:val="0"/>
                <w:sz w:val="21"/>
                <w:szCs w:val="21"/>
                <w:lang w:val="en-US" w:eastAsia="zh-CN" w:bidi="ar-SA"/>
              </w:rPr>
              <w:t>分；</w:t>
            </w:r>
          </w:p>
          <w:p w14:paraId="1FDAF379">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2.方案</w:t>
            </w:r>
            <w:r>
              <w:rPr>
                <w:rFonts w:hint="default" w:ascii="宋体" w:hAnsi="Times New Roman" w:eastAsia="宋体" w:cs="宋体"/>
                <w:kern w:val="0"/>
                <w:sz w:val="21"/>
                <w:szCs w:val="21"/>
                <w:lang w:val="en-US" w:eastAsia="zh-CN" w:bidi="ar-SA"/>
              </w:rPr>
              <w:t>基本满足需求，得</w:t>
            </w:r>
            <w:r>
              <w:rPr>
                <w:rFonts w:hint="default" w:ascii="宋体" w:hAnsi="Times New Roman" w:eastAsia="宋体" w:cs="宋体"/>
                <w:kern w:val="0"/>
                <w:sz w:val="21"/>
                <w:szCs w:val="21"/>
                <w:lang w:eastAsia="zh-CN" w:bidi="ar-SA"/>
              </w:rPr>
              <w:t>5</w:t>
            </w:r>
            <w:r>
              <w:rPr>
                <w:rFonts w:hint="default" w:ascii="宋体" w:hAnsi="Times New Roman" w:eastAsia="宋体" w:cs="宋体"/>
                <w:kern w:val="0"/>
                <w:sz w:val="21"/>
                <w:szCs w:val="21"/>
                <w:lang w:val="en-US" w:eastAsia="zh-CN" w:bidi="ar-SA"/>
              </w:rPr>
              <w:t>分；</w:t>
            </w:r>
          </w:p>
          <w:p w14:paraId="660F0E8C">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3.方案</w:t>
            </w:r>
            <w:r>
              <w:rPr>
                <w:rFonts w:hint="default" w:ascii="宋体" w:hAnsi="Times New Roman" w:eastAsia="宋体" w:cs="宋体"/>
                <w:kern w:val="0"/>
                <w:sz w:val="21"/>
                <w:szCs w:val="21"/>
                <w:lang w:val="en-US" w:eastAsia="zh-CN" w:bidi="ar-SA"/>
              </w:rPr>
              <w:t>部分满足需求，得</w:t>
            </w:r>
            <w:r>
              <w:rPr>
                <w:rFonts w:hint="default" w:ascii="宋体" w:hAnsi="Times New Roman" w:eastAsia="宋体" w:cs="宋体"/>
                <w:kern w:val="0"/>
                <w:sz w:val="21"/>
                <w:szCs w:val="21"/>
                <w:lang w:eastAsia="zh-CN" w:bidi="ar-SA"/>
              </w:rPr>
              <w:t>3</w:t>
            </w:r>
            <w:r>
              <w:rPr>
                <w:rFonts w:hint="default" w:ascii="宋体" w:hAnsi="Times New Roman" w:eastAsia="宋体" w:cs="宋体"/>
                <w:kern w:val="0"/>
                <w:sz w:val="21"/>
                <w:szCs w:val="21"/>
                <w:lang w:val="en-US" w:eastAsia="zh-CN" w:bidi="ar-SA"/>
              </w:rPr>
              <w:t>分；</w:t>
            </w:r>
          </w:p>
          <w:p w14:paraId="64FC084A">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4.</w:t>
            </w:r>
            <w:r>
              <w:rPr>
                <w:rFonts w:hint="default" w:ascii="宋体" w:hAnsi="Times New Roman" w:eastAsia="宋体" w:cs="宋体"/>
                <w:kern w:val="0"/>
                <w:sz w:val="21"/>
                <w:szCs w:val="21"/>
                <w:lang w:val="en-US" w:eastAsia="zh-CN" w:bidi="ar-SA"/>
              </w:rPr>
              <w:t>无</w:t>
            </w:r>
            <w:r>
              <w:rPr>
                <w:rFonts w:hint="eastAsia" w:ascii="宋体" w:hAnsi="Times New Roman" w:eastAsia="宋体" w:cs="宋体"/>
                <w:kern w:val="0"/>
                <w:sz w:val="21"/>
                <w:szCs w:val="21"/>
                <w:lang w:val="en-US" w:eastAsia="zh-CN" w:bidi="ar-SA"/>
              </w:rPr>
              <w:t>方案</w:t>
            </w:r>
            <w:r>
              <w:rPr>
                <w:rFonts w:hint="default" w:ascii="宋体" w:hAnsi="Times New Roman" w:eastAsia="宋体" w:cs="宋体"/>
                <w:kern w:val="0"/>
                <w:sz w:val="21"/>
                <w:szCs w:val="21"/>
                <w:lang w:val="en-US" w:eastAsia="zh-CN" w:bidi="ar-SA"/>
              </w:rPr>
              <w:t>不得分。</w:t>
            </w:r>
          </w:p>
          <w:p w14:paraId="4732949D">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注：</w:t>
            </w:r>
            <w:r>
              <w:rPr>
                <w:rFonts w:hint="eastAsia" w:ascii="宋体" w:hAnsi="Times New Roman" w:eastAsia="宋体" w:cs="宋体"/>
                <w:kern w:val="0"/>
                <w:sz w:val="21"/>
                <w:szCs w:val="21"/>
                <w:lang w:val="en-US" w:eastAsia="zh-CN" w:bidi="ar-SA"/>
              </w:rPr>
              <w:t>方案需</w:t>
            </w:r>
            <w:r>
              <w:rPr>
                <w:rFonts w:hint="default" w:ascii="宋体" w:hAnsi="Times New Roman" w:eastAsia="宋体" w:cs="宋体"/>
                <w:kern w:val="0"/>
                <w:sz w:val="21"/>
                <w:szCs w:val="21"/>
                <w:lang w:val="en-US" w:eastAsia="zh-CN" w:bidi="ar-SA"/>
              </w:rPr>
              <w:t>提供订餐平台</w:t>
            </w:r>
            <w:r>
              <w:rPr>
                <w:rFonts w:hint="eastAsia" w:ascii="宋体" w:hAnsi="Times New Roman" w:eastAsia="宋体" w:cs="宋体"/>
                <w:kern w:val="0"/>
                <w:sz w:val="21"/>
                <w:szCs w:val="21"/>
                <w:lang w:val="en-US" w:eastAsia="zh-CN" w:bidi="ar-SA"/>
              </w:rPr>
              <w:t>详细功能</w:t>
            </w:r>
            <w:r>
              <w:rPr>
                <w:rFonts w:hint="default" w:ascii="宋体" w:hAnsi="Times New Roman" w:eastAsia="宋体" w:cs="宋体"/>
                <w:kern w:val="0"/>
                <w:sz w:val="21"/>
                <w:szCs w:val="21"/>
                <w:lang w:val="en-US" w:eastAsia="zh-CN" w:bidi="ar-SA"/>
              </w:rPr>
              <w:t>截图</w:t>
            </w:r>
            <w:r>
              <w:rPr>
                <w:rFonts w:hint="eastAsia" w:ascii="宋体" w:hAnsi="Times New Roman" w:eastAsia="宋体" w:cs="宋体"/>
                <w:kern w:val="0"/>
                <w:sz w:val="21"/>
                <w:szCs w:val="21"/>
                <w:lang w:val="en-US" w:eastAsia="zh-CN" w:bidi="ar-SA"/>
              </w:rPr>
              <w:t>。</w:t>
            </w:r>
          </w:p>
        </w:tc>
      </w:tr>
      <w:tr w14:paraId="6C9D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1984" w:type="dxa"/>
            <w:shd w:val="clear" w:color="auto" w:fill="auto"/>
            <w:vAlign w:val="top"/>
          </w:tcPr>
          <w:p w14:paraId="26B18A1A">
            <w:pPr>
              <w:pStyle w:val="148"/>
              <w:keepNext w:val="0"/>
              <w:keepLines w:val="0"/>
              <w:widowControl w:val="0"/>
              <w:suppressLineNumbers w:val="0"/>
              <w:spacing w:before="0" w:beforeAutospacing="0" w:after="0" w:afterAutospacing="0"/>
              <w:ind w:left="0" w:right="0"/>
              <w:jc w:val="center"/>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食品安全事故应急方案</w:t>
            </w:r>
          </w:p>
          <w:p w14:paraId="02F73AC3">
            <w:pPr>
              <w:pStyle w:val="148"/>
              <w:keepNext w:val="0"/>
              <w:keepLines w:val="0"/>
              <w:widowControl w:val="0"/>
              <w:suppressLineNumbers w:val="0"/>
              <w:spacing w:before="0" w:beforeAutospacing="0" w:after="0" w:afterAutospacing="0"/>
              <w:ind w:left="0" w:right="0"/>
              <w:jc w:val="center"/>
              <w:rPr>
                <w:rFonts w:hint="eastAsia"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(10.0分)</w:t>
            </w:r>
          </w:p>
        </w:tc>
        <w:tc>
          <w:tcPr>
            <w:tcW w:w="7513" w:type="dxa"/>
            <w:shd w:val="clear" w:color="auto" w:fill="auto"/>
            <w:vAlign w:val="top"/>
          </w:tcPr>
          <w:p w14:paraId="77CB6BCD">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根据</w:t>
            </w:r>
            <w:r>
              <w:rPr>
                <w:rFonts w:hint="default" w:ascii="宋体" w:hAnsi="Times New Roman" w:eastAsia="宋体" w:cs="宋体"/>
                <w:kern w:val="0"/>
                <w:sz w:val="21"/>
                <w:szCs w:val="21"/>
                <w:lang w:val="en-US" w:eastAsia="zh-CN" w:bidi="ar-SA"/>
              </w:rPr>
              <w:t>供应商提供</w:t>
            </w:r>
            <w:r>
              <w:rPr>
                <w:rFonts w:hint="eastAsia" w:ascii="宋体" w:hAnsi="Times New Roman" w:eastAsia="宋体" w:cs="宋体"/>
                <w:kern w:val="0"/>
                <w:sz w:val="21"/>
                <w:szCs w:val="21"/>
                <w:lang w:val="en-US" w:eastAsia="zh-CN" w:bidi="ar-SA"/>
              </w:rPr>
              <w:t>的食品安全事故应急方案（包括但不限于报告流程、处置措施、召回制度等）进行评分：</w:t>
            </w:r>
          </w:p>
          <w:p w14:paraId="10CEC27C">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1.</w:t>
            </w:r>
            <w:r>
              <w:rPr>
                <w:rFonts w:hint="default" w:ascii="宋体" w:hAnsi="Times New Roman" w:eastAsia="宋体" w:cs="宋体"/>
                <w:kern w:val="0"/>
                <w:sz w:val="21"/>
                <w:szCs w:val="21"/>
                <w:lang w:val="en-US" w:eastAsia="zh-CN" w:bidi="ar-SA"/>
              </w:rPr>
              <w:t>方案</w:t>
            </w:r>
            <w:r>
              <w:rPr>
                <w:rFonts w:hint="eastAsia" w:ascii="宋体" w:hAnsi="Times New Roman" w:eastAsia="宋体" w:cs="宋体"/>
                <w:kern w:val="0"/>
                <w:sz w:val="21"/>
                <w:szCs w:val="21"/>
                <w:lang w:val="en-US" w:eastAsia="zh-CN" w:bidi="ar-SA"/>
              </w:rPr>
              <w:t>完整、响应等级明确、可操作性强</w:t>
            </w:r>
            <w:r>
              <w:rPr>
                <w:rFonts w:hint="default" w:ascii="宋体" w:hAnsi="Times New Roman" w:eastAsia="宋体" w:cs="宋体"/>
                <w:kern w:val="0"/>
                <w:sz w:val="21"/>
                <w:szCs w:val="21"/>
                <w:lang w:val="en-US" w:eastAsia="zh-CN" w:bidi="ar-SA"/>
              </w:rPr>
              <w:t>，得10分；</w:t>
            </w:r>
          </w:p>
          <w:p w14:paraId="36FA9627">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2.</w:t>
            </w:r>
            <w:r>
              <w:rPr>
                <w:rFonts w:hint="default" w:ascii="宋体" w:hAnsi="Times New Roman" w:eastAsia="宋体" w:cs="宋体"/>
                <w:kern w:val="0"/>
                <w:sz w:val="21"/>
                <w:szCs w:val="21"/>
                <w:lang w:val="en-US" w:eastAsia="zh-CN" w:bidi="ar-SA"/>
              </w:rPr>
              <w:t>方案</w:t>
            </w:r>
            <w:r>
              <w:rPr>
                <w:rFonts w:hint="eastAsia" w:ascii="宋体" w:hAnsi="Times New Roman" w:eastAsia="宋体" w:cs="宋体"/>
                <w:kern w:val="0"/>
                <w:sz w:val="21"/>
                <w:szCs w:val="21"/>
                <w:lang w:val="en-US" w:eastAsia="zh-CN" w:bidi="ar-SA"/>
              </w:rPr>
              <w:t>不够完整、响应等级不够明确、可操作性不够强</w:t>
            </w:r>
            <w:r>
              <w:rPr>
                <w:rFonts w:hint="default" w:ascii="宋体" w:hAnsi="Times New Roman" w:eastAsia="宋体" w:cs="宋体"/>
                <w:kern w:val="0"/>
                <w:sz w:val="21"/>
                <w:szCs w:val="21"/>
                <w:lang w:val="en-US" w:eastAsia="zh-CN" w:bidi="ar-SA"/>
              </w:rPr>
              <w:t>，得</w:t>
            </w:r>
            <w:r>
              <w:rPr>
                <w:rFonts w:hint="eastAsia" w:ascii="宋体" w:hAnsi="Times New Roman" w:eastAsia="宋体" w:cs="宋体"/>
                <w:kern w:val="0"/>
                <w:sz w:val="21"/>
                <w:szCs w:val="21"/>
                <w:lang w:val="en-US" w:eastAsia="zh-CN" w:bidi="ar-SA"/>
              </w:rPr>
              <w:t>6</w:t>
            </w:r>
            <w:r>
              <w:rPr>
                <w:rFonts w:hint="default" w:ascii="宋体" w:hAnsi="Times New Roman" w:eastAsia="宋体" w:cs="宋体"/>
                <w:kern w:val="0"/>
                <w:sz w:val="21"/>
                <w:szCs w:val="21"/>
                <w:lang w:val="en-US" w:eastAsia="zh-CN" w:bidi="ar-SA"/>
              </w:rPr>
              <w:t>分；</w:t>
            </w:r>
          </w:p>
          <w:p w14:paraId="03BEDA37">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3.</w:t>
            </w:r>
            <w:r>
              <w:rPr>
                <w:rFonts w:hint="default" w:ascii="宋体" w:hAnsi="Times New Roman" w:eastAsia="宋体" w:cs="宋体"/>
                <w:kern w:val="0"/>
                <w:sz w:val="21"/>
                <w:szCs w:val="21"/>
                <w:lang w:val="en-US" w:eastAsia="zh-CN" w:bidi="ar-SA"/>
              </w:rPr>
              <w:t>方案</w:t>
            </w:r>
            <w:r>
              <w:rPr>
                <w:rFonts w:hint="eastAsia" w:ascii="宋体" w:hAnsi="Times New Roman" w:eastAsia="宋体" w:cs="宋体"/>
                <w:kern w:val="0"/>
                <w:sz w:val="21"/>
                <w:szCs w:val="21"/>
                <w:lang w:val="en-US" w:eastAsia="zh-CN" w:bidi="ar-SA"/>
              </w:rPr>
              <w:t>不完整、响应等级不明确、可操作性不强</w:t>
            </w:r>
            <w:r>
              <w:rPr>
                <w:rFonts w:hint="default" w:ascii="宋体" w:hAnsi="Times New Roman" w:eastAsia="宋体" w:cs="宋体"/>
                <w:kern w:val="0"/>
                <w:sz w:val="21"/>
                <w:szCs w:val="21"/>
                <w:lang w:val="en-US" w:eastAsia="zh-CN" w:bidi="ar-SA"/>
              </w:rPr>
              <w:t>，得</w:t>
            </w:r>
            <w:r>
              <w:rPr>
                <w:rFonts w:hint="eastAsia" w:ascii="宋体" w:hAnsi="Times New Roman" w:eastAsia="宋体" w:cs="宋体"/>
                <w:kern w:val="0"/>
                <w:sz w:val="21"/>
                <w:szCs w:val="21"/>
                <w:lang w:val="en-US" w:eastAsia="zh-CN" w:bidi="ar-SA"/>
              </w:rPr>
              <w:t>3</w:t>
            </w:r>
            <w:r>
              <w:rPr>
                <w:rFonts w:hint="default" w:ascii="宋体" w:hAnsi="Times New Roman" w:eastAsia="宋体" w:cs="宋体"/>
                <w:kern w:val="0"/>
                <w:sz w:val="21"/>
                <w:szCs w:val="21"/>
                <w:lang w:val="en-US" w:eastAsia="zh-CN" w:bidi="ar-SA"/>
              </w:rPr>
              <w:t>分；</w:t>
            </w:r>
          </w:p>
          <w:p w14:paraId="13922EF4">
            <w:pPr>
              <w:pStyle w:val="148"/>
              <w:keepNext w:val="0"/>
              <w:keepLines w:val="0"/>
              <w:widowControl w:val="0"/>
              <w:suppressLineNumbers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4.</w:t>
            </w:r>
            <w:r>
              <w:rPr>
                <w:rFonts w:hint="default" w:ascii="宋体" w:hAnsi="Times New Roman" w:eastAsia="宋体" w:cs="宋体"/>
                <w:kern w:val="0"/>
                <w:sz w:val="21"/>
                <w:szCs w:val="21"/>
                <w:lang w:val="en-US" w:eastAsia="zh-CN" w:bidi="ar-SA"/>
              </w:rPr>
              <w:t>无提供方案，不得分。</w:t>
            </w:r>
          </w:p>
        </w:tc>
      </w:tr>
      <w:tr w14:paraId="24D4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trPr>
        <w:tc>
          <w:tcPr>
            <w:tcW w:w="1984" w:type="dxa"/>
            <w:shd w:val="clear" w:color="auto" w:fill="auto"/>
            <w:vAlign w:val="top"/>
          </w:tcPr>
          <w:p w14:paraId="3FB0F6ED">
            <w:pPr>
              <w:pStyle w:val="33"/>
              <w:keepNext w:val="0"/>
              <w:keepLines w:val="0"/>
              <w:suppressLineNumbers w:val="0"/>
              <w:spacing w:before="0" w:beforeAutospacing="0" w:after="0" w:afterAutospacing="0"/>
              <w:ind w:left="0" w:right="0"/>
              <w:jc w:val="center"/>
              <w:rPr>
                <w:rFonts w:hint="default" w:ascii="宋体" w:hAnsi="Times New Roman" w:eastAsia="宋体" w:cs="宋体"/>
                <w:kern w:val="0"/>
                <w:sz w:val="21"/>
                <w:szCs w:val="21"/>
                <w:lang w:val="en-US" w:eastAsia="zh-CN" w:bidi="ar-SA"/>
              </w:rPr>
            </w:pPr>
          </w:p>
          <w:p w14:paraId="71889B4A">
            <w:pPr>
              <w:pStyle w:val="33"/>
              <w:keepNext w:val="0"/>
              <w:keepLines w:val="0"/>
              <w:suppressLineNumbers w:val="0"/>
              <w:spacing w:before="0" w:beforeAutospacing="0" w:after="0" w:afterAutospacing="0"/>
              <w:ind w:left="0" w:right="0"/>
              <w:jc w:val="center"/>
              <w:rPr>
                <w:rFonts w:hint="eastAsia"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餐饮保障服务方案</w:t>
            </w:r>
          </w:p>
          <w:p w14:paraId="3563A59C">
            <w:pPr>
              <w:keepNext w:val="0"/>
              <w:keepLines w:val="0"/>
              <w:widowControl/>
              <w:suppressLineNumbers w:val="0"/>
              <w:spacing w:before="0" w:beforeAutospacing="0" w:after="0" w:afterAutospacing="0"/>
              <w:ind w:left="0" w:right="0"/>
              <w:jc w:val="center"/>
              <w:rPr>
                <w:rFonts w:hint="default" w:ascii="宋体" w:hAnsi="Times New Roman" w:eastAsia="宋体" w:cs="宋体"/>
                <w:kern w:val="0"/>
                <w:sz w:val="21"/>
                <w:szCs w:val="21"/>
                <w:lang w:val="en-US" w:eastAsia="zh-CN" w:bidi="ar-SA"/>
              </w:rPr>
            </w:pPr>
            <w:r>
              <w:rPr>
                <w:rFonts w:hint="default" w:ascii="宋体" w:hAnsi="Times New Roman" w:eastAsia="宋体" w:cs="宋体"/>
                <w:kern w:val="0"/>
                <w:sz w:val="21"/>
                <w:szCs w:val="21"/>
                <w:lang w:val="en-US" w:eastAsia="zh-CN" w:bidi="ar-SA"/>
              </w:rPr>
              <w:t xml:space="preserve">(10.0分) </w:t>
            </w:r>
          </w:p>
          <w:p w14:paraId="44DEDD37">
            <w:pPr>
              <w:pStyle w:val="148"/>
              <w:keepNext w:val="0"/>
              <w:keepLines w:val="0"/>
              <w:widowControl/>
              <w:suppressLineNumbers w:val="0"/>
              <w:spacing w:before="0" w:beforeAutospacing="0" w:after="0" w:afterAutospacing="0"/>
              <w:ind w:left="0" w:right="0"/>
              <w:jc w:val="center"/>
              <w:rPr>
                <w:rFonts w:hint="eastAsia" w:ascii="宋体" w:hAnsi="Times New Roman" w:eastAsia="宋体" w:cs="宋体"/>
                <w:kern w:val="0"/>
                <w:sz w:val="21"/>
                <w:szCs w:val="21"/>
                <w:lang w:val="en-US" w:eastAsia="zh-CN" w:bidi="ar-SA"/>
              </w:rPr>
            </w:pPr>
          </w:p>
        </w:tc>
        <w:tc>
          <w:tcPr>
            <w:tcW w:w="7513" w:type="dxa"/>
            <w:shd w:val="clear" w:color="auto" w:fill="auto"/>
            <w:vAlign w:val="top"/>
          </w:tcPr>
          <w:p w14:paraId="56873F0D">
            <w:pPr>
              <w:keepNext w:val="0"/>
              <w:keepLines w:val="0"/>
              <w:widowControl/>
              <w:suppressLineNumbers w:val="0"/>
              <w:adjustRightInd w:val="0"/>
              <w:snapToGrid w:val="0"/>
              <w:spacing w:before="0" w:beforeAutospacing="0" w:after="0" w:afterAutospacing="0"/>
              <w:ind w:left="0" w:right="0"/>
              <w:jc w:val="left"/>
              <w:rPr>
                <w:rFonts w:hint="default" w:ascii="宋体" w:hAnsi="Times New Roman" w:eastAsia="宋体" w:cs="宋体"/>
                <w:kern w:val="0"/>
                <w:sz w:val="21"/>
                <w:szCs w:val="21"/>
                <w:lang w:val="en-US" w:eastAsia="zh-CN" w:bidi="ar-SA"/>
              </w:rPr>
            </w:pPr>
            <w:r>
              <w:rPr>
                <w:rFonts w:hint="eastAsia" w:hAnsi="Times New Roman" w:cs="宋体"/>
                <w:kern w:val="0"/>
                <w:sz w:val="21"/>
                <w:szCs w:val="21"/>
                <w:lang w:val="en-US" w:eastAsia="zh-CN" w:bidi="ar-SA"/>
              </w:rPr>
              <w:t>根据</w:t>
            </w:r>
            <w:r>
              <w:rPr>
                <w:rFonts w:hint="eastAsia" w:ascii="宋体" w:hAnsi="Times New Roman" w:eastAsia="宋体" w:cs="宋体"/>
                <w:kern w:val="0"/>
                <w:sz w:val="21"/>
                <w:szCs w:val="21"/>
                <w:lang w:val="en-US" w:eastAsia="zh-CN" w:bidi="ar-SA"/>
              </w:rPr>
              <w:t>供应商提供</w:t>
            </w:r>
            <w:r>
              <w:rPr>
                <w:rFonts w:hint="eastAsia" w:hAnsi="Times New Roman" w:cs="宋体"/>
                <w:kern w:val="0"/>
                <w:sz w:val="21"/>
                <w:szCs w:val="21"/>
                <w:lang w:val="en-US" w:eastAsia="zh-CN" w:bidi="ar-SA"/>
              </w:rPr>
              <w:t>的</w:t>
            </w:r>
            <w:r>
              <w:rPr>
                <w:rFonts w:hint="eastAsia" w:ascii="宋体" w:hAnsi="Times New Roman" w:eastAsia="宋体" w:cs="宋体"/>
                <w:kern w:val="0"/>
                <w:sz w:val="21"/>
                <w:szCs w:val="21"/>
                <w:lang w:val="en-US" w:eastAsia="zh-CN" w:bidi="ar-SA"/>
              </w:rPr>
              <w:t>针对停水、停电、停燃气或其他突发意外影响出餐</w:t>
            </w:r>
            <w:r>
              <w:rPr>
                <w:rFonts w:hint="default" w:ascii="宋体" w:hAnsi="Times New Roman" w:eastAsia="宋体" w:cs="宋体"/>
                <w:kern w:val="0"/>
                <w:sz w:val="21"/>
                <w:szCs w:val="21"/>
                <w:lang w:val="en-US" w:eastAsia="zh-CN" w:bidi="ar-SA"/>
              </w:rPr>
              <w:t>/送餐</w:t>
            </w:r>
            <w:r>
              <w:rPr>
                <w:rFonts w:hint="eastAsia" w:ascii="宋体" w:hAnsi="Times New Roman" w:eastAsia="宋体" w:cs="宋体"/>
                <w:kern w:val="0"/>
                <w:sz w:val="21"/>
                <w:szCs w:val="21"/>
                <w:lang w:val="en-US" w:eastAsia="zh-CN" w:bidi="ar-SA"/>
              </w:rPr>
              <w:t>的保障服务方案</w:t>
            </w:r>
            <w:r>
              <w:rPr>
                <w:rFonts w:hint="eastAsia" w:hAnsi="Times New Roman" w:cs="宋体"/>
                <w:kern w:val="0"/>
                <w:sz w:val="21"/>
                <w:szCs w:val="21"/>
                <w:lang w:val="en-US" w:eastAsia="zh-CN" w:bidi="ar-SA"/>
              </w:rPr>
              <w:t>进行评分：</w:t>
            </w:r>
          </w:p>
          <w:p w14:paraId="6DDC24C2">
            <w:pPr>
              <w:keepNext w:val="0"/>
              <w:keepLines w:val="0"/>
              <w:numPr>
                <w:ilvl w:val="0"/>
                <w:numId w:val="14"/>
              </w:numPr>
              <w:suppressLineNumbers w:val="0"/>
              <w:spacing w:before="0" w:beforeAutospacing="0" w:after="0" w:afterAutospacing="0"/>
              <w:ind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方案具体、备用资源明确、切换流程清晰，得</w:t>
            </w:r>
            <w:r>
              <w:rPr>
                <w:rFonts w:hint="default" w:ascii="宋体" w:hAnsi="Times New Roman" w:eastAsia="宋体" w:cs="宋体"/>
                <w:kern w:val="0"/>
                <w:sz w:val="21"/>
                <w:szCs w:val="21"/>
                <w:lang w:val="en-US" w:eastAsia="zh-CN" w:bidi="ar-SA"/>
              </w:rPr>
              <w:t>10分；</w:t>
            </w:r>
          </w:p>
          <w:p w14:paraId="275044BA">
            <w:pPr>
              <w:keepNext w:val="0"/>
              <w:keepLines w:val="0"/>
              <w:numPr>
                <w:ilvl w:val="0"/>
                <w:numId w:val="14"/>
              </w:numPr>
              <w:suppressLineNumbers w:val="0"/>
              <w:spacing w:before="0" w:beforeAutospacing="0" w:after="0" w:afterAutospacing="0"/>
              <w:ind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方案不够具体、备用资源不够明确、切换流程不够清晰，得</w:t>
            </w:r>
            <w:r>
              <w:rPr>
                <w:rFonts w:hint="default" w:ascii="宋体" w:hAnsi="Times New Roman" w:eastAsia="宋体" w:cs="宋体"/>
                <w:kern w:val="0"/>
                <w:sz w:val="21"/>
                <w:szCs w:val="21"/>
                <w:lang w:val="en-US" w:eastAsia="zh-CN" w:bidi="ar-SA"/>
              </w:rPr>
              <w:t>7分；</w:t>
            </w:r>
          </w:p>
          <w:p w14:paraId="0C949A75">
            <w:pPr>
              <w:keepNext w:val="0"/>
              <w:keepLines w:val="0"/>
              <w:numPr>
                <w:ilvl w:val="0"/>
                <w:numId w:val="14"/>
              </w:numPr>
              <w:suppressLineNumbers w:val="0"/>
              <w:spacing w:before="0" w:beforeAutospacing="0" w:after="0" w:afterAutospacing="0"/>
              <w:ind w:right="0"/>
              <w:jc w:val="left"/>
              <w:rPr>
                <w:rFonts w:hint="default" w:ascii="宋体" w:hAnsi="Times New Roman" w:eastAsia="宋体" w:cs="宋体"/>
                <w:kern w:val="0"/>
                <w:sz w:val="21"/>
                <w:szCs w:val="21"/>
                <w:lang w:val="en-US" w:eastAsia="zh-CN" w:bidi="ar-SA"/>
              </w:rPr>
            </w:pPr>
            <w:r>
              <w:rPr>
                <w:rFonts w:hint="eastAsia" w:ascii="宋体" w:hAnsi="Times New Roman" w:eastAsia="宋体" w:cs="宋体"/>
                <w:kern w:val="0"/>
                <w:sz w:val="21"/>
                <w:szCs w:val="21"/>
                <w:lang w:val="en-US" w:eastAsia="zh-CN" w:bidi="ar-SA"/>
              </w:rPr>
              <w:t>方案不具体、备用资源不明确、切换流程不清晰，得</w:t>
            </w:r>
            <w:r>
              <w:rPr>
                <w:rFonts w:hint="default" w:ascii="宋体" w:hAnsi="Times New Roman" w:eastAsia="宋体" w:cs="宋体"/>
                <w:kern w:val="0"/>
                <w:sz w:val="21"/>
                <w:szCs w:val="21"/>
                <w:lang w:val="en-US" w:eastAsia="zh-CN" w:bidi="ar-SA"/>
              </w:rPr>
              <w:t>5分；</w:t>
            </w:r>
          </w:p>
          <w:p w14:paraId="7B5D26E5">
            <w:pPr>
              <w:keepNext w:val="0"/>
              <w:keepLines w:val="0"/>
              <w:widowControl/>
              <w:numPr>
                <w:ilvl w:val="255"/>
                <w:numId w:val="0"/>
              </w:numPr>
              <w:suppressLineNumbers w:val="0"/>
              <w:adjustRightInd w:val="0"/>
              <w:snapToGrid w:val="0"/>
              <w:spacing w:before="0" w:beforeAutospacing="0" w:after="0" w:afterAutospacing="0"/>
              <w:ind w:left="0" w:leftChars="0" w:right="0" w:firstLine="0" w:firstLineChars="0"/>
              <w:jc w:val="left"/>
              <w:rPr>
                <w:rFonts w:hint="default" w:ascii="宋体" w:hAnsi="Times New Roman" w:eastAsia="宋体" w:cs="宋体"/>
                <w:kern w:val="0"/>
                <w:sz w:val="21"/>
                <w:szCs w:val="21"/>
                <w:lang w:val="en-US" w:eastAsia="zh-CN" w:bidi="ar-SA"/>
              </w:rPr>
            </w:pPr>
            <w:r>
              <w:rPr>
                <w:rFonts w:hint="eastAsia" w:ascii="宋体" w:cs="宋体"/>
                <w:kern w:val="0"/>
                <w:sz w:val="21"/>
                <w:szCs w:val="21"/>
                <w:lang w:val="en-US" w:eastAsia="zh-CN" w:bidi="ar-SA"/>
              </w:rPr>
              <w:t>4.</w:t>
            </w:r>
            <w:r>
              <w:rPr>
                <w:rFonts w:hint="eastAsia" w:ascii="宋体" w:hAnsi="Times New Roman" w:eastAsia="宋体" w:cs="宋体"/>
                <w:kern w:val="0"/>
                <w:sz w:val="21"/>
                <w:szCs w:val="21"/>
                <w:lang w:val="en-US" w:eastAsia="zh-CN" w:bidi="ar-SA"/>
              </w:rPr>
              <w:t>无提供方案，不得分。</w:t>
            </w:r>
            <w:r>
              <w:rPr>
                <w:rFonts w:hint="default" w:ascii="宋体" w:hAnsi="Times New Roman" w:eastAsia="宋体" w:cs="宋体"/>
                <w:kern w:val="0"/>
                <w:sz w:val="21"/>
                <w:szCs w:val="21"/>
                <w:lang w:val="en-US" w:eastAsia="zh-CN" w:bidi="ar-SA"/>
              </w:rPr>
              <w:t xml:space="preserve"> </w:t>
            </w:r>
          </w:p>
        </w:tc>
      </w:tr>
      <w:tr w14:paraId="40AC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1984" w:type="dxa"/>
            <w:shd w:val="clear" w:color="auto" w:fill="auto"/>
            <w:vAlign w:val="top"/>
          </w:tcPr>
          <w:p w14:paraId="23027889">
            <w:pPr>
              <w:pStyle w:val="148"/>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2"/>
                <w:szCs w:val="22"/>
                <w:lang w:val="en-US" w:eastAsia="zh-CN" w:bidi="ar-SA"/>
              </w:rPr>
            </w:pPr>
            <w:r>
              <w:rPr>
                <w:rFonts w:ascii="宋体" w:hAnsi="宋体" w:eastAsia="宋体" w:cs="宋体"/>
                <w:kern w:val="2"/>
                <w:sz w:val="22"/>
                <w:szCs w:val="22"/>
                <w:lang w:eastAsia="zh-CN"/>
              </w:rPr>
              <w:t>原材料检测</w:t>
            </w:r>
            <w:r>
              <w:rPr>
                <w:rFonts w:hint="default" w:ascii="宋体" w:hAnsi="宋体" w:eastAsia="宋体" w:cs="宋体"/>
                <w:kern w:val="2"/>
                <w:sz w:val="22"/>
                <w:szCs w:val="22"/>
                <w:lang w:eastAsia="zh-CN"/>
              </w:rPr>
              <w:t xml:space="preserve">   (8.0</w:t>
            </w:r>
            <w:r>
              <w:rPr>
                <w:rFonts w:ascii="宋体" w:hAnsi="宋体" w:eastAsia="宋体" w:cs="宋体"/>
                <w:kern w:val="2"/>
                <w:sz w:val="22"/>
                <w:szCs w:val="22"/>
                <w:lang w:eastAsia="zh-CN"/>
              </w:rPr>
              <w:t>分</w:t>
            </w:r>
            <w:r>
              <w:rPr>
                <w:rFonts w:hint="default" w:ascii="宋体" w:hAnsi="宋体" w:eastAsia="宋体" w:cs="宋体"/>
                <w:kern w:val="2"/>
                <w:sz w:val="22"/>
                <w:szCs w:val="22"/>
                <w:lang w:eastAsia="zh-CN"/>
              </w:rPr>
              <w:t>)</w:t>
            </w:r>
          </w:p>
        </w:tc>
        <w:tc>
          <w:tcPr>
            <w:tcW w:w="7513" w:type="dxa"/>
            <w:shd w:val="clear" w:color="auto" w:fill="auto"/>
            <w:vAlign w:val="top"/>
          </w:tcPr>
          <w:p w14:paraId="25B267B7">
            <w:pPr>
              <w:pStyle w:val="148"/>
              <w:keepNext w:val="0"/>
              <w:keepLines w:val="0"/>
              <w:widowControl w:val="0"/>
              <w:suppressLineNumbers w:val="0"/>
              <w:spacing w:before="0" w:beforeAutospacing="0" w:after="0" w:afterAutospacing="0"/>
              <w:ind w:left="0" w:right="0"/>
              <w:jc w:val="both"/>
              <w:rPr>
                <w:rFonts w:hint="default" w:ascii="宋体" w:hAnsi="宋体" w:eastAsia="宋体" w:cs="宋体"/>
                <w:kern w:val="2"/>
                <w:sz w:val="22"/>
                <w:szCs w:val="22"/>
                <w:lang w:eastAsia="zh-CN"/>
              </w:rPr>
            </w:pPr>
            <w:r>
              <w:rPr>
                <w:rFonts w:hint="eastAsia" w:ascii="宋体" w:hAnsi="宋体" w:eastAsia="宋体" w:cs="宋体"/>
                <w:kern w:val="2"/>
                <w:sz w:val="22"/>
                <w:szCs w:val="22"/>
                <w:lang w:val="en-US" w:eastAsia="zh-CN"/>
              </w:rPr>
              <w:t>供应商</w:t>
            </w:r>
            <w:r>
              <w:rPr>
                <w:rFonts w:ascii="宋体" w:hAnsi="宋体" w:eastAsia="宋体" w:cs="宋体"/>
                <w:kern w:val="2"/>
                <w:sz w:val="22"/>
                <w:szCs w:val="22"/>
                <w:lang w:eastAsia="zh-CN"/>
              </w:rPr>
              <w:t>提供</w:t>
            </w:r>
            <w:r>
              <w:rPr>
                <w:rFonts w:hint="default" w:ascii="宋体" w:hAnsi="宋体" w:eastAsia="宋体" w:cs="宋体"/>
                <w:kern w:val="2"/>
                <w:sz w:val="22"/>
                <w:szCs w:val="22"/>
                <w:lang w:eastAsia="zh-CN"/>
              </w:rPr>
              <w:t>截止</w:t>
            </w:r>
            <w:r>
              <w:rPr>
                <w:rFonts w:hint="eastAsia" w:ascii="宋体" w:hAnsi="宋体" w:eastAsia="宋体" w:cs="宋体"/>
                <w:kern w:val="2"/>
                <w:sz w:val="22"/>
                <w:szCs w:val="22"/>
                <w:lang w:val="en-US" w:eastAsia="zh-CN"/>
              </w:rPr>
              <w:t>提交响应文</w:t>
            </w:r>
            <w:r>
              <w:rPr>
                <w:rFonts w:hint="eastAsia" w:ascii="宋体" w:hAnsi="宋体" w:eastAsia="宋体" w:cs="宋体"/>
                <w:kern w:val="2"/>
                <w:sz w:val="22"/>
                <w:szCs w:val="22"/>
                <w:highlight w:val="none"/>
                <w:lang w:val="en-US" w:eastAsia="zh-CN"/>
              </w:rPr>
              <w:t>件</w:t>
            </w:r>
            <w:r>
              <w:rPr>
                <w:rFonts w:hint="default" w:ascii="宋体" w:hAnsi="宋体" w:eastAsia="宋体" w:cs="宋体"/>
                <w:kern w:val="2"/>
                <w:sz w:val="22"/>
                <w:szCs w:val="22"/>
                <w:highlight w:val="none"/>
                <w:lang w:eastAsia="zh-CN"/>
              </w:rPr>
              <w:t>日前六个月内任意一个月的</w:t>
            </w:r>
            <w:r>
              <w:rPr>
                <w:rFonts w:hint="default" w:ascii="宋体" w:hAnsi="宋体" w:eastAsia="宋体" w:cs="宋体"/>
                <w:kern w:val="2"/>
                <w:sz w:val="22"/>
                <w:szCs w:val="22"/>
                <w:lang w:eastAsia="zh-CN"/>
              </w:rPr>
              <w:t>产品检测报告复印件（检测报告由具有CMA资格的第三方检测机构出具）</w:t>
            </w:r>
            <w:r>
              <w:rPr>
                <w:rFonts w:hint="eastAsia" w:ascii="宋体" w:hAnsi="宋体" w:eastAsia="宋体" w:cs="宋体"/>
                <w:kern w:val="2"/>
                <w:sz w:val="22"/>
                <w:szCs w:val="22"/>
                <w:lang w:eastAsia="zh-CN"/>
              </w:rPr>
              <w:t>，</w:t>
            </w:r>
            <w:r>
              <w:rPr>
                <w:rFonts w:hint="default" w:ascii="宋体" w:hAnsi="宋体" w:eastAsia="宋体" w:cs="宋体"/>
                <w:kern w:val="2"/>
                <w:sz w:val="22"/>
                <w:szCs w:val="22"/>
                <w:lang w:eastAsia="zh-CN"/>
              </w:rPr>
              <w:t xml:space="preserve">检测类别要求如下： </w:t>
            </w:r>
          </w:p>
          <w:p w14:paraId="699D156F">
            <w:pPr>
              <w:pStyle w:val="148"/>
              <w:keepNext w:val="0"/>
              <w:keepLines w:val="0"/>
              <w:widowControl w:val="0"/>
              <w:suppressLineNumbers w:val="0"/>
              <w:spacing w:before="0" w:beforeAutospacing="0" w:after="0" w:afterAutospacing="0"/>
              <w:ind w:left="0" w:right="0"/>
              <w:jc w:val="both"/>
              <w:rPr>
                <w:rFonts w:hint="default" w:ascii="宋体" w:hAnsi="宋体" w:eastAsia="宋体" w:cs="宋体"/>
                <w:kern w:val="2"/>
                <w:sz w:val="22"/>
                <w:szCs w:val="22"/>
                <w:lang w:eastAsia="zh-CN"/>
              </w:rPr>
            </w:pPr>
            <w:r>
              <w:rPr>
                <w:rFonts w:hint="default" w:ascii="宋体" w:hAnsi="宋体" w:eastAsia="宋体" w:cs="宋体"/>
                <w:kern w:val="2"/>
                <w:sz w:val="22"/>
                <w:szCs w:val="22"/>
                <w:lang w:eastAsia="zh-CN"/>
              </w:rPr>
              <w:t>1.</w:t>
            </w:r>
            <w:r>
              <w:rPr>
                <w:rFonts w:ascii="宋体" w:hAnsi="宋体" w:eastAsia="宋体" w:cs="宋体"/>
                <w:kern w:val="2"/>
                <w:sz w:val="22"/>
                <w:szCs w:val="22"/>
                <w:lang w:eastAsia="zh-CN"/>
              </w:rPr>
              <w:t>蔬果类；</w:t>
            </w:r>
          </w:p>
          <w:p w14:paraId="27C387DD">
            <w:pPr>
              <w:pStyle w:val="148"/>
              <w:keepNext w:val="0"/>
              <w:keepLines w:val="0"/>
              <w:widowControl w:val="0"/>
              <w:suppressLineNumbers w:val="0"/>
              <w:spacing w:before="0" w:beforeAutospacing="0" w:after="0" w:afterAutospacing="0"/>
              <w:ind w:left="0" w:right="0"/>
              <w:jc w:val="both"/>
              <w:rPr>
                <w:rFonts w:hint="default" w:ascii="宋体" w:hAnsi="宋体" w:eastAsia="宋体" w:cs="宋体"/>
                <w:kern w:val="2"/>
                <w:sz w:val="22"/>
                <w:szCs w:val="22"/>
                <w:lang w:eastAsia="zh-CN"/>
              </w:rPr>
            </w:pPr>
            <w:r>
              <w:rPr>
                <w:rFonts w:hint="default" w:ascii="宋体" w:hAnsi="宋体" w:eastAsia="宋体" w:cs="宋体"/>
                <w:kern w:val="2"/>
                <w:sz w:val="22"/>
                <w:szCs w:val="22"/>
                <w:lang w:eastAsia="zh-CN"/>
              </w:rPr>
              <w:t>2.</w:t>
            </w:r>
            <w:r>
              <w:rPr>
                <w:rFonts w:ascii="宋体" w:hAnsi="宋体" w:eastAsia="宋体" w:cs="宋体"/>
                <w:kern w:val="2"/>
                <w:sz w:val="22"/>
                <w:szCs w:val="22"/>
                <w:lang w:eastAsia="zh-CN"/>
              </w:rPr>
              <w:t>水产类；</w:t>
            </w:r>
          </w:p>
          <w:p w14:paraId="6EB76303">
            <w:pPr>
              <w:pStyle w:val="148"/>
              <w:keepNext w:val="0"/>
              <w:keepLines w:val="0"/>
              <w:widowControl w:val="0"/>
              <w:suppressLineNumbers w:val="0"/>
              <w:spacing w:before="0" w:beforeAutospacing="0" w:after="0" w:afterAutospacing="0"/>
              <w:ind w:left="0" w:right="0"/>
              <w:jc w:val="both"/>
              <w:rPr>
                <w:rFonts w:hint="default" w:ascii="宋体" w:hAnsi="宋体" w:eastAsia="宋体" w:cs="宋体"/>
                <w:kern w:val="2"/>
                <w:sz w:val="22"/>
                <w:szCs w:val="22"/>
                <w:lang w:eastAsia="zh-CN"/>
              </w:rPr>
            </w:pPr>
            <w:r>
              <w:rPr>
                <w:rFonts w:hint="default" w:ascii="宋体" w:hAnsi="宋体" w:eastAsia="宋体" w:cs="宋体"/>
                <w:kern w:val="2"/>
                <w:sz w:val="22"/>
                <w:szCs w:val="22"/>
                <w:lang w:eastAsia="zh-CN"/>
              </w:rPr>
              <w:t>3.</w:t>
            </w:r>
            <w:r>
              <w:rPr>
                <w:rFonts w:ascii="宋体" w:hAnsi="宋体" w:eastAsia="宋体" w:cs="宋体"/>
                <w:kern w:val="2"/>
                <w:sz w:val="22"/>
                <w:szCs w:val="22"/>
                <w:lang w:eastAsia="zh-CN"/>
              </w:rPr>
              <w:t>肉类；</w:t>
            </w:r>
            <w:bookmarkStart w:id="12" w:name="_GoBack"/>
            <w:bookmarkEnd w:id="12"/>
          </w:p>
          <w:p w14:paraId="3AD88F5C">
            <w:pPr>
              <w:pStyle w:val="148"/>
              <w:keepNext w:val="0"/>
              <w:keepLines w:val="0"/>
              <w:widowControl w:val="0"/>
              <w:suppressLineNumbers w:val="0"/>
              <w:spacing w:before="0" w:beforeAutospacing="0" w:after="0" w:afterAutospacing="0"/>
              <w:ind w:left="0" w:right="0"/>
              <w:jc w:val="both"/>
              <w:rPr>
                <w:rFonts w:hint="default" w:ascii="宋体" w:hAnsi="宋体" w:eastAsia="宋体" w:cs="宋体"/>
                <w:kern w:val="2"/>
                <w:sz w:val="22"/>
                <w:szCs w:val="22"/>
                <w:lang w:eastAsia="zh-CN"/>
              </w:rPr>
            </w:pPr>
            <w:r>
              <w:rPr>
                <w:rFonts w:hint="default" w:ascii="宋体" w:hAnsi="宋体" w:eastAsia="宋体" w:cs="宋体"/>
                <w:kern w:val="2"/>
                <w:sz w:val="22"/>
                <w:szCs w:val="22"/>
                <w:lang w:eastAsia="zh-CN"/>
              </w:rPr>
              <w:t>4.</w:t>
            </w:r>
            <w:r>
              <w:rPr>
                <w:rFonts w:ascii="宋体" w:hAnsi="宋体" w:eastAsia="宋体" w:cs="宋体"/>
                <w:kern w:val="2"/>
                <w:sz w:val="22"/>
                <w:szCs w:val="22"/>
                <w:lang w:eastAsia="zh-CN"/>
              </w:rPr>
              <w:t>粮油类</w:t>
            </w:r>
          </w:p>
          <w:p w14:paraId="30F0F7DD">
            <w:pPr>
              <w:pStyle w:val="148"/>
              <w:keepNext w:val="0"/>
              <w:keepLines w:val="0"/>
              <w:widowControl w:val="0"/>
              <w:suppressLineNumbers w:val="0"/>
              <w:spacing w:before="0" w:beforeAutospacing="0" w:after="0" w:afterAutospacing="0"/>
              <w:ind w:left="0" w:right="0"/>
              <w:jc w:val="both"/>
              <w:rPr>
                <w:rFonts w:hint="default" w:ascii="宋体" w:hAnsi="宋体" w:eastAsia="宋体" w:cs="宋体"/>
                <w:kern w:val="2"/>
                <w:sz w:val="22"/>
                <w:szCs w:val="22"/>
                <w:lang w:val="en-US" w:eastAsia="zh-CN" w:bidi="ar-SA"/>
              </w:rPr>
            </w:pPr>
            <w:r>
              <w:rPr>
                <w:rFonts w:ascii="宋体" w:hAnsi="宋体" w:eastAsia="宋体" w:cs="宋体"/>
                <w:kern w:val="2"/>
                <w:sz w:val="22"/>
                <w:szCs w:val="22"/>
                <w:lang w:eastAsia="zh-CN"/>
              </w:rPr>
              <w:t>按上述类别的要求提供委托单位为供应商的检测报告。每提供一份检测报告得</w:t>
            </w:r>
            <w:r>
              <w:rPr>
                <w:rFonts w:hint="default" w:ascii="宋体" w:hAnsi="宋体" w:eastAsia="宋体" w:cs="宋体"/>
                <w:kern w:val="2"/>
                <w:sz w:val="22"/>
                <w:szCs w:val="22"/>
                <w:lang w:eastAsia="zh-CN"/>
              </w:rPr>
              <w:t>2</w:t>
            </w:r>
            <w:r>
              <w:rPr>
                <w:rFonts w:ascii="宋体" w:hAnsi="宋体" w:eastAsia="宋体" w:cs="宋体"/>
                <w:kern w:val="2"/>
                <w:sz w:val="22"/>
                <w:szCs w:val="22"/>
                <w:lang w:eastAsia="zh-CN"/>
              </w:rPr>
              <w:t>分，同一类别不重复计分。</w:t>
            </w:r>
          </w:p>
        </w:tc>
      </w:tr>
      <w:tr w14:paraId="6B20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1984" w:type="dxa"/>
            <w:shd w:val="clear" w:color="auto" w:fill="auto"/>
            <w:vAlign w:val="top"/>
          </w:tcPr>
          <w:p w14:paraId="48928D86">
            <w:pPr>
              <w:pStyle w:val="148"/>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2"/>
                <w:szCs w:val="22"/>
                <w:highlight w:val="none"/>
                <w:lang w:eastAsia="zh-CN"/>
              </w:rPr>
            </w:pPr>
            <w:r>
              <w:rPr>
                <w:rFonts w:ascii="宋体" w:hAnsi="宋体" w:eastAsia="宋体" w:cs="宋体"/>
                <w:kern w:val="2"/>
                <w:sz w:val="22"/>
                <w:szCs w:val="22"/>
                <w:highlight w:val="none"/>
                <w:lang w:eastAsia="zh-CN"/>
              </w:rPr>
              <w:t>配餐车辆</w:t>
            </w:r>
          </w:p>
          <w:p w14:paraId="52554D11">
            <w:pPr>
              <w:pStyle w:val="148"/>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2"/>
                <w:szCs w:val="22"/>
                <w:highlight w:val="none"/>
                <w:lang w:val="en-US" w:eastAsia="zh-CN" w:bidi="ar-SA"/>
              </w:rPr>
            </w:pPr>
            <w:r>
              <w:rPr>
                <w:rFonts w:ascii="宋体" w:hAnsi="宋体" w:eastAsia="宋体" w:cs="宋体"/>
                <w:kern w:val="2"/>
                <w:sz w:val="22"/>
                <w:szCs w:val="22"/>
                <w:highlight w:val="none"/>
                <w:lang w:eastAsia="zh-CN"/>
              </w:rPr>
              <w:t>（6</w:t>
            </w:r>
            <w:r>
              <w:rPr>
                <w:rFonts w:hint="default" w:ascii="宋体" w:hAnsi="宋体" w:eastAsia="宋体" w:cs="宋体"/>
                <w:kern w:val="2"/>
                <w:sz w:val="22"/>
                <w:szCs w:val="22"/>
                <w:highlight w:val="none"/>
                <w:lang w:eastAsia="zh-CN"/>
              </w:rPr>
              <w:t>.0</w:t>
            </w:r>
            <w:r>
              <w:rPr>
                <w:rFonts w:ascii="宋体" w:hAnsi="宋体" w:eastAsia="宋体" w:cs="宋体"/>
                <w:kern w:val="2"/>
                <w:sz w:val="22"/>
                <w:szCs w:val="22"/>
                <w:highlight w:val="none"/>
                <w:lang w:eastAsia="zh-CN"/>
              </w:rPr>
              <w:t>分</w:t>
            </w:r>
            <w:r>
              <w:rPr>
                <w:rFonts w:hint="default" w:ascii="宋体" w:hAnsi="宋体" w:eastAsia="宋体" w:cs="宋体"/>
                <w:kern w:val="2"/>
                <w:sz w:val="22"/>
                <w:szCs w:val="22"/>
                <w:highlight w:val="none"/>
                <w:lang w:eastAsia="zh-CN"/>
              </w:rPr>
              <w:t>)</w:t>
            </w:r>
          </w:p>
        </w:tc>
        <w:tc>
          <w:tcPr>
            <w:tcW w:w="7513" w:type="dxa"/>
            <w:shd w:val="clear" w:color="auto" w:fill="auto"/>
            <w:vAlign w:val="top"/>
          </w:tcPr>
          <w:p w14:paraId="0B42C3B2">
            <w:pPr>
              <w:pStyle w:val="148"/>
              <w:keepNext w:val="0"/>
              <w:keepLines w:val="0"/>
              <w:widowControl w:val="0"/>
              <w:suppressLineNumbers w:val="0"/>
              <w:spacing w:before="0" w:beforeAutospacing="0" w:after="0" w:afterAutospacing="0" w:line="400" w:lineRule="exact"/>
              <w:ind w:left="0" w:right="0"/>
              <w:jc w:val="both"/>
              <w:rPr>
                <w:rFonts w:hint="default" w:ascii="宋体" w:hAnsi="宋体" w:eastAsia="宋体" w:cs="宋体"/>
                <w:kern w:val="2"/>
                <w:sz w:val="22"/>
                <w:szCs w:val="22"/>
                <w:highlight w:val="none"/>
                <w:lang w:eastAsia="zh-CN"/>
              </w:rPr>
            </w:pPr>
            <w:r>
              <w:rPr>
                <w:rFonts w:hint="eastAsia" w:ascii="宋体" w:hAnsi="宋体" w:eastAsia="宋体" w:cs="宋体"/>
                <w:kern w:val="2"/>
                <w:sz w:val="22"/>
                <w:szCs w:val="22"/>
                <w:highlight w:val="none"/>
                <w:lang w:val="en-US" w:eastAsia="zh-CN"/>
              </w:rPr>
              <w:t>供应商</w:t>
            </w:r>
            <w:r>
              <w:rPr>
                <w:rFonts w:ascii="宋体" w:hAnsi="宋体" w:eastAsia="宋体" w:cs="宋体"/>
                <w:kern w:val="2"/>
                <w:sz w:val="22"/>
                <w:szCs w:val="22"/>
                <w:highlight w:val="none"/>
                <w:lang w:eastAsia="zh-CN"/>
              </w:rPr>
              <w:t>拟投入服务的配餐车辆</w:t>
            </w:r>
            <w:r>
              <w:rPr>
                <w:rFonts w:hint="default" w:ascii="宋体" w:hAnsi="宋体" w:eastAsia="宋体" w:cs="宋体"/>
                <w:kern w:val="2"/>
                <w:sz w:val="22"/>
                <w:szCs w:val="22"/>
                <w:highlight w:val="none"/>
                <w:lang w:eastAsia="zh-CN"/>
              </w:rPr>
              <w:t xml:space="preserve">(车辆尾部为密封车厢)情况： </w:t>
            </w:r>
          </w:p>
          <w:p w14:paraId="52FF990E">
            <w:pPr>
              <w:pStyle w:val="148"/>
              <w:keepNext w:val="0"/>
              <w:keepLines w:val="0"/>
              <w:widowControl w:val="0"/>
              <w:suppressLineNumbers w:val="0"/>
              <w:spacing w:before="0" w:beforeAutospacing="0" w:after="0" w:afterAutospacing="0" w:line="400" w:lineRule="exact"/>
              <w:ind w:left="0" w:right="0"/>
              <w:jc w:val="both"/>
              <w:rPr>
                <w:rFonts w:hint="default" w:ascii="宋体" w:hAnsi="宋体" w:eastAsia="宋体" w:cs="宋体"/>
                <w:kern w:val="2"/>
                <w:sz w:val="22"/>
                <w:szCs w:val="22"/>
                <w:highlight w:val="none"/>
                <w:lang w:eastAsia="zh-CN"/>
              </w:rPr>
            </w:pPr>
            <w:r>
              <w:rPr>
                <w:rFonts w:hint="eastAsia" w:ascii="宋体" w:hAnsi="宋体" w:eastAsia="宋体" w:cs="宋体"/>
                <w:kern w:val="2"/>
                <w:sz w:val="22"/>
                <w:szCs w:val="22"/>
                <w:highlight w:val="none"/>
                <w:lang w:val="en-US" w:eastAsia="zh-CN"/>
              </w:rPr>
              <w:t>在</w:t>
            </w:r>
            <w:r>
              <w:rPr>
                <w:rFonts w:ascii="宋体" w:hAnsi="宋体" w:eastAsia="宋体" w:cs="宋体"/>
                <w:kern w:val="2"/>
                <w:sz w:val="22"/>
                <w:szCs w:val="22"/>
                <w:highlight w:val="none"/>
                <w:lang w:eastAsia="zh-CN"/>
              </w:rPr>
              <w:t>供应商配备专用送餐车辆</w:t>
            </w:r>
            <w:r>
              <w:rPr>
                <w:rFonts w:hint="eastAsia" w:ascii="宋体" w:hAnsi="宋体" w:eastAsia="宋体" w:cs="宋体"/>
                <w:kern w:val="2"/>
                <w:sz w:val="22"/>
                <w:szCs w:val="22"/>
                <w:highlight w:val="none"/>
                <w:lang w:val="en-US" w:eastAsia="zh-CN"/>
              </w:rPr>
              <w:t>满足需求的基础上</w:t>
            </w:r>
            <w:r>
              <w:rPr>
                <w:rFonts w:ascii="宋体" w:hAnsi="宋体" w:eastAsia="宋体" w:cs="宋体"/>
                <w:kern w:val="2"/>
                <w:sz w:val="22"/>
                <w:szCs w:val="22"/>
                <w:highlight w:val="none"/>
                <w:lang w:eastAsia="zh-CN"/>
              </w:rPr>
              <w:t>，每增加1台，得2分；本项最高得6分；</w:t>
            </w:r>
          </w:p>
          <w:p w14:paraId="16AC5C03">
            <w:pPr>
              <w:pStyle w:val="148"/>
              <w:keepNext w:val="0"/>
              <w:keepLines w:val="0"/>
              <w:widowControl w:val="0"/>
              <w:suppressLineNumbers w:val="0"/>
              <w:spacing w:before="0" w:beforeAutospacing="0" w:after="0" w:afterAutospacing="0" w:line="400" w:lineRule="exact"/>
              <w:ind w:left="0" w:right="0"/>
              <w:jc w:val="both"/>
              <w:rPr>
                <w:rFonts w:hint="eastAsia" w:ascii="宋体" w:hAnsi="宋体" w:eastAsia="宋体" w:cs="宋体"/>
                <w:kern w:val="2"/>
                <w:sz w:val="22"/>
                <w:szCs w:val="22"/>
                <w:highlight w:val="none"/>
                <w:lang w:val="en-US" w:eastAsia="zh-CN" w:bidi="ar-SA"/>
              </w:rPr>
            </w:pPr>
            <w:r>
              <w:rPr>
                <w:rFonts w:ascii="宋体" w:hAnsi="宋体" w:eastAsia="宋体" w:cs="宋体"/>
                <w:kern w:val="2"/>
                <w:sz w:val="22"/>
                <w:szCs w:val="22"/>
                <w:highlight w:val="none"/>
                <w:lang w:eastAsia="zh-CN"/>
              </w:rPr>
              <w:t>注：</w:t>
            </w:r>
            <w:r>
              <w:rPr>
                <w:rFonts w:hint="default" w:ascii="宋体" w:hAnsi="宋体" w:eastAsia="宋体" w:cs="宋体"/>
                <w:kern w:val="2"/>
                <w:sz w:val="22"/>
                <w:szCs w:val="22"/>
                <w:highlight w:val="none"/>
                <w:lang w:eastAsia="zh-CN"/>
              </w:rPr>
              <w:t xml:space="preserve"> </w:t>
            </w:r>
            <w:r>
              <w:rPr>
                <w:rFonts w:ascii="宋体" w:hAnsi="宋体" w:eastAsia="宋体" w:cs="宋体"/>
                <w:kern w:val="2"/>
                <w:sz w:val="22"/>
                <w:szCs w:val="22"/>
                <w:highlight w:val="none"/>
                <w:lang w:eastAsia="zh-CN"/>
              </w:rPr>
              <w:t>①投标人自有车辆的须同时提供购买发票或购买合同、车辆照片复印件（须清晰显示车牌号码）；②投标人租赁车辆的须同时提供有效的车辆租赁合同、车辆照片（须清晰显示车牌号码）；</w:t>
            </w:r>
            <w:r>
              <w:rPr>
                <w:rFonts w:hint="default" w:ascii="宋体" w:hAnsi="宋体" w:eastAsia="宋体" w:cs="宋体"/>
                <w:kern w:val="2"/>
                <w:sz w:val="22"/>
                <w:szCs w:val="22"/>
                <w:highlight w:val="none"/>
                <w:lang w:eastAsia="zh-CN"/>
              </w:rPr>
              <w:t xml:space="preserve"> </w:t>
            </w:r>
            <w:r>
              <w:rPr>
                <w:rFonts w:ascii="宋体" w:hAnsi="宋体" w:eastAsia="宋体" w:cs="宋体"/>
                <w:kern w:val="2"/>
                <w:sz w:val="22"/>
                <w:szCs w:val="22"/>
                <w:highlight w:val="none"/>
                <w:lang w:eastAsia="zh-CN"/>
              </w:rPr>
              <w:t>③未按要求提供证明文件的不得分。</w:t>
            </w:r>
          </w:p>
        </w:tc>
      </w:tr>
      <w:tr w14:paraId="4F90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1984" w:type="dxa"/>
            <w:shd w:val="clear" w:color="auto" w:fill="auto"/>
            <w:vAlign w:val="top"/>
          </w:tcPr>
          <w:p w14:paraId="1D61EDC3">
            <w:pPr>
              <w:pStyle w:val="148"/>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2"/>
                <w:szCs w:val="22"/>
                <w:highlight w:val="none"/>
                <w:lang w:val="en-US" w:eastAsia="zh-CN" w:bidi="ar-SA"/>
              </w:rPr>
            </w:pPr>
            <w:r>
              <w:rPr>
                <w:rFonts w:ascii="宋体" w:hAnsi="宋体" w:eastAsia="宋体" w:cs="宋体"/>
                <w:kern w:val="2"/>
                <w:sz w:val="22"/>
                <w:szCs w:val="22"/>
                <w:highlight w:val="none"/>
                <w:lang w:eastAsia="zh-CN"/>
              </w:rPr>
              <w:t>团队服务人员</w:t>
            </w:r>
            <w:r>
              <w:rPr>
                <w:rFonts w:hint="default" w:ascii="宋体" w:hAnsi="宋体" w:eastAsia="宋体" w:cs="宋体"/>
                <w:kern w:val="2"/>
                <w:sz w:val="22"/>
                <w:szCs w:val="22"/>
                <w:highlight w:val="none"/>
                <w:lang w:eastAsia="zh-CN"/>
              </w:rPr>
              <w:t xml:space="preserve"> (8.0</w:t>
            </w:r>
            <w:r>
              <w:rPr>
                <w:rFonts w:ascii="宋体" w:hAnsi="宋体" w:eastAsia="宋体" w:cs="宋体"/>
                <w:kern w:val="2"/>
                <w:sz w:val="22"/>
                <w:szCs w:val="22"/>
                <w:highlight w:val="none"/>
                <w:lang w:eastAsia="zh-CN"/>
              </w:rPr>
              <w:t>分</w:t>
            </w:r>
            <w:r>
              <w:rPr>
                <w:rFonts w:hint="default" w:ascii="宋体" w:hAnsi="宋体" w:eastAsia="宋体" w:cs="宋体"/>
                <w:kern w:val="2"/>
                <w:sz w:val="22"/>
                <w:szCs w:val="22"/>
                <w:highlight w:val="none"/>
                <w:lang w:eastAsia="zh-CN"/>
              </w:rPr>
              <w:t>)</w:t>
            </w:r>
          </w:p>
        </w:tc>
        <w:tc>
          <w:tcPr>
            <w:tcW w:w="7513" w:type="dxa"/>
            <w:shd w:val="clear" w:color="auto" w:fill="auto"/>
            <w:vAlign w:val="top"/>
          </w:tcPr>
          <w:p w14:paraId="1730CAEB">
            <w:pPr>
              <w:pStyle w:val="148"/>
              <w:keepNext w:val="0"/>
              <w:keepLines w:val="0"/>
              <w:widowControl w:val="0"/>
              <w:numPr>
                <w:ilvl w:val="0"/>
                <w:numId w:val="15"/>
              </w:numPr>
              <w:suppressLineNumbers w:val="0"/>
              <w:spacing w:before="0" w:beforeAutospacing="0" w:after="0" w:afterAutospacing="0" w:line="400" w:lineRule="exact"/>
              <w:ind w:left="0" w:right="0"/>
              <w:jc w:val="both"/>
              <w:rPr>
                <w:rFonts w:ascii="宋体" w:hAnsi="宋体" w:eastAsia="宋体" w:cs="宋体"/>
                <w:kern w:val="2"/>
                <w:sz w:val="20"/>
                <w:szCs w:val="20"/>
                <w:highlight w:val="none"/>
                <w:lang w:eastAsia="zh-CN"/>
              </w:rPr>
            </w:pPr>
            <w:r>
              <w:rPr>
                <w:rFonts w:hint="default" w:ascii="宋体" w:hAnsi="宋体" w:eastAsia="宋体" w:cs="宋体"/>
                <w:kern w:val="2"/>
                <w:sz w:val="22"/>
                <w:szCs w:val="22"/>
                <w:highlight w:val="none"/>
                <w:lang w:eastAsia="zh-CN"/>
              </w:rPr>
              <w:t>项目负责人：</w:t>
            </w:r>
            <w:r>
              <w:rPr>
                <w:rFonts w:hint="eastAsia" w:ascii="宋体" w:hAnsi="宋体" w:eastAsia="宋体" w:cs="宋体"/>
                <w:kern w:val="2"/>
                <w:sz w:val="22"/>
                <w:szCs w:val="22"/>
                <w:highlight w:val="none"/>
                <w:lang w:val="en-US" w:eastAsia="zh-CN"/>
              </w:rPr>
              <w:t>①具有大专或以上学历，得1分；②具有</w:t>
            </w:r>
            <w:r>
              <w:rPr>
                <w:rFonts w:hint="eastAsia" w:ascii="宋体" w:hAnsi="宋体" w:eastAsia="宋体" w:cs="宋体"/>
                <w:kern w:val="2"/>
                <w:sz w:val="22"/>
                <w:szCs w:val="22"/>
                <w:highlight w:val="none"/>
                <w:lang w:eastAsia="zh-CN"/>
              </w:rPr>
              <w:t>餐饮行业或同类项目工作3年以上管理经验，</w:t>
            </w:r>
            <w:r>
              <w:rPr>
                <w:rFonts w:hint="eastAsia" w:ascii="宋体" w:hAnsi="宋体" w:eastAsia="宋体" w:cs="宋体"/>
                <w:kern w:val="2"/>
                <w:sz w:val="22"/>
                <w:szCs w:val="22"/>
                <w:highlight w:val="none"/>
                <w:lang w:val="en-US" w:eastAsia="zh-CN"/>
              </w:rPr>
              <w:t>得2分；③</w:t>
            </w:r>
            <w:r>
              <w:rPr>
                <w:rFonts w:hint="eastAsia" w:ascii="宋体" w:hAnsi="宋体" w:eastAsia="宋体" w:cs="宋体"/>
                <w:kern w:val="2"/>
                <w:sz w:val="22"/>
                <w:szCs w:val="22"/>
                <w:highlight w:val="none"/>
                <w:lang w:eastAsia="zh-CN"/>
              </w:rPr>
              <w:t>具有政府部门颁发</w:t>
            </w:r>
            <w:r>
              <w:rPr>
                <w:rFonts w:hint="eastAsia" w:ascii="宋体" w:hAnsi="宋体" w:eastAsia="宋体" w:cs="宋体"/>
                <w:kern w:val="2"/>
                <w:sz w:val="22"/>
                <w:szCs w:val="22"/>
                <w:highlight w:val="none"/>
                <w:lang w:val="en-US" w:eastAsia="zh-CN"/>
              </w:rPr>
              <w:t>的</w:t>
            </w:r>
            <w:r>
              <w:rPr>
                <w:rFonts w:hint="eastAsia" w:ascii="宋体" w:hAnsi="宋体" w:eastAsia="宋体" w:cs="宋体"/>
                <w:kern w:val="2"/>
                <w:sz w:val="22"/>
                <w:szCs w:val="22"/>
                <w:highlight w:val="none"/>
                <w:lang w:eastAsia="zh-CN"/>
              </w:rPr>
              <w:t>高级食品安全管理员证(或食品安全管理人员考试合格证明)，</w:t>
            </w:r>
            <w:r>
              <w:rPr>
                <w:rFonts w:hint="eastAsia" w:ascii="宋体" w:hAnsi="宋体" w:eastAsia="宋体" w:cs="宋体"/>
                <w:kern w:val="2"/>
                <w:sz w:val="22"/>
                <w:szCs w:val="22"/>
                <w:highlight w:val="none"/>
                <w:lang w:val="en-US" w:eastAsia="zh-CN"/>
              </w:rPr>
              <w:t>得1分。本小项最多得4分。</w:t>
            </w:r>
          </w:p>
          <w:p w14:paraId="79B3860A">
            <w:pPr>
              <w:pStyle w:val="148"/>
              <w:keepNext w:val="0"/>
              <w:keepLines w:val="0"/>
              <w:widowControl w:val="0"/>
              <w:numPr>
                <w:ilvl w:val="-1"/>
                <w:numId w:val="0"/>
              </w:numPr>
              <w:suppressLineNumbers w:val="0"/>
              <w:spacing w:before="0" w:beforeAutospacing="0" w:after="0" w:afterAutospacing="0" w:line="400" w:lineRule="exact"/>
              <w:ind w:left="0" w:right="0"/>
              <w:jc w:val="both"/>
              <w:rPr>
                <w:rFonts w:ascii="宋体" w:hAnsi="宋体" w:eastAsia="宋体" w:cs="宋体"/>
                <w:kern w:val="2"/>
                <w:sz w:val="20"/>
                <w:szCs w:val="20"/>
                <w:highlight w:val="none"/>
                <w:lang w:eastAsia="zh-CN"/>
              </w:rPr>
            </w:pPr>
            <w:r>
              <w:rPr>
                <w:rFonts w:hint="eastAsia" w:ascii="宋体" w:hAnsi="宋体" w:eastAsia="宋体" w:cs="宋体"/>
                <w:kern w:val="2"/>
                <w:sz w:val="22"/>
                <w:szCs w:val="22"/>
                <w:highlight w:val="none"/>
                <w:lang w:eastAsia="zh-CN"/>
              </w:rPr>
              <w:t>需提供学历证书复印件、工作经验证明、</w:t>
            </w:r>
            <w:r>
              <w:rPr>
                <w:rFonts w:hint="eastAsia" w:ascii="宋体" w:hAnsi="宋体" w:eastAsia="宋体" w:cs="宋体"/>
                <w:kern w:val="2"/>
                <w:sz w:val="22"/>
                <w:szCs w:val="22"/>
                <w:highlight w:val="none"/>
                <w:lang w:val="en-US" w:eastAsia="zh-CN"/>
              </w:rPr>
              <w:t>劳动关系证明材料</w:t>
            </w:r>
            <w:r>
              <w:rPr>
                <w:rFonts w:hint="eastAsia" w:ascii="宋体" w:hAnsi="宋体" w:eastAsia="宋体" w:cs="宋体"/>
                <w:kern w:val="2"/>
                <w:sz w:val="22"/>
                <w:szCs w:val="22"/>
                <w:highlight w:val="none"/>
                <w:lang w:eastAsia="zh-CN"/>
              </w:rPr>
              <w:t>及相关证书复印件。</w:t>
            </w:r>
          </w:p>
          <w:p w14:paraId="2CC114AD">
            <w:pPr>
              <w:pStyle w:val="148"/>
              <w:keepNext w:val="0"/>
              <w:keepLines w:val="0"/>
              <w:widowControl w:val="0"/>
              <w:numPr>
                <w:ilvl w:val="-1"/>
                <w:numId w:val="0"/>
              </w:numPr>
              <w:suppressLineNumbers w:val="0"/>
              <w:spacing w:before="0" w:beforeAutospacing="0" w:after="0" w:afterAutospacing="0" w:line="400" w:lineRule="exact"/>
              <w:ind w:left="0" w:right="0"/>
              <w:jc w:val="both"/>
              <w:rPr>
                <w:rFonts w:ascii="宋体" w:hAnsi="宋体" w:eastAsia="宋体" w:cs="宋体"/>
                <w:kern w:val="2"/>
                <w:sz w:val="20"/>
                <w:szCs w:val="20"/>
                <w:highlight w:val="none"/>
                <w:lang w:eastAsia="zh-CN"/>
              </w:rPr>
            </w:pPr>
            <w:r>
              <w:rPr>
                <w:rFonts w:hint="eastAsia" w:ascii="宋体" w:hAnsi="宋体" w:eastAsia="宋体" w:cs="宋体"/>
                <w:kern w:val="2"/>
                <w:sz w:val="22"/>
                <w:szCs w:val="22"/>
                <w:highlight w:val="none"/>
                <w:lang w:val="en-US" w:eastAsia="zh-CN"/>
              </w:rPr>
              <w:t>2.专职食品安全管理员：</w:t>
            </w:r>
            <w:r>
              <w:rPr>
                <w:rFonts w:hint="eastAsia" w:ascii="宋体" w:hAnsi="宋体" w:eastAsia="宋体" w:cs="宋体"/>
                <w:kern w:val="2"/>
                <w:sz w:val="22"/>
                <w:szCs w:val="22"/>
                <w:highlight w:val="none"/>
                <w:lang w:eastAsia="zh-CN"/>
              </w:rPr>
              <w:t>具有政府部门颁发的高级食品安全管理员证(或食品安全管理人员考试合格证明)，</w:t>
            </w:r>
            <w:r>
              <w:rPr>
                <w:rFonts w:hint="eastAsia" w:ascii="宋体" w:hAnsi="宋体" w:eastAsia="宋体" w:cs="宋体"/>
                <w:kern w:val="2"/>
                <w:sz w:val="22"/>
                <w:szCs w:val="22"/>
                <w:highlight w:val="none"/>
                <w:lang w:val="en-US" w:eastAsia="zh-CN"/>
              </w:rPr>
              <w:t>得2分。本小项最多得2分。</w:t>
            </w:r>
            <w:r>
              <w:rPr>
                <w:rFonts w:hint="eastAsia" w:ascii="宋体" w:hAnsi="宋体" w:eastAsia="宋体" w:cs="宋体"/>
                <w:kern w:val="2"/>
                <w:sz w:val="22"/>
                <w:szCs w:val="22"/>
                <w:highlight w:val="none"/>
                <w:lang w:eastAsia="zh-CN"/>
              </w:rPr>
              <w:t>需提供</w:t>
            </w:r>
            <w:r>
              <w:rPr>
                <w:rFonts w:hint="eastAsia" w:ascii="宋体" w:hAnsi="宋体" w:eastAsia="宋体" w:cs="宋体"/>
                <w:kern w:val="2"/>
                <w:sz w:val="22"/>
                <w:szCs w:val="22"/>
                <w:highlight w:val="none"/>
                <w:lang w:val="en-US" w:eastAsia="zh-CN"/>
              </w:rPr>
              <w:t>劳动关系证明材料</w:t>
            </w:r>
            <w:r>
              <w:rPr>
                <w:rFonts w:hint="eastAsia" w:ascii="宋体" w:hAnsi="宋体" w:eastAsia="宋体" w:cs="宋体"/>
                <w:kern w:val="2"/>
                <w:sz w:val="22"/>
                <w:szCs w:val="22"/>
                <w:highlight w:val="none"/>
                <w:lang w:eastAsia="zh-CN"/>
              </w:rPr>
              <w:t>及相关证书复印件。</w:t>
            </w:r>
          </w:p>
          <w:p w14:paraId="723D7371">
            <w:pPr>
              <w:pStyle w:val="148"/>
              <w:keepNext w:val="0"/>
              <w:keepLines w:val="0"/>
              <w:widowControl w:val="0"/>
              <w:numPr>
                <w:ilvl w:val="-1"/>
                <w:numId w:val="0"/>
              </w:numPr>
              <w:suppressLineNumbers w:val="0"/>
              <w:spacing w:before="0" w:beforeAutospacing="0" w:after="0" w:afterAutospacing="0" w:line="400" w:lineRule="exact"/>
              <w:ind w:left="0" w:right="0"/>
              <w:jc w:val="both"/>
              <w:rPr>
                <w:rFonts w:ascii="宋体" w:hAnsi="宋体" w:eastAsia="宋体" w:cs="宋体"/>
                <w:kern w:val="2"/>
                <w:sz w:val="20"/>
                <w:szCs w:val="20"/>
                <w:highlight w:val="none"/>
                <w:lang w:eastAsia="zh-CN"/>
              </w:rPr>
            </w:pPr>
            <w:r>
              <w:rPr>
                <w:rFonts w:hint="eastAsia" w:ascii="宋体" w:hAnsi="宋体" w:eastAsia="宋体" w:cs="宋体"/>
                <w:kern w:val="2"/>
                <w:sz w:val="22"/>
                <w:szCs w:val="22"/>
                <w:highlight w:val="none"/>
                <w:lang w:val="en-US" w:eastAsia="zh-CN"/>
              </w:rPr>
              <w:t>3.</w:t>
            </w:r>
            <w:r>
              <w:rPr>
                <w:rFonts w:hint="eastAsia" w:ascii="宋体" w:hAnsi="宋体" w:eastAsia="宋体" w:cs="宋体"/>
                <w:kern w:val="2"/>
                <w:sz w:val="22"/>
                <w:szCs w:val="22"/>
                <w:highlight w:val="none"/>
                <w:lang w:eastAsia="zh-CN"/>
              </w:rPr>
              <w:t>专职膳食营养管理员：具备国家认可资格的三级或以上公共营养师证书，得2分。</w:t>
            </w:r>
            <w:r>
              <w:rPr>
                <w:rFonts w:hint="eastAsia" w:ascii="宋体" w:hAnsi="宋体" w:eastAsia="宋体" w:cs="宋体"/>
                <w:kern w:val="2"/>
                <w:sz w:val="22"/>
                <w:szCs w:val="22"/>
                <w:highlight w:val="none"/>
                <w:lang w:val="en-US" w:eastAsia="zh-CN"/>
              </w:rPr>
              <w:t>本小项最多得2分。</w:t>
            </w:r>
            <w:r>
              <w:rPr>
                <w:rFonts w:hint="eastAsia" w:ascii="宋体" w:hAnsi="宋体" w:eastAsia="宋体" w:cs="宋体"/>
                <w:kern w:val="2"/>
                <w:sz w:val="22"/>
                <w:szCs w:val="22"/>
                <w:highlight w:val="none"/>
                <w:lang w:eastAsia="zh-CN"/>
              </w:rPr>
              <w:t>需提供</w:t>
            </w:r>
            <w:r>
              <w:rPr>
                <w:rFonts w:hint="eastAsia" w:ascii="宋体" w:hAnsi="宋体" w:eastAsia="宋体" w:cs="宋体"/>
                <w:kern w:val="2"/>
                <w:sz w:val="22"/>
                <w:szCs w:val="22"/>
                <w:highlight w:val="none"/>
                <w:lang w:val="en-US" w:eastAsia="zh-CN"/>
              </w:rPr>
              <w:t>劳动关系证明材料</w:t>
            </w:r>
            <w:r>
              <w:rPr>
                <w:rFonts w:hint="eastAsia" w:ascii="宋体" w:hAnsi="宋体" w:eastAsia="宋体" w:cs="宋体"/>
                <w:kern w:val="2"/>
                <w:sz w:val="22"/>
                <w:szCs w:val="22"/>
                <w:highlight w:val="none"/>
                <w:lang w:eastAsia="zh-CN"/>
              </w:rPr>
              <w:t>及相关证书复印件。</w:t>
            </w:r>
          </w:p>
          <w:p w14:paraId="536575F6">
            <w:pPr>
              <w:pStyle w:val="148"/>
              <w:keepNext w:val="0"/>
              <w:keepLines w:val="0"/>
              <w:widowControl w:val="0"/>
              <w:numPr>
                <w:ilvl w:val="-1"/>
                <w:numId w:val="0"/>
              </w:numPr>
              <w:suppressLineNumbers w:val="0"/>
              <w:spacing w:before="0" w:beforeAutospacing="0" w:after="0" w:afterAutospacing="0" w:line="400" w:lineRule="exact"/>
              <w:ind w:left="0" w:right="0"/>
              <w:jc w:val="both"/>
              <w:rPr>
                <w:rFonts w:hint="default" w:ascii="宋体" w:hAnsi="宋体" w:eastAsia="宋体" w:cs="宋体"/>
                <w:kern w:val="2"/>
                <w:sz w:val="22"/>
                <w:szCs w:val="22"/>
                <w:highlight w:val="none"/>
                <w:lang w:eastAsia="zh-CN"/>
              </w:rPr>
            </w:pPr>
          </w:p>
          <w:p w14:paraId="55CFD53C">
            <w:pPr>
              <w:pStyle w:val="148"/>
              <w:keepNext w:val="0"/>
              <w:keepLines w:val="0"/>
              <w:widowControl w:val="0"/>
              <w:suppressLineNumbers w:val="0"/>
              <w:spacing w:before="0" w:beforeAutospacing="0" w:after="0" w:afterAutospacing="0" w:line="400" w:lineRule="exact"/>
              <w:ind w:left="0" w:right="0"/>
              <w:jc w:val="both"/>
              <w:rPr>
                <w:rFonts w:ascii="宋体" w:hAnsi="宋体" w:eastAsia="宋体" w:cs="宋体"/>
                <w:kern w:val="2"/>
                <w:sz w:val="20"/>
                <w:szCs w:val="20"/>
                <w:highlight w:val="none"/>
                <w:lang w:eastAsia="zh-CN"/>
              </w:rPr>
            </w:pPr>
            <w:r>
              <w:rPr>
                <w:rFonts w:hint="default" w:ascii="宋体" w:hAnsi="宋体" w:eastAsia="宋体" w:cs="宋体"/>
                <w:kern w:val="2"/>
                <w:sz w:val="22"/>
                <w:szCs w:val="22"/>
                <w:highlight w:val="none"/>
                <w:lang w:eastAsia="zh-CN"/>
              </w:rPr>
              <w:t>1、2</w:t>
            </w:r>
            <w:r>
              <w:rPr>
                <w:rFonts w:hint="eastAsia" w:ascii="宋体" w:hAnsi="宋体" w:eastAsia="宋体" w:cs="宋体"/>
                <w:kern w:val="2"/>
                <w:sz w:val="22"/>
                <w:szCs w:val="22"/>
                <w:highlight w:val="none"/>
                <w:lang w:eastAsia="zh-CN"/>
              </w:rPr>
              <w:t>、</w:t>
            </w:r>
            <w:r>
              <w:rPr>
                <w:rFonts w:hint="eastAsia" w:ascii="宋体" w:hAnsi="宋体" w:eastAsia="宋体" w:cs="宋体"/>
                <w:kern w:val="2"/>
                <w:sz w:val="22"/>
                <w:szCs w:val="22"/>
                <w:highlight w:val="none"/>
                <w:lang w:val="en-US" w:eastAsia="zh-CN"/>
              </w:rPr>
              <w:t>3</w:t>
            </w:r>
            <w:r>
              <w:rPr>
                <w:rFonts w:hint="default" w:ascii="宋体" w:hAnsi="宋体" w:eastAsia="宋体" w:cs="宋体"/>
                <w:kern w:val="2"/>
                <w:sz w:val="22"/>
                <w:szCs w:val="22"/>
                <w:highlight w:val="none"/>
                <w:lang w:eastAsia="zh-CN"/>
              </w:rPr>
              <w:t>不可为同一人，</w:t>
            </w:r>
            <w:r>
              <w:rPr>
                <w:rFonts w:ascii="宋体" w:hAnsi="宋体" w:eastAsia="宋体" w:cs="宋体"/>
                <w:kern w:val="2"/>
                <w:sz w:val="22"/>
                <w:szCs w:val="22"/>
                <w:highlight w:val="none"/>
                <w:lang w:eastAsia="zh-CN"/>
              </w:rPr>
              <w:t>不符合要求或不提供不得分。</w:t>
            </w:r>
          </w:p>
          <w:p w14:paraId="6685DC7E">
            <w:pPr>
              <w:pStyle w:val="148"/>
              <w:keepNext w:val="0"/>
              <w:keepLines w:val="0"/>
              <w:widowControl w:val="0"/>
              <w:suppressLineNumbers w:val="0"/>
              <w:spacing w:before="0" w:beforeAutospacing="0" w:after="0" w:afterAutospacing="0" w:line="400" w:lineRule="exact"/>
              <w:ind w:left="0" w:right="0"/>
              <w:jc w:val="both"/>
              <w:rPr>
                <w:rFonts w:hint="eastAsia" w:ascii="宋体" w:hAnsi="宋体" w:eastAsia="宋体" w:cs="宋体"/>
                <w:kern w:val="2"/>
                <w:sz w:val="22"/>
                <w:szCs w:val="22"/>
                <w:highlight w:val="none"/>
                <w:lang w:val="en-US" w:eastAsia="zh-CN" w:bidi="ar-SA"/>
              </w:rPr>
            </w:pPr>
          </w:p>
        </w:tc>
      </w:tr>
    </w:tbl>
    <w:p w14:paraId="007FE56B">
      <w:pPr>
        <w:pStyle w:val="5"/>
        <w:rPr>
          <w:rFonts w:asciiTheme="minorEastAsia" w:hAnsiTheme="minorEastAsia" w:eastAsiaTheme="minorEastAsia"/>
          <w:sz w:val="24"/>
          <w:szCs w:val="24"/>
        </w:rPr>
      </w:pPr>
    </w:p>
    <w:p w14:paraId="57BB975F">
      <w:pPr>
        <w:pStyle w:val="5"/>
        <w:rPr>
          <w:rFonts w:asciiTheme="minorEastAsia" w:hAnsiTheme="minorEastAsia" w:eastAsiaTheme="minorEastAsia"/>
          <w:sz w:val="24"/>
          <w:szCs w:val="24"/>
        </w:rPr>
      </w:pPr>
      <w:r>
        <w:rPr>
          <w:rFonts w:hint="eastAsia" w:asciiTheme="minorEastAsia" w:hAnsiTheme="minorEastAsia" w:eastAsiaTheme="minorEastAsia"/>
          <w:sz w:val="24"/>
          <w:szCs w:val="24"/>
        </w:rPr>
        <w:t>（2）报价得分：价格分统一采用低价优先法计算，即满足询比文件要求的各报价中取最低的为评标基准价，其价格分为满分。价格分计算公式：</w:t>
      </w:r>
    </w:p>
    <w:p w14:paraId="36316FAA">
      <w:pPr>
        <w:pStyle w:val="5"/>
        <w:rPr>
          <w:rFonts w:asciiTheme="minorEastAsia" w:hAnsiTheme="minorEastAsia" w:eastAsiaTheme="minorEastAsia"/>
          <w:b/>
          <w:sz w:val="24"/>
          <w:szCs w:val="24"/>
        </w:rPr>
      </w:pPr>
      <w:r>
        <w:rPr>
          <w:rFonts w:hint="eastAsia" w:asciiTheme="minorEastAsia" w:hAnsiTheme="minorEastAsia" w:eastAsiaTheme="minorEastAsia"/>
          <w:b/>
          <w:sz w:val="24"/>
          <w:szCs w:val="24"/>
        </w:rPr>
        <w:t>响应报价得分=【评标基准价／报价】×价格权值×100</w:t>
      </w:r>
    </w:p>
    <w:p w14:paraId="3CFA2675">
      <w:pPr>
        <w:pStyle w:val="5"/>
        <w:ind w:left="0" w:leftChars="0" w:firstLine="0" w:firstLineChars="0"/>
      </w:pPr>
      <w:r>
        <w:rPr>
          <w:rFonts w:hint="eastAsia"/>
          <w:lang w:val="en-US" w:eastAsia="zh-CN"/>
        </w:rPr>
        <w:t xml:space="preserve">  </w:t>
      </w:r>
      <w:r>
        <w:rPr>
          <w:rFonts w:hint="eastAsia" w:asciiTheme="minorEastAsia" w:hAnsiTheme="minorEastAsia" w:eastAsiaTheme="minorEastAsia"/>
          <w:b/>
          <w:sz w:val="24"/>
          <w:szCs w:val="24"/>
          <w:lang w:val="en-US" w:eastAsia="zh-CN"/>
        </w:rPr>
        <w:t xml:space="preserve"> 套餐一单价合计报价6分、套餐二单价合计报价6分、套餐三单价合计报价6分，共18分。</w:t>
      </w:r>
    </w:p>
    <w:p w14:paraId="5B358CF8">
      <w:pPr>
        <w:pStyle w:val="5"/>
        <w:ind w:left="0" w:leftChars="0" w:firstLine="0" w:firstLineChars="0"/>
      </w:pPr>
    </w:p>
    <w:p w14:paraId="2C107271">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第五部分  合同书格式</w:t>
      </w:r>
      <w:bookmarkEnd w:id="9"/>
    </w:p>
    <w:p w14:paraId="1CEC6FB2">
      <w:pPr>
        <w:spacing w:line="360" w:lineRule="auto"/>
      </w:pPr>
      <w:r>
        <w:rPr>
          <w:rFonts w:hint="eastAsia" w:ascii="宋体" w:hAnsi="宋体"/>
          <w:b/>
          <w:color w:val="000000"/>
          <w:sz w:val="24"/>
        </w:rPr>
        <w:t xml:space="preserve">                                 </w:t>
      </w:r>
    </w:p>
    <w:p w14:paraId="25F267B3">
      <w:pPr>
        <w:tabs>
          <w:tab w:val="left" w:pos="720"/>
        </w:tabs>
        <w:spacing w:line="360" w:lineRule="auto"/>
        <w:jc w:val="center"/>
        <w:rPr>
          <w:rFonts w:ascii="宋体" w:hAnsi="宋体"/>
          <w:b/>
          <w:sz w:val="72"/>
          <w:szCs w:val="72"/>
        </w:rPr>
      </w:pPr>
      <w:r>
        <w:rPr>
          <w:rFonts w:hint="eastAsia" w:ascii="宋体" w:hAnsi="宋体"/>
          <w:b/>
          <w:color w:val="000000"/>
          <w:sz w:val="24"/>
        </w:rPr>
        <w:t xml:space="preserve">      </w:t>
      </w:r>
      <w:r>
        <w:rPr>
          <w:rFonts w:hint="eastAsia" w:ascii="宋体" w:hAnsi="宋体"/>
          <w:b/>
          <w:sz w:val="72"/>
          <w:szCs w:val="72"/>
        </w:rPr>
        <w:t>合 同 书</w:t>
      </w:r>
    </w:p>
    <w:p w14:paraId="2F48D25D">
      <w:pPr>
        <w:tabs>
          <w:tab w:val="left" w:pos="720"/>
        </w:tabs>
        <w:spacing w:line="360" w:lineRule="auto"/>
        <w:jc w:val="center"/>
        <w:rPr>
          <w:rFonts w:ascii="宋体" w:hAnsi="宋体"/>
          <w:b/>
          <w:sz w:val="44"/>
          <w:szCs w:val="44"/>
        </w:rPr>
      </w:pPr>
    </w:p>
    <w:p w14:paraId="38D68993">
      <w:pPr>
        <w:spacing w:line="300" w:lineRule="auto"/>
        <w:ind w:left="0" w:leftChars="0" w:firstLine="0" w:firstLineChars="0"/>
        <w:jc w:val="left"/>
        <w:rPr>
          <w:rFonts w:hint="eastAsia" w:ascii="宋体" w:hAnsi="宋体"/>
          <w:b/>
          <w:sz w:val="28"/>
          <w:szCs w:val="28"/>
          <w:u w:val="single"/>
        </w:rPr>
      </w:pPr>
      <w:r>
        <w:rPr>
          <w:rFonts w:hint="default" w:ascii="宋体" w:hAnsi="宋体"/>
          <w:b/>
          <w:sz w:val="28"/>
          <w:szCs w:val="28"/>
        </w:rPr>
        <w:t xml:space="preserve"> </w:t>
      </w:r>
      <w:bookmarkStart w:id="10" w:name="_Toc406684377"/>
      <w:bookmarkStart w:id="11" w:name="_Toc163275678"/>
      <w:r>
        <w:rPr>
          <w:rFonts w:hint="default" w:ascii="宋体" w:hAnsi="宋体"/>
          <w:b/>
          <w:sz w:val="28"/>
          <w:szCs w:val="28"/>
        </w:rPr>
        <w:t xml:space="preserve">      </w:t>
      </w:r>
    </w:p>
    <w:p w14:paraId="7EA385C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eastAsia="宋体" w:cs="Arial"/>
          <w:b/>
          <w:bCs w:val="0"/>
          <w:snapToGrid/>
          <w:color w:val="000000"/>
          <w:kern w:val="0"/>
          <w:sz w:val="28"/>
          <w:szCs w:val="28"/>
          <w:lang w:val="en-US" w:eastAsia="zh-CN" w:bidi="ar"/>
        </w:rPr>
      </w:pPr>
    </w:p>
    <w:p w14:paraId="4EA7A60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r>
        <w:rPr>
          <w:rFonts w:hint="default" w:ascii="Arial" w:hAnsi="Arial" w:eastAsia="宋体" w:cs="Arial"/>
          <w:b/>
          <w:bCs w:val="0"/>
          <w:snapToGrid/>
          <w:color w:val="000000"/>
          <w:kern w:val="0"/>
          <w:sz w:val="28"/>
          <w:szCs w:val="28"/>
          <w:lang w:val="en-US" w:eastAsia="zh-CN" w:bidi="ar"/>
        </w:rPr>
        <w:t>合同编号：</w:t>
      </w:r>
    </w:p>
    <w:p w14:paraId="2836899F">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eastAsia="宋体" w:cs="Arial"/>
          <w:snapToGrid/>
          <w:color w:val="000000"/>
          <w:kern w:val="0"/>
          <w:sz w:val="21"/>
          <w:szCs w:val="21"/>
          <w:lang w:val="en-US" w:eastAsia="zh-CN" w:bidi="ar"/>
        </w:rPr>
      </w:pPr>
    </w:p>
    <w:p w14:paraId="584A816F">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eastAsia="宋体" w:cs="Arial"/>
          <w:snapToGrid/>
          <w:color w:val="000000"/>
          <w:kern w:val="0"/>
          <w:sz w:val="21"/>
          <w:szCs w:val="21"/>
          <w:lang w:val="en-US" w:eastAsia="zh-CN" w:bidi="ar"/>
        </w:rPr>
      </w:pPr>
    </w:p>
    <w:p w14:paraId="697723B2">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eastAsia="宋体" w:cs="Arial"/>
          <w:snapToGrid/>
          <w:color w:val="000000"/>
          <w:kern w:val="0"/>
          <w:sz w:val="21"/>
          <w:szCs w:val="21"/>
          <w:lang w:val="en-US" w:eastAsia="zh-CN" w:bidi="ar"/>
        </w:rPr>
      </w:pPr>
    </w:p>
    <w:p w14:paraId="54340DB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cs="Arial"/>
          <w:color w:val="000000"/>
          <w:kern w:val="0"/>
          <w:sz w:val="21"/>
          <w:szCs w:val="21"/>
        </w:rPr>
      </w:pPr>
      <w:r>
        <w:rPr>
          <w:rFonts w:hint="default" w:ascii="Arial" w:hAnsi="Arial" w:eastAsia="宋体" w:cs="Arial"/>
          <w:snapToGrid/>
          <w:color w:val="000000"/>
          <w:kern w:val="0"/>
          <w:sz w:val="21"/>
          <w:szCs w:val="21"/>
          <w:lang w:val="en-US" w:eastAsia="zh-CN" w:bidi="ar"/>
        </w:rPr>
        <w:t xml:space="preserve"> </w:t>
      </w:r>
      <w:r>
        <w:rPr>
          <w:rFonts w:hint="default" w:ascii="Arial" w:hAnsi="Arial" w:cs="Arial"/>
          <w:color w:val="000000"/>
          <w:kern w:val="0"/>
          <w:sz w:val="21"/>
          <w:szCs w:val="21"/>
        </w:rPr>
        <w:drawing>
          <wp:inline distT="0" distB="0" distL="114300" distR="114300">
            <wp:extent cx="1066800" cy="109855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1066800" cy="1098550"/>
                    </a:xfrm>
                    <a:prstGeom prst="rect">
                      <a:avLst/>
                    </a:prstGeom>
                  </pic:spPr>
                </pic:pic>
              </a:graphicData>
            </a:graphic>
          </wp:inline>
        </w:drawing>
      </w:r>
    </w:p>
    <w:p w14:paraId="5352AE16">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cs="Arial"/>
          <w:color w:val="000000"/>
          <w:kern w:val="0"/>
          <w:sz w:val="21"/>
          <w:szCs w:val="21"/>
        </w:rPr>
      </w:pPr>
      <w:r>
        <w:rPr>
          <w:rFonts w:hint="default" w:ascii="Arial" w:hAnsi="Arial" w:eastAsia="宋体" w:cs="Arial"/>
          <w:snapToGrid/>
          <w:color w:val="000000"/>
          <w:kern w:val="0"/>
          <w:sz w:val="21"/>
          <w:szCs w:val="21"/>
          <w:lang w:val="en-US" w:eastAsia="zh-CN" w:bidi="ar"/>
        </w:rPr>
        <w:drawing>
          <wp:inline distT="0" distB="0" distL="114300" distR="114300">
            <wp:extent cx="1676400" cy="4572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1676400" cy="457200"/>
                    </a:xfrm>
                    <a:prstGeom prst="rect">
                      <a:avLst/>
                    </a:prstGeom>
                  </pic:spPr>
                </pic:pic>
              </a:graphicData>
            </a:graphic>
          </wp:inline>
        </w:drawing>
      </w:r>
      <w:r>
        <w:rPr>
          <w:rFonts w:hint="default" w:ascii="Arial" w:hAnsi="Arial" w:eastAsia="宋体" w:cs="Arial"/>
          <w:snapToGrid/>
          <w:color w:val="000000"/>
          <w:kern w:val="0"/>
          <w:sz w:val="21"/>
          <w:szCs w:val="21"/>
          <w:lang w:val="en-US" w:eastAsia="zh-CN" w:bidi="ar"/>
        </w:rPr>
        <w:t xml:space="preserve"> </w:t>
      </w:r>
    </w:p>
    <w:p w14:paraId="786E7AC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cs="Arial"/>
          <w:color w:val="000000"/>
          <w:kern w:val="0"/>
          <w:sz w:val="21"/>
          <w:szCs w:val="21"/>
        </w:rPr>
      </w:pPr>
      <w:r>
        <w:rPr>
          <w:rFonts w:hint="default" w:ascii="Arial" w:hAnsi="Arial" w:eastAsia="宋体" w:cs="Arial"/>
          <w:snapToGrid/>
          <w:color w:val="000000"/>
          <w:kern w:val="0"/>
          <w:sz w:val="21"/>
          <w:szCs w:val="21"/>
          <w:lang w:val="en-US" w:eastAsia="zh-CN" w:bidi="ar"/>
        </w:rPr>
        <w:t xml:space="preserve"> </w:t>
      </w:r>
    </w:p>
    <w:p w14:paraId="042E5D6C">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cs="Arial"/>
          <w:color w:val="000000"/>
          <w:kern w:val="0"/>
          <w:sz w:val="21"/>
          <w:szCs w:val="21"/>
        </w:rPr>
      </w:pPr>
      <w:r>
        <w:rPr>
          <w:rFonts w:hint="default" w:ascii="Arial" w:hAnsi="Arial" w:eastAsia="宋体" w:cs="Arial"/>
          <w:snapToGrid/>
          <w:color w:val="000000"/>
          <w:kern w:val="0"/>
          <w:sz w:val="21"/>
          <w:szCs w:val="21"/>
          <w:lang w:val="en-US" w:eastAsia="zh-CN" w:bidi="ar"/>
        </w:rPr>
        <w:t xml:space="preserve"> </w:t>
      </w:r>
    </w:p>
    <w:p w14:paraId="5375885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cs="Arial"/>
          <w:color w:val="000000"/>
          <w:kern w:val="0"/>
          <w:sz w:val="21"/>
          <w:szCs w:val="21"/>
        </w:rPr>
      </w:pPr>
      <w:r>
        <w:rPr>
          <w:rFonts w:hint="default" w:ascii="Arial" w:hAnsi="Arial" w:eastAsia="宋体" w:cs="Arial"/>
          <w:snapToGrid/>
          <w:color w:val="000000"/>
          <w:kern w:val="0"/>
          <w:sz w:val="21"/>
          <w:szCs w:val="21"/>
          <w:lang w:val="en-US" w:eastAsia="zh-CN" w:bidi="ar"/>
        </w:rPr>
        <w:t xml:space="preserve"> </w:t>
      </w:r>
    </w:p>
    <w:p w14:paraId="17E4AC4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r>
        <w:rPr>
          <w:rFonts w:hint="default" w:ascii="Arial" w:hAnsi="Arial" w:eastAsia="宋体" w:cs="Arial"/>
          <w:snapToGrid/>
          <w:color w:val="000000"/>
          <w:kern w:val="0"/>
          <w:sz w:val="21"/>
          <w:szCs w:val="21"/>
          <w:lang w:val="en-US" w:eastAsia="zh-CN" w:bidi="ar"/>
        </w:rPr>
        <w:t xml:space="preserve"> </w:t>
      </w:r>
    </w:p>
    <w:p w14:paraId="0CA21D87">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b/>
          <w:bCs w:val="0"/>
          <w:color w:val="000000"/>
          <w:kern w:val="0"/>
          <w:sz w:val="48"/>
          <w:szCs w:val="48"/>
        </w:rPr>
      </w:pPr>
      <w:r>
        <w:rPr>
          <w:rFonts w:hint="eastAsia" w:ascii="宋体" w:hAnsi="宋体" w:cs="宋体"/>
          <w:b/>
          <w:bCs w:val="0"/>
          <w:snapToGrid/>
          <w:color w:val="000000"/>
          <w:kern w:val="0"/>
          <w:sz w:val="48"/>
          <w:szCs w:val="48"/>
          <w:lang w:val="en-US" w:eastAsia="zh-CN" w:bidi="ar"/>
        </w:rPr>
        <w:t>广州市番禺区第七人民医院</w:t>
      </w:r>
    </w:p>
    <w:p w14:paraId="0F29086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b/>
          <w:bCs w:val="0"/>
          <w:color w:val="000000"/>
          <w:kern w:val="0"/>
          <w:sz w:val="48"/>
          <w:szCs w:val="48"/>
        </w:rPr>
      </w:pPr>
      <w:r>
        <w:rPr>
          <w:rFonts w:hint="eastAsia" w:ascii="宋体" w:hAnsi="宋体" w:eastAsia="宋体" w:cs="宋体"/>
          <w:b/>
          <w:bCs w:val="0"/>
          <w:snapToGrid/>
          <w:color w:val="000000"/>
          <w:kern w:val="0"/>
          <w:sz w:val="48"/>
          <w:szCs w:val="48"/>
          <w:lang w:val="en-US" w:eastAsia="zh-CN" w:bidi="ar"/>
        </w:rPr>
        <w:t>服务类合同书</w:t>
      </w:r>
    </w:p>
    <w:p w14:paraId="21E7A33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Arial" w:cs="Arial"/>
          <w:b/>
          <w:bCs w:val="0"/>
          <w:color w:val="000000"/>
          <w:kern w:val="0"/>
          <w:sz w:val="48"/>
          <w:szCs w:val="48"/>
        </w:rPr>
      </w:pPr>
      <w:r>
        <w:rPr>
          <w:rFonts w:hint="eastAsia" w:ascii="宋体" w:hAnsi="宋体" w:eastAsia="Arial" w:cs="Arial"/>
          <w:b/>
          <w:bCs w:val="0"/>
          <w:snapToGrid/>
          <w:color w:val="000000"/>
          <w:kern w:val="0"/>
          <w:sz w:val="48"/>
          <w:szCs w:val="48"/>
          <w:lang w:val="en-US" w:eastAsia="zh-CN" w:bidi="ar"/>
        </w:rPr>
        <w:t xml:space="preserve"> </w:t>
      </w:r>
    </w:p>
    <w:p w14:paraId="071C93F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b/>
          <w:bCs w:val="0"/>
          <w:color w:val="000000"/>
          <w:kern w:val="0"/>
          <w:sz w:val="21"/>
          <w:szCs w:val="21"/>
        </w:rPr>
      </w:pPr>
      <w:r>
        <w:rPr>
          <w:rFonts w:hint="default" w:ascii="Arial" w:hAnsi="Arial" w:eastAsia="宋体" w:cs="Arial"/>
          <w:b/>
          <w:bCs w:val="0"/>
          <w:snapToGrid/>
          <w:color w:val="000000"/>
          <w:kern w:val="0"/>
          <w:sz w:val="21"/>
          <w:szCs w:val="21"/>
          <w:lang w:val="en-US" w:eastAsia="zh-CN" w:bidi="ar"/>
        </w:rPr>
        <w:t xml:space="preserve"> </w:t>
      </w:r>
    </w:p>
    <w:p w14:paraId="7DE9046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仿宋" w:hAnsi="仿宋" w:eastAsia="仿宋" w:cs="Arial"/>
          <w:b/>
          <w:bCs w:val="0"/>
          <w:color w:val="000000"/>
          <w:kern w:val="0"/>
          <w:sz w:val="21"/>
          <w:szCs w:val="21"/>
        </w:rPr>
      </w:pPr>
      <w:r>
        <w:rPr>
          <w:rFonts w:hint="default" w:ascii="仿宋" w:hAnsi="仿宋" w:eastAsia="仿宋" w:cs="Arial"/>
          <w:b/>
          <w:bCs w:val="0"/>
          <w:snapToGrid/>
          <w:color w:val="000000"/>
          <w:kern w:val="0"/>
          <w:sz w:val="21"/>
          <w:szCs w:val="21"/>
          <w:lang w:val="en-US" w:eastAsia="zh-CN" w:bidi="ar"/>
        </w:rPr>
        <w:t xml:space="preserve"> </w:t>
      </w:r>
    </w:p>
    <w:p w14:paraId="67C467B6">
      <w:pPr>
        <w:keepNext w:val="0"/>
        <w:keepLines w:val="0"/>
        <w:widowControl/>
        <w:suppressLineNumbers w:val="0"/>
        <w:kinsoku w:val="0"/>
        <w:autoSpaceDE w:val="0"/>
        <w:autoSpaceDN w:val="0"/>
        <w:adjustRightInd w:val="0"/>
        <w:snapToGrid w:val="0"/>
        <w:spacing w:before="0" w:beforeAutospacing="0" w:after="0" w:afterAutospacing="0"/>
        <w:ind w:left="2518" w:leftChars="266" w:right="0" w:hanging="1960" w:hangingChars="700"/>
        <w:jc w:val="left"/>
        <w:textAlignment w:val="baseline"/>
        <w:rPr>
          <w:rFonts w:hint="default" w:ascii="宋体" w:hAnsi="宋体" w:eastAsia="宋体" w:cs="宋体"/>
          <w:b w:val="0"/>
          <w:bCs/>
          <w:kern w:val="0"/>
          <w:sz w:val="28"/>
          <w:szCs w:val="28"/>
          <w:u w:val="single"/>
        </w:rPr>
      </w:pPr>
      <w:r>
        <w:rPr>
          <w:rFonts w:hint="default" w:ascii="宋体" w:hAnsi="宋体" w:cs="宋体"/>
          <w:b/>
          <w:bCs w:val="0"/>
          <w:snapToGrid/>
          <w:color w:val="000000"/>
          <w:kern w:val="0"/>
          <w:sz w:val="28"/>
          <w:szCs w:val="28"/>
          <w:lang w:eastAsia="zh-CN" w:bidi="ar"/>
        </w:rPr>
        <w:t xml:space="preserve">     </w:t>
      </w:r>
      <w:r>
        <w:rPr>
          <w:rFonts w:hint="eastAsia" w:ascii="宋体" w:hAnsi="宋体" w:eastAsia="宋体" w:cs="宋体"/>
          <w:b/>
          <w:bCs w:val="0"/>
          <w:snapToGrid/>
          <w:color w:val="000000"/>
          <w:kern w:val="0"/>
          <w:sz w:val="28"/>
          <w:szCs w:val="28"/>
          <w:lang w:val="en-US" w:eastAsia="zh-CN" w:bidi="ar"/>
        </w:rPr>
        <w:t>采 购 项 目：</w:t>
      </w:r>
      <w:r>
        <w:rPr>
          <w:rFonts w:hint="default" w:ascii="宋体" w:hAnsi="宋体" w:cs="宋体"/>
          <w:b/>
          <w:bCs w:val="0"/>
          <w:snapToGrid/>
          <w:color w:val="000000"/>
          <w:kern w:val="0"/>
          <w:sz w:val="28"/>
          <w:szCs w:val="28"/>
          <w:u w:val="single"/>
          <w:lang w:eastAsia="zh-CN" w:bidi="ar"/>
        </w:rPr>
        <w:t xml:space="preserve">                                 </w:t>
      </w:r>
    </w:p>
    <w:p w14:paraId="12AA20B9">
      <w:pPr>
        <w:keepNext w:val="0"/>
        <w:keepLines w:val="0"/>
        <w:widowControl/>
        <w:suppressLineNumbers w:val="0"/>
        <w:kinsoku w:val="0"/>
        <w:autoSpaceDE w:val="0"/>
        <w:autoSpaceDN w:val="0"/>
        <w:adjustRightInd w:val="0"/>
        <w:snapToGrid w:val="0"/>
        <w:spacing w:before="0" w:beforeAutospacing="0" w:after="0" w:afterAutospacing="0"/>
        <w:ind w:left="0" w:right="0" w:firstLine="652" w:firstLineChars="233"/>
        <w:jc w:val="left"/>
        <w:textAlignment w:val="baseline"/>
        <w:rPr>
          <w:rFonts w:hint="eastAsia" w:ascii="宋体" w:hAnsi="宋体" w:eastAsia="宋体" w:cs="宋体"/>
          <w:b/>
          <w:bCs w:val="0"/>
          <w:snapToGrid/>
          <w:color w:val="000000"/>
          <w:kern w:val="0"/>
          <w:sz w:val="28"/>
          <w:szCs w:val="28"/>
          <w:lang w:val="en-US" w:eastAsia="zh-CN" w:bidi="ar"/>
        </w:rPr>
      </w:pPr>
    </w:p>
    <w:p w14:paraId="667F8DD3">
      <w:pPr>
        <w:keepNext w:val="0"/>
        <w:keepLines w:val="0"/>
        <w:widowControl/>
        <w:suppressLineNumbers w:val="0"/>
        <w:kinsoku w:val="0"/>
        <w:autoSpaceDE w:val="0"/>
        <w:autoSpaceDN w:val="0"/>
        <w:adjustRightInd w:val="0"/>
        <w:snapToGrid w:val="0"/>
        <w:spacing w:before="0" w:beforeAutospacing="0" w:after="0" w:afterAutospacing="0"/>
        <w:ind w:left="0" w:right="0" w:firstLine="652" w:firstLineChars="233"/>
        <w:jc w:val="left"/>
        <w:textAlignment w:val="baseline"/>
        <w:rPr>
          <w:rFonts w:hint="default" w:ascii="宋体" w:hAnsi="宋体" w:cs="宋体"/>
          <w:b/>
          <w:bCs w:val="0"/>
          <w:snapToGrid/>
          <w:color w:val="000000"/>
          <w:kern w:val="0"/>
          <w:sz w:val="28"/>
          <w:szCs w:val="28"/>
          <w:lang w:eastAsia="zh-CN" w:bidi="ar"/>
        </w:rPr>
      </w:pPr>
      <w:r>
        <w:rPr>
          <w:rFonts w:hint="default" w:ascii="宋体" w:hAnsi="宋体" w:cs="宋体"/>
          <w:b/>
          <w:bCs w:val="0"/>
          <w:snapToGrid/>
          <w:color w:val="000000"/>
          <w:kern w:val="0"/>
          <w:sz w:val="28"/>
          <w:szCs w:val="28"/>
          <w:lang w:eastAsia="zh-CN" w:bidi="ar"/>
        </w:rPr>
        <w:t xml:space="preserve">   </w:t>
      </w:r>
    </w:p>
    <w:p w14:paraId="0D51C5DB">
      <w:pPr>
        <w:keepNext w:val="0"/>
        <w:keepLines w:val="0"/>
        <w:widowControl/>
        <w:suppressLineNumbers w:val="0"/>
        <w:kinsoku w:val="0"/>
        <w:autoSpaceDE w:val="0"/>
        <w:autoSpaceDN w:val="0"/>
        <w:adjustRightInd w:val="0"/>
        <w:snapToGrid w:val="0"/>
        <w:spacing w:before="0" w:beforeAutospacing="0" w:after="0" w:afterAutospacing="0"/>
        <w:ind w:left="0" w:right="0" w:firstLine="652" w:firstLineChars="233"/>
        <w:jc w:val="left"/>
        <w:textAlignment w:val="baseline"/>
        <w:rPr>
          <w:rFonts w:hint="default" w:ascii="宋体" w:hAnsi="宋体" w:eastAsia="宋体" w:cs="宋体"/>
          <w:b w:val="0"/>
          <w:bCs/>
          <w:i w:val="0"/>
          <w:iCs w:val="0"/>
          <w:kern w:val="0"/>
          <w:sz w:val="28"/>
          <w:szCs w:val="28"/>
          <w:u w:val="single"/>
        </w:rPr>
      </w:pPr>
      <w:r>
        <w:rPr>
          <w:rFonts w:hint="default" w:ascii="宋体" w:hAnsi="宋体" w:cs="宋体"/>
          <w:b/>
          <w:bCs w:val="0"/>
          <w:snapToGrid/>
          <w:color w:val="000000"/>
          <w:kern w:val="0"/>
          <w:sz w:val="28"/>
          <w:szCs w:val="28"/>
          <w:lang w:eastAsia="zh-CN" w:bidi="ar"/>
        </w:rPr>
        <w:t xml:space="preserve">   </w:t>
      </w:r>
      <w:r>
        <w:rPr>
          <w:rFonts w:hint="eastAsia" w:ascii="宋体" w:hAnsi="宋体" w:eastAsia="宋体" w:cs="宋体"/>
          <w:b/>
          <w:bCs w:val="0"/>
          <w:snapToGrid/>
          <w:color w:val="000000"/>
          <w:kern w:val="0"/>
          <w:sz w:val="28"/>
          <w:szCs w:val="28"/>
          <w:lang w:val="en-US" w:eastAsia="zh-CN" w:bidi="ar"/>
        </w:rPr>
        <w:t>合 同 相 对 方：</w:t>
      </w:r>
      <w:r>
        <w:rPr>
          <w:rFonts w:hint="default" w:ascii="宋体" w:hAnsi="宋体" w:cs="宋体"/>
          <w:b/>
          <w:bCs w:val="0"/>
          <w:snapToGrid/>
          <w:color w:val="000000"/>
          <w:kern w:val="0"/>
          <w:sz w:val="28"/>
          <w:szCs w:val="28"/>
          <w:u w:val="single"/>
          <w:lang w:eastAsia="zh-CN" w:bidi="ar"/>
        </w:rPr>
        <w:t xml:space="preserve">                     </w:t>
      </w:r>
    </w:p>
    <w:p w14:paraId="1CAAABA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eastAsia" w:ascii="宋体" w:hAnsi="宋体" w:eastAsia="宋体" w:cs="宋体"/>
          <w:b/>
          <w:bCs w:val="0"/>
          <w:snapToGrid/>
          <w:color w:val="000000"/>
          <w:kern w:val="0"/>
          <w:sz w:val="28"/>
          <w:szCs w:val="28"/>
          <w:lang w:val="en-US" w:eastAsia="zh-CN" w:bidi="ar"/>
        </w:rPr>
      </w:pPr>
    </w:p>
    <w:p w14:paraId="5B15A86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eastAsia" w:ascii="宋体" w:hAnsi="宋体" w:eastAsia="宋体" w:cs="宋体"/>
          <w:b/>
          <w:bCs w:val="0"/>
          <w:color w:val="000000"/>
          <w:kern w:val="0"/>
          <w:sz w:val="28"/>
          <w:szCs w:val="28"/>
        </w:rPr>
      </w:pPr>
      <w:r>
        <w:rPr>
          <w:rFonts w:hint="eastAsia" w:ascii="宋体" w:hAnsi="宋体" w:eastAsia="宋体" w:cs="宋体"/>
          <w:b/>
          <w:bCs w:val="0"/>
          <w:snapToGrid/>
          <w:color w:val="000000"/>
          <w:kern w:val="0"/>
          <w:sz w:val="28"/>
          <w:szCs w:val="28"/>
          <w:lang w:val="en-US" w:eastAsia="zh-CN" w:bidi="ar"/>
        </w:rPr>
        <w:t xml:space="preserve"> </w:t>
      </w:r>
    </w:p>
    <w:p w14:paraId="4850C60D">
      <w:pPr>
        <w:keepNext w:val="0"/>
        <w:keepLines w:val="0"/>
        <w:widowControl/>
        <w:suppressLineNumbers w:val="0"/>
        <w:kinsoku w:val="0"/>
        <w:autoSpaceDE w:val="0"/>
        <w:autoSpaceDN w:val="0"/>
        <w:adjustRightInd w:val="0"/>
        <w:snapToGrid w:val="0"/>
        <w:spacing w:before="0" w:beforeAutospacing="0" w:after="0" w:afterAutospacing="0"/>
        <w:ind w:left="0" w:right="0" w:firstLine="652" w:firstLineChars="233"/>
        <w:jc w:val="left"/>
        <w:textAlignment w:val="baseline"/>
        <w:rPr>
          <w:rFonts w:hint="eastAsia" w:ascii="宋体" w:hAnsi="宋体" w:eastAsia="宋体" w:cs="宋体"/>
          <w:b w:val="0"/>
          <w:bCs/>
          <w:color w:val="000000"/>
          <w:kern w:val="0"/>
          <w:sz w:val="28"/>
          <w:szCs w:val="28"/>
          <w:u w:val="single"/>
        </w:rPr>
      </w:pPr>
      <w:r>
        <w:rPr>
          <w:rFonts w:hint="default" w:ascii="宋体" w:hAnsi="宋体" w:cs="宋体"/>
          <w:b/>
          <w:bCs w:val="0"/>
          <w:snapToGrid/>
          <w:color w:val="000000"/>
          <w:kern w:val="0"/>
          <w:sz w:val="28"/>
          <w:szCs w:val="28"/>
          <w:lang w:eastAsia="zh-CN" w:bidi="ar"/>
        </w:rPr>
        <w:t xml:space="preserve">     </w:t>
      </w:r>
      <w:r>
        <w:rPr>
          <w:rFonts w:hint="eastAsia" w:ascii="宋体" w:hAnsi="宋体" w:eastAsia="宋体" w:cs="宋体"/>
          <w:b/>
          <w:bCs w:val="0"/>
          <w:snapToGrid/>
          <w:color w:val="000000"/>
          <w:kern w:val="0"/>
          <w:sz w:val="28"/>
          <w:szCs w:val="28"/>
          <w:lang w:val="en-US" w:eastAsia="zh-CN" w:bidi="ar"/>
        </w:rPr>
        <w:t>签 订 时 间：</w:t>
      </w:r>
      <w:r>
        <w:rPr>
          <w:rFonts w:hint="eastAsia" w:ascii="宋体" w:hAnsi="宋体" w:eastAsia="宋体" w:cs="宋体"/>
          <w:b w:val="0"/>
          <w:bCs/>
          <w:snapToGrid/>
          <w:color w:val="000000"/>
          <w:kern w:val="0"/>
          <w:sz w:val="28"/>
          <w:szCs w:val="28"/>
          <w:u w:val="single"/>
          <w:lang w:val="en-US" w:eastAsia="zh-CN" w:bidi="ar"/>
        </w:rPr>
        <w:t xml:space="preserve">      年   月   日</w:t>
      </w:r>
    </w:p>
    <w:p w14:paraId="0494993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r>
        <w:rPr>
          <w:rFonts w:hint="default" w:ascii="Arial" w:hAnsi="Arial" w:eastAsia="宋体" w:cs="Arial"/>
          <w:snapToGrid/>
          <w:color w:val="000000"/>
          <w:kern w:val="0"/>
          <w:sz w:val="21"/>
          <w:szCs w:val="21"/>
          <w:lang w:val="en-US" w:eastAsia="zh-CN" w:bidi="ar"/>
        </w:rPr>
        <w:t xml:space="preserve"> </w:t>
      </w:r>
    </w:p>
    <w:p w14:paraId="64A04ED7">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cs="Arial"/>
          <w:color w:val="000000"/>
          <w:kern w:val="0"/>
          <w:sz w:val="21"/>
          <w:szCs w:val="21"/>
        </w:rPr>
      </w:pPr>
      <w:r>
        <w:rPr>
          <w:rFonts w:hint="default" w:ascii="Arial" w:hAnsi="Arial" w:eastAsia="宋体" w:cs="Arial"/>
          <w:snapToGrid/>
          <w:color w:val="000000"/>
          <w:kern w:val="0"/>
          <w:sz w:val="21"/>
          <w:szCs w:val="21"/>
          <w:lang w:val="en-US" w:eastAsia="zh-CN" w:bidi="ar"/>
        </w:rPr>
        <w:t xml:space="preserve"> </w:t>
      </w:r>
    </w:p>
    <w:p w14:paraId="17ADE1C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cs="Arial"/>
          <w:b/>
          <w:bCs/>
          <w:color w:val="000000"/>
          <w:kern w:val="0"/>
          <w:sz w:val="21"/>
          <w:szCs w:val="21"/>
        </w:rPr>
      </w:pPr>
      <w:r>
        <w:rPr>
          <w:rFonts w:hint="default" w:ascii="Arial" w:hAnsi="Arial" w:eastAsia="宋体" w:cs="Arial"/>
          <w:b/>
          <w:bCs/>
          <w:snapToGrid/>
          <w:color w:val="000000"/>
          <w:kern w:val="0"/>
          <w:sz w:val="21"/>
          <w:szCs w:val="21"/>
          <w:lang w:val="en-US" w:eastAsia="zh-CN" w:bidi="ar"/>
        </w:rPr>
        <w:t xml:space="preserve"> </w:t>
      </w:r>
    </w:p>
    <w:p w14:paraId="719B6DF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eastAsia="宋体" w:cs="Arial"/>
          <w:b/>
          <w:bCs/>
          <w:snapToGrid/>
          <w:color w:val="000000"/>
          <w:kern w:val="0"/>
          <w:sz w:val="21"/>
          <w:szCs w:val="21"/>
          <w:lang w:val="en-US" w:eastAsia="zh-CN" w:bidi="ar"/>
        </w:rPr>
      </w:pPr>
    </w:p>
    <w:p w14:paraId="0B2F53DE">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b/>
          <w:bCs/>
          <w:snapToGrid/>
          <w:color w:val="000000"/>
          <w:kern w:val="0"/>
          <w:sz w:val="28"/>
          <w:szCs w:val="28"/>
          <w:lang w:val="en-US" w:eastAsia="zh-CN" w:bidi="ar"/>
        </w:rPr>
      </w:pPr>
      <w:r>
        <w:rPr>
          <w:rFonts w:hint="default" w:ascii="Arial" w:hAnsi="Arial" w:eastAsia="宋体" w:cs="Arial"/>
          <w:b/>
          <w:bCs/>
          <w:snapToGrid/>
          <w:color w:val="000000"/>
          <w:kern w:val="0"/>
          <w:sz w:val="21"/>
          <w:szCs w:val="21"/>
          <w:lang w:val="en-US" w:eastAsia="zh-CN" w:bidi="ar"/>
        </w:rPr>
        <w:t xml:space="preserve">  </w:t>
      </w:r>
      <w:r>
        <w:rPr>
          <w:rFonts w:hint="eastAsia" w:ascii="宋体" w:hAnsi="宋体" w:cs="宋体"/>
          <w:b/>
          <w:bCs/>
          <w:snapToGrid/>
          <w:color w:val="000000"/>
          <w:kern w:val="0"/>
          <w:sz w:val="28"/>
          <w:szCs w:val="28"/>
          <w:lang w:val="en-US" w:eastAsia="zh-CN" w:bidi="ar"/>
        </w:rPr>
        <w:t>广州市番禺区第七人民医院</w:t>
      </w:r>
      <w:r>
        <w:rPr>
          <w:rFonts w:hint="eastAsia" w:ascii="宋体" w:hAnsi="宋体" w:eastAsia="宋体" w:cs="宋体"/>
          <w:b/>
          <w:bCs/>
          <w:snapToGrid/>
          <w:color w:val="000000"/>
          <w:kern w:val="0"/>
          <w:sz w:val="28"/>
          <w:szCs w:val="28"/>
          <w:lang w:val="en-US" w:eastAsia="zh-CN" w:bidi="ar"/>
        </w:rPr>
        <w:t>（番禺区人民医院）</w:t>
      </w:r>
    </w:p>
    <w:p w14:paraId="5685E90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cs="宋体"/>
          <w:szCs w:val="21"/>
        </w:rPr>
      </w:pPr>
      <w:r>
        <w:rPr>
          <w:rFonts w:hint="eastAsia" w:ascii="宋体" w:hAnsi="宋体"/>
          <w:b/>
          <w:szCs w:val="21"/>
        </w:rPr>
        <w:t>注：本合同仅为合同的参考文本，合同签订双方可根据项目的具体要求进行修订。</w:t>
      </w:r>
    </w:p>
    <w:p w14:paraId="446A696F">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b/>
          <w:bCs/>
          <w:snapToGrid/>
          <w:color w:val="000000"/>
          <w:kern w:val="0"/>
          <w:sz w:val="28"/>
          <w:szCs w:val="28"/>
          <w:lang w:val="en-US" w:eastAsia="zh-CN" w:bidi="ar"/>
        </w:rPr>
      </w:pPr>
    </w:p>
    <w:bookmarkEnd w:id="10"/>
    <w:bookmarkEnd w:id="11"/>
    <w:p w14:paraId="4A25B112">
      <w:pPr>
        <w:spacing w:before="156" w:beforeLines="50"/>
        <w:rPr>
          <w:rFonts w:ascii="宋体" w:hAnsi="宋体"/>
        </w:rPr>
      </w:pPr>
      <w:r>
        <w:rPr>
          <w:rFonts w:hint="eastAsia" w:ascii="宋体" w:hAnsi="宋体"/>
          <w:b/>
        </w:rPr>
        <w:t>甲方（招标人）：</w:t>
      </w:r>
      <w:r>
        <w:rPr>
          <w:rFonts w:ascii="宋体" w:hAnsi="宋体"/>
          <w:b/>
          <w:u w:val="single"/>
        </w:rPr>
        <w:t xml:space="preserve"> 广州市</w:t>
      </w:r>
      <w:r>
        <w:rPr>
          <w:rFonts w:hint="eastAsia" w:ascii="宋体" w:hAnsi="宋体"/>
          <w:b/>
          <w:u w:val="single"/>
        </w:rPr>
        <w:t>番禺区第七人民医院</w:t>
      </w:r>
      <w:r>
        <w:rPr>
          <w:rFonts w:ascii="宋体" w:hAnsi="宋体"/>
          <w:b/>
          <w:u w:val="single"/>
        </w:rPr>
        <w:t xml:space="preserve">            </w:t>
      </w:r>
    </w:p>
    <w:p w14:paraId="0A41DA4A">
      <w:pPr>
        <w:spacing w:before="156" w:beforeLines="50"/>
        <w:rPr>
          <w:rFonts w:ascii="宋体" w:hAnsi="宋体"/>
          <w:b/>
          <w:bCs/>
          <w:u w:val="single"/>
        </w:rPr>
      </w:pPr>
      <w:r>
        <w:rPr>
          <w:rFonts w:hint="eastAsia" w:ascii="宋体" w:hAnsi="宋体"/>
          <w:b/>
          <w:bCs/>
        </w:rPr>
        <w:t>地</w:t>
      </w:r>
      <w:r>
        <w:rPr>
          <w:rFonts w:ascii="宋体" w:hAnsi="宋体"/>
          <w:b/>
          <w:bCs/>
        </w:rPr>
        <w:t xml:space="preserve">  </w:t>
      </w:r>
      <w:r>
        <w:rPr>
          <w:rFonts w:hint="eastAsia" w:ascii="宋体" w:hAnsi="宋体"/>
          <w:b/>
          <w:bCs/>
        </w:rPr>
        <w:t>址：</w:t>
      </w:r>
      <w:r>
        <w:rPr>
          <w:rFonts w:ascii="宋体" w:hAnsi="宋体"/>
          <w:b/>
          <w:bCs/>
          <w:u w:val="single"/>
        </w:rPr>
        <w:t xml:space="preserve"> 广州市</w:t>
      </w:r>
      <w:r>
        <w:rPr>
          <w:rFonts w:hint="eastAsia" w:ascii="宋体" w:hAnsi="宋体"/>
          <w:b/>
          <w:bCs/>
          <w:u w:val="single"/>
        </w:rPr>
        <w:t>番禺区石楼镇人民路</w:t>
      </w:r>
      <w:r>
        <w:rPr>
          <w:rFonts w:ascii="宋体" w:hAnsi="宋体"/>
          <w:b/>
          <w:bCs/>
          <w:u w:val="single"/>
        </w:rPr>
        <w:t xml:space="preserve">149号 </w:t>
      </w:r>
    </w:p>
    <w:p w14:paraId="5E9E3D8B">
      <w:pPr>
        <w:spacing w:before="156" w:beforeLines="50"/>
        <w:rPr>
          <w:rFonts w:ascii="宋体" w:hAnsi="宋体"/>
          <w:b/>
          <w:u w:val="single"/>
        </w:rPr>
      </w:pPr>
      <w:r>
        <w:rPr>
          <w:rFonts w:hint="eastAsia" w:ascii="宋体" w:hAnsi="宋体"/>
          <w:b/>
          <w:bCs/>
        </w:rPr>
        <w:t>联系电话：</w:t>
      </w:r>
      <w:r>
        <w:rPr>
          <w:rFonts w:ascii="宋体" w:hAnsi="宋体"/>
          <w:b/>
          <w:bCs/>
          <w:u w:val="single"/>
        </w:rPr>
        <w:t xml:space="preserve"> </w:t>
      </w:r>
      <w:r>
        <w:rPr>
          <w:rFonts w:ascii="宋体" w:hAnsi="宋体"/>
          <w:b/>
          <w:bCs/>
          <w:color w:val="000000"/>
          <w:u w:val="single"/>
        </w:rPr>
        <w:t>020-84847049</w:t>
      </w:r>
      <w:r>
        <w:rPr>
          <w:rFonts w:ascii="宋体" w:hAnsi="宋体"/>
          <w:b/>
          <w:u w:val="single"/>
        </w:rPr>
        <w:t xml:space="preserve">                       </w:t>
      </w:r>
    </w:p>
    <w:p w14:paraId="02B03DC4">
      <w:pPr>
        <w:spacing w:before="156" w:beforeLines="50"/>
        <w:rPr>
          <w:rFonts w:ascii="宋体" w:hAnsi="宋体"/>
          <w:b/>
        </w:rPr>
      </w:pPr>
      <w:r>
        <w:rPr>
          <w:rFonts w:hint="eastAsia" w:ascii="宋体" w:hAnsi="宋体"/>
          <w:b/>
        </w:rPr>
        <w:t>乙方（中标人）：</w:t>
      </w:r>
      <w:r>
        <w:rPr>
          <w:rFonts w:ascii="宋体" w:hAnsi="宋体"/>
          <w:b/>
          <w:u w:val="single"/>
        </w:rPr>
        <w:t xml:space="preserve">                     </w:t>
      </w:r>
    </w:p>
    <w:p w14:paraId="212E607C">
      <w:pPr>
        <w:spacing w:before="156" w:beforeLines="50"/>
        <w:rPr>
          <w:rFonts w:ascii="宋体" w:hAnsi="宋体"/>
          <w:b/>
          <w:bCs/>
          <w:u w:val="single"/>
        </w:rPr>
      </w:pPr>
      <w:r>
        <w:rPr>
          <w:rFonts w:hint="eastAsia" w:ascii="宋体" w:hAnsi="宋体"/>
          <w:b/>
          <w:bCs/>
        </w:rPr>
        <w:t>地</w:t>
      </w:r>
      <w:r>
        <w:rPr>
          <w:rFonts w:ascii="宋体" w:hAnsi="宋体"/>
          <w:b/>
          <w:bCs/>
        </w:rPr>
        <w:t xml:space="preserve">  </w:t>
      </w:r>
      <w:r>
        <w:rPr>
          <w:rFonts w:hint="eastAsia" w:ascii="宋体" w:hAnsi="宋体"/>
          <w:b/>
          <w:bCs/>
        </w:rPr>
        <w:t>址：</w:t>
      </w:r>
      <w:r>
        <w:rPr>
          <w:rFonts w:ascii="宋体" w:hAnsi="宋体"/>
          <w:b/>
          <w:bCs/>
          <w:u w:val="single"/>
        </w:rPr>
        <w:t xml:space="preserve">                             </w:t>
      </w:r>
    </w:p>
    <w:p w14:paraId="5D84A06D">
      <w:pPr>
        <w:spacing w:before="156" w:beforeLines="50"/>
        <w:rPr>
          <w:rFonts w:ascii="宋体" w:hAnsi="宋体"/>
          <w:b/>
          <w:bCs/>
        </w:rPr>
      </w:pPr>
      <w:r>
        <w:rPr>
          <w:rFonts w:hint="eastAsia" w:ascii="宋体" w:hAnsi="宋体"/>
          <w:b/>
          <w:bCs/>
        </w:rPr>
        <w:t>联系电话：</w:t>
      </w:r>
      <w:r>
        <w:rPr>
          <w:rFonts w:ascii="宋体" w:hAnsi="宋体"/>
          <w:b/>
          <w:bCs/>
          <w:u w:val="single"/>
        </w:rPr>
        <w:t xml:space="preserve">                         </w:t>
      </w:r>
    </w:p>
    <w:p w14:paraId="2B4EBFC1">
      <w:pPr>
        <w:spacing w:line="360" w:lineRule="auto"/>
        <w:ind w:firstLine="420" w:firstLineChars="200"/>
        <w:rPr>
          <w:rFonts w:ascii="宋体" w:hAnsi="宋体"/>
        </w:rPr>
      </w:pPr>
      <w:r>
        <w:rPr>
          <w:rFonts w:ascii="宋体" w:hAnsi="宋体"/>
        </w:rPr>
        <w:t xml:space="preserve"> </w:t>
      </w:r>
    </w:p>
    <w:p w14:paraId="6A133897">
      <w:pPr>
        <w:pStyle w:val="33"/>
        <w:widowControl w:val="0"/>
        <w:spacing w:before="0" w:beforeAutospacing="0" w:after="0" w:afterAutospacing="0" w:line="360" w:lineRule="auto"/>
        <w:ind w:firstLine="480" w:firstLineChars="200"/>
        <w:jc w:val="both"/>
      </w:pPr>
      <w:r>
        <w:rPr>
          <w:rFonts w:hint="eastAsia"/>
        </w:rPr>
        <w:t>根据</w:t>
      </w:r>
      <w:r>
        <w:rPr>
          <w:rFonts w:hint="eastAsia"/>
          <w:lang w:eastAsia="zh-CN"/>
        </w:rPr>
        <w:t>广州市番禺区第七人民医院中央配餐配送服务项目</w:t>
      </w:r>
      <w:r>
        <w:rPr>
          <w:rFonts w:hint="eastAsia"/>
        </w:rPr>
        <w:t>的</w:t>
      </w:r>
      <w:r>
        <w:rPr>
          <w:rFonts w:hint="eastAsia"/>
          <w:lang w:val="en-US" w:eastAsia="zh-CN"/>
        </w:rPr>
        <w:t>询比</w:t>
      </w:r>
      <w:r>
        <w:rPr>
          <w:rFonts w:hint="eastAsia"/>
        </w:rPr>
        <w:t>结果，按照《中华人民共和国民法典》及有关规定，为明确甲方、乙方的权利义务，本着公平、公正、自愿的原则，经充分友好协商一致，签订本合同，供双方共同遵守。</w:t>
      </w:r>
    </w:p>
    <w:p w14:paraId="0FB79EC0">
      <w:pPr>
        <w:pStyle w:val="33"/>
        <w:widowControl w:val="0"/>
        <w:spacing w:before="0" w:beforeAutospacing="0" w:after="0" w:afterAutospacing="0" w:line="360" w:lineRule="auto"/>
        <w:ind w:firstLine="480" w:firstLineChars="200"/>
        <w:jc w:val="both"/>
        <w:rPr>
          <w:b/>
        </w:rPr>
      </w:pPr>
      <w:r>
        <w:rPr>
          <w:rFonts w:hint="eastAsia"/>
          <w:b/>
        </w:rPr>
        <w:t>一、合同价款</w:t>
      </w:r>
    </w:p>
    <w:p w14:paraId="14AB9FFF">
      <w:pPr>
        <w:pStyle w:val="33"/>
        <w:widowControl w:val="0"/>
        <w:spacing w:before="0" w:beforeAutospacing="0" w:after="0" w:afterAutospacing="0" w:line="360" w:lineRule="auto"/>
        <w:ind w:firstLine="480" w:firstLineChars="200"/>
        <w:jc w:val="both"/>
      </w:pPr>
      <w:r>
        <w:t xml:space="preserve">1.暂定合同金额(采购预算):    </w:t>
      </w:r>
      <w:r>
        <w:rPr>
          <w:rFonts w:hint="eastAsia"/>
        </w:rPr>
        <w:t>万元。</w:t>
      </w:r>
    </w:p>
    <w:p w14:paraId="4AF2CC1B">
      <w:pPr>
        <w:pStyle w:val="33"/>
        <w:widowControl w:val="0"/>
        <w:spacing w:before="0" w:beforeAutospacing="0" w:after="0" w:afterAutospacing="0" w:line="360" w:lineRule="auto"/>
        <w:ind w:firstLine="480" w:firstLineChars="200"/>
        <w:jc w:val="both"/>
      </w:pPr>
      <w:r>
        <w:t xml:space="preserve">2.中标单价: </w:t>
      </w:r>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1255"/>
        <w:gridCol w:w="5444"/>
        <w:gridCol w:w="1953"/>
      </w:tblGrid>
      <w:tr w14:paraId="2FE3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pct"/>
            <w:gridSpan w:val="2"/>
            <w:tcBorders>
              <w:top w:val="single" w:color="auto" w:sz="4" w:space="0"/>
              <w:left w:val="single" w:color="auto" w:sz="4" w:space="0"/>
              <w:bottom w:val="single" w:color="auto" w:sz="4" w:space="0"/>
              <w:right w:val="single" w:color="auto" w:sz="4" w:space="0"/>
            </w:tcBorders>
            <w:vAlign w:val="center"/>
          </w:tcPr>
          <w:p w14:paraId="0E84D7AC">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eastAsia" w:ascii="宋体" w:hAnsi="宋体"/>
                <w:kern w:val="0"/>
                <w:sz w:val="24"/>
              </w:rPr>
              <w:t>套餐</w:t>
            </w:r>
          </w:p>
        </w:tc>
        <w:tc>
          <w:tcPr>
            <w:tcW w:w="2828" w:type="pct"/>
            <w:tcBorders>
              <w:top w:val="single" w:color="auto" w:sz="4" w:space="0"/>
              <w:left w:val="nil"/>
              <w:bottom w:val="single" w:color="auto" w:sz="4" w:space="0"/>
              <w:right w:val="single" w:color="auto" w:sz="4" w:space="0"/>
            </w:tcBorders>
            <w:vAlign w:val="center"/>
          </w:tcPr>
          <w:p w14:paraId="1637348C">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eastAsia" w:ascii="宋体" w:hAnsi="宋体"/>
                <w:kern w:val="0"/>
                <w:sz w:val="24"/>
              </w:rPr>
              <w:t>餐饮标准</w:t>
            </w:r>
          </w:p>
        </w:tc>
        <w:tc>
          <w:tcPr>
            <w:tcW w:w="1014" w:type="pct"/>
            <w:tcBorders>
              <w:top w:val="single" w:color="auto" w:sz="4" w:space="0"/>
              <w:left w:val="nil"/>
              <w:bottom w:val="single" w:color="auto" w:sz="4" w:space="0"/>
              <w:right w:val="single" w:color="auto" w:sz="4" w:space="0"/>
            </w:tcBorders>
            <w:vAlign w:val="center"/>
          </w:tcPr>
          <w:p w14:paraId="792D8B7B">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eastAsia" w:ascii="宋体" w:hAnsi="宋体"/>
                <w:kern w:val="0"/>
                <w:sz w:val="24"/>
              </w:rPr>
              <w:t>中标单价</w:t>
            </w:r>
          </w:p>
        </w:tc>
      </w:tr>
      <w:tr w14:paraId="3294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Merge w:val="restart"/>
            <w:tcBorders>
              <w:top w:val="nil"/>
              <w:left w:val="single" w:color="auto" w:sz="4" w:space="0"/>
              <w:bottom w:val="single" w:color="auto" w:sz="4" w:space="0"/>
              <w:right w:val="single" w:color="auto" w:sz="4" w:space="0"/>
            </w:tcBorders>
            <w:vAlign w:val="center"/>
          </w:tcPr>
          <w:p w14:paraId="40F5DD99">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套餐一</w:t>
            </w:r>
          </w:p>
        </w:tc>
        <w:tc>
          <w:tcPr>
            <w:tcW w:w="651" w:type="pct"/>
            <w:tcBorders>
              <w:top w:val="single" w:color="auto" w:sz="4" w:space="0"/>
              <w:left w:val="nil"/>
              <w:bottom w:val="single" w:color="auto" w:sz="4" w:space="0"/>
              <w:right w:val="single" w:color="auto" w:sz="4" w:space="0"/>
            </w:tcBorders>
            <w:vAlign w:val="center"/>
          </w:tcPr>
          <w:p w14:paraId="33038729">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eastAsia" w:ascii="宋体" w:hAnsi="宋体"/>
                <w:kern w:val="0"/>
                <w:sz w:val="24"/>
              </w:rPr>
              <w:t>早餐</w:t>
            </w:r>
          </w:p>
        </w:tc>
        <w:tc>
          <w:tcPr>
            <w:tcW w:w="2828" w:type="pct"/>
            <w:tcBorders>
              <w:top w:val="single" w:color="auto" w:sz="4" w:space="0"/>
              <w:left w:val="nil"/>
              <w:bottom w:val="single" w:color="auto" w:sz="4" w:space="0"/>
              <w:right w:val="single" w:color="auto" w:sz="4" w:space="0"/>
            </w:tcBorders>
            <w:vAlign w:val="center"/>
          </w:tcPr>
          <w:p w14:paraId="2BE54A23">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一份粥</w:t>
            </w:r>
            <w:r>
              <w:rPr>
                <w:rFonts w:hint="default" w:ascii="宋体" w:hAnsi="宋体"/>
                <w:kern w:val="0"/>
                <w:sz w:val="24"/>
              </w:rPr>
              <w:t>/豆浆/牛奶+一份粉/面/点心</w:t>
            </w:r>
          </w:p>
        </w:tc>
        <w:tc>
          <w:tcPr>
            <w:tcW w:w="1014" w:type="pct"/>
            <w:tcBorders>
              <w:top w:val="single" w:color="auto" w:sz="4" w:space="0"/>
              <w:left w:val="nil"/>
              <w:bottom w:val="single" w:color="auto" w:sz="4" w:space="0"/>
              <w:right w:val="single" w:color="auto" w:sz="4" w:space="0"/>
            </w:tcBorders>
            <w:vAlign w:val="center"/>
          </w:tcPr>
          <w:p w14:paraId="37B12EEA">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default" w:ascii="宋体" w:hAnsi="宋体"/>
                <w:kern w:val="0"/>
                <w:sz w:val="24"/>
              </w:rPr>
              <w:t xml:space="preserve">  元/份</w:t>
            </w:r>
          </w:p>
        </w:tc>
      </w:tr>
      <w:tr w14:paraId="01BD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013430A2">
            <w:pPr>
              <w:keepNext w:val="0"/>
              <w:keepLines w:val="0"/>
              <w:widowControl/>
              <w:suppressLineNumbers w:val="0"/>
              <w:spacing w:before="0" w:beforeAutospacing="0" w:after="0" w:afterAutospacing="0"/>
              <w:ind w:left="0" w:right="0"/>
              <w:jc w:val="left"/>
              <w:rPr>
                <w:rFonts w:hint="default" w:ascii="宋体" w:hAnsi="宋体"/>
                <w:kern w:val="0"/>
                <w:sz w:val="24"/>
              </w:rPr>
            </w:pPr>
          </w:p>
        </w:tc>
        <w:tc>
          <w:tcPr>
            <w:tcW w:w="651" w:type="pct"/>
            <w:tcBorders>
              <w:top w:val="single" w:color="auto" w:sz="4" w:space="0"/>
              <w:left w:val="nil"/>
              <w:bottom w:val="single" w:color="auto" w:sz="4" w:space="0"/>
              <w:right w:val="single" w:color="auto" w:sz="4" w:space="0"/>
            </w:tcBorders>
            <w:vAlign w:val="center"/>
          </w:tcPr>
          <w:p w14:paraId="6FF53E09">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eastAsia" w:ascii="宋体" w:hAnsi="宋体"/>
                <w:kern w:val="0"/>
                <w:sz w:val="24"/>
              </w:rPr>
              <w:t>午、晚餐</w:t>
            </w:r>
          </w:p>
        </w:tc>
        <w:tc>
          <w:tcPr>
            <w:tcW w:w="2828" w:type="pct"/>
            <w:tcBorders>
              <w:top w:val="single" w:color="auto" w:sz="4" w:space="0"/>
              <w:left w:val="nil"/>
              <w:bottom w:val="single" w:color="auto" w:sz="4" w:space="0"/>
              <w:right w:val="single" w:color="auto" w:sz="4" w:space="0"/>
            </w:tcBorders>
            <w:vAlign w:val="center"/>
          </w:tcPr>
          <w:p w14:paraId="5F0882D0">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一份肉（肉＞</w:t>
            </w:r>
            <w:r>
              <w:rPr>
                <w:rFonts w:hint="default" w:ascii="宋体" w:hAnsi="宋体"/>
                <w:kern w:val="0"/>
                <w:sz w:val="24"/>
              </w:rPr>
              <w:t>150g/份）、</w:t>
            </w:r>
          </w:p>
          <w:p w14:paraId="00B38F18">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一份小炒（肉＞</w:t>
            </w:r>
            <w:r>
              <w:rPr>
                <w:rFonts w:hint="default" w:ascii="宋体" w:hAnsi="宋体"/>
                <w:kern w:val="0"/>
                <w:sz w:val="24"/>
              </w:rPr>
              <w:t>50g+菜＞100g/份）、</w:t>
            </w:r>
          </w:p>
          <w:p w14:paraId="279F9E57">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一份青菜（＞</w:t>
            </w:r>
            <w:r>
              <w:rPr>
                <w:rFonts w:hint="default" w:ascii="宋体" w:hAnsi="宋体"/>
                <w:kern w:val="0"/>
                <w:sz w:val="24"/>
              </w:rPr>
              <w:t>150g/份）、</w:t>
            </w:r>
          </w:p>
          <w:p w14:paraId="489BDB09">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一份米饭（＞</w:t>
            </w:r>
            <w:r>
              <w:rPr>
                <w:rFonts w:hint="default" w:ascii="宋体" w:hAnsi="宋体"/>
                <w:kern w:val="0"/>
                <w:sz w:val="24"/>
              </w:rPr>
              <w:t>200g/份）</w:t>
            </w:r>
          </w:p>
        </w:tc>
        <w:tc>
          <w:tcPr>
            <w:tcW w:w="1014" w:type="pct"/>
            <w:tcBorders>
              <w:top w:val="single" w:color="auto" w:sz="4" w:space="0"/>
              <w:left w:val="nil"/>
              <w:bottom w:val="single" w:color="auto" w:sz="4" w:space="0"/>
              <w:right w:val="single" w:color="auto" w:sz="4" w:space="0"/>
            </w:tcBorders>
            <w:vAlign w:val="center"/>
          </w:tcPr>
          <w:p w14:paraId="78330C36">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default" w:ascii="宋体" w:hAnsi="宋体"/>
                <w:kern w:val="0"/>
                <w:sz w:val="24"/>
              </w:rPr>
              <w:t xml:space="preserve">   元/份</w:t>
            </w:r>
          </w:p>
        </w:tc>
      </w:tr>
      <w:tr w14:paraId="0055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Merge w:val="restart"/>
            <w:tcBorders>
              <w:top w:val="nil"/>
              <w:left w:val="single" w:color="auto" w:sz="4" w:space="0"/>
              <w:bottom w:val="single" w:color="auto" w:sz="4" w:space="0"/>
              <w:right w:val="single" w:color="auto" w:sz="4" w:space="0"/>
            </w:tcBorders>
            <w:vAlign w:val="center"/>
          </w:tcPr>
          <w:p w14:paraId="40369A63">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套餐二</w:t>
            </w:r>
          </w:p>
        </w:tc>
        <w:tc>
          <w:tcPr>
            <w:tcW w:w="651" w:type="pct"/>
            <w:tcBorders>
              <w:top w:val="single" w:color="auto" w:sz="4" w:space="0"/>
              <w:left w:val="nil"/>
              <w:bottom w:val="single" w:color="auto" w:sz="4" w:space="0"/>
              <w:right w:val="single" w:color="auto" w:sz="4" w:space="0"/>
            </w:tcBorders>
            <w:vAlign w:val="center"/>
          </w:tcPr>
          <w:p w14:paraId="3E0F4795">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eastAsia" w:ascii="宋体" w:hAnsi="宋体"/>
                <w:kern w:val="0"/>
                <w:sz w:val="24"/>
              </w:rPr>
              <w:t>早餐</w:t>
            </w:r>
          </w:p>
        </w:tc>
        <w:tc>
          <w:tcPr>
            <w:tcW w:w="2828" w:type="pct"/>
            <w:tcBorders>
              <w:top w:val="single" w:color="auto" w:sz="4" w:space="0"/>
              <w:left w:val="nil"/>
              <w:bottom w:val="single" w:color="auto" w:sz="4" w:space="0"/>
              <w:right w:val="single" w:color="auto" w:sz="4" w:space="0"/>
            </w:tcBorders>
            <w:vAlign w:val="center"/>
          </w:tcPr>
          <w:p w14:paraId="1FFF78C4">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一份粥</w:t>
            </w:r>
            <w:r>
              <w:rPr>
                <w:rFonts w:hint="default" w:ascii="宋体" w:hAnsi="宋体"/>
                <w:kern w:val="0"/>
                <w:sz w:val="24"/>
              </w:rPr>
              <w:t>/豆浆/牛奶+一份粉/面/点心</w:t>
            </w:r>
          </w:p>
        </w:tc>
        <w:tc>
          <w:tcPr>
            <w:tcW w:w="1014" w:type="pct"/>
            <w:tcBorders>
              <w:top w:val="single" w:color="auto" w:sz="4" w:space="0"/>
              <w:left w:val="nil"/>
              <w:bottom w:val="single" w:color="auto" w:sz="4" w:space="0"/>
              <w:right w:val="single" w:color="auto" w:sz="4" w:space="0"/>
            </w:tcBorders>
            <w:vAlign w:val="center"/>
          </w:tcPr>
          <w:p w14:paraId="4C251837">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default" w:ascii="宋体" w:hAnsi="宋体"/>
                <w:kern w:val="0"/>
                <w:sz w:val="24"/>
              </w:rPr>
              <w:t xml:space="preserve">   元/份</w:t>
            </w:r>
          </w:p>
        </w:tc>
      </w:tr>
      <w:tr w14:paraId="0E7F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743B131B">
            <w:pPr>
              <w:keepNext w:val="0"/>
              <w:keepLines w:val="0"/>
              <w:widowControl/>
              <w:suppressLineNumbers w:val="0"/>
              <w:spacing w:before="0" w:beforeAutospacing="0" w:after="0" w:afterAutospacing="0"/>
              <w:ind w:left="0" w:right="0"/>
              <w:jc w:val="left"/>
              <w:rPr>
                <w:rFonts w:hint="default" w:ascii="宋体" w:hAnsi="宋体"/>
                <w:kern w:val="0"/>
                <w:sz w:val="24"/>
              </w:rPr>
            </w:pPr>
          </w:p>
        </w:tc>
        <w:tc>
          <w:tcPr>
            <w:tcW w:w="651" w:type="pct"/>
            <w:tcBorders>
              <w:top w:val="single" w:color="auto" w:sz="4" w:space="0"/>
              <w:left w:val="nil"/>
              <w:bottom w:val="single" w:color="auto" w:sz="4" w:space="0"/>
              <w:right w:val="single" w:color="auto" w:sz="4" w:space="0"/>
            </w:tcBorders>
            <w:vAlign w:val="center"/>
          </w:tcPr>
          <w:p w14:paraId="5D3BB6F3">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eastAsia" w:ascii="宋体" w:hAnsi="宋体"/>
                <w:kern w:val="0"/>
                <w:sz w:val="24"/>
              </w:rPr>
              <w:t>午、晚餐</w:t>
            </w:r>
          </w:p>
        </w:tc>
        <w:tc>
          <w:tcPr>
            <w:tcW w:w="2828" w:type="pct"/>
            <w:tcBorders>
              <w:top w:val="single" w:color="auto" w:sz="4" w:space="0"/>
              <w:left w:val="nil"/>
              <w:bottom w:val="single" w:color="auto" w:sz="4" w:space="0"/>
              <w:right w:val="single" w:color="auto" w:sz="4" w:space="0"/>
            </w:tcBorders>
            <w:vAlign w:val="center"/>
          </w:tcPr>
          <w:p w14:paraId="5EFD5F82">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一份肉（肉＞</w:t>
            </w:r>
            <w:r>
              <w:rPr>
                <w:rFonts w:hint="default" w:ascii="宋体" w:hAnsi="宋体"/>
                <w:kern w:val="0"/>
                <w:sz w:val="24"/>
              </w:rPr>
              <w:t>150g/份）、</w:t>
            </w:r>
          </w:p>
          <w:p w14:paraId="2957A0C0">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二份小炒（肉＞</w:t>
            </w:r>
            <w:r>
              <w:rPr>
                <w:rFonts w:hint="default" w:ascii="宋体" w:hAnsi="宋体"/>
                <w:kern w:val="0"/>
                <w:sz w:val="24"/>
              </w:rPr>
              <w:t>50g+菜＞100g/份）、</w:t>
            </w:r>
          </w:p>
          <w:p w14:paraId="0716D775">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一份青菜（＞</w:t>
            </w:r>
            <w:r>
              <w:rPr>
                <w:rFonts w:hint="default" w:ascii="宋体" w:hAnsi="宋体"/>
                <w:kern w:val="0"/>
                <w:sz w:val="24"/>
              </w:rPr>
              <w:t>150g/份）、</w:t>
            </w:r>
          </w:p>
          <w:p w14:paraId="7B4C4607">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一份米饭（＞</w:t>
            </w:r>
            <w:r>
              <w:rPr>
                <w:rFonts w:hint="default" w:ascii="宋体" w:hAnsi="宋体"/>
                <w:kern w:val="0"/>
                <w:sz w:val="24"/>
              </w:rPr>
              <w:t>200g/份）</w:t>
            </w:r>
          </w:p>
        </w:tc>
        <w:tc>
          <w:tcPr>
            <w:tcW w:w="1014" w:type="pct"/>
            <w:tcBorders>
              <w:top w:val="single" w:color="auto" w:sz="4" w:space="0"/>
              <w:left w:val="nil"/>
              <w:bottom w:val="single" w:color="auto" w:sz="4" w:space="0"/>
              <w:right w:val="single" w:color="auto" w:sz="4" w:space="0"/>
            </w:tcBorders>
            <w:vAlign w:val="center"/>
          </w:tcPr>
          <w:p w14:paraId="0809C360">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default" w:ascii="宋体" w:hAnsi="宋体"/>
                <w:kern w:val="0"/>
                <w:sz w:val="24"/>
              </w:rPr>
              <w:t xml:space="preserve">    元/份</w:t>
            </w:r>
          </w:p>
        </w:tc>
      </w:tr>
      <w:tr w14:paraId="209E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Merge w:val="restart"/>
            <w:tcBorders>
              <w:top w:val="nil"/>
              <w:left w:val="single" w:color="auto" w:sz="4" w:space="0"/>
              <w:bottom w:val="single" w:color="auto" w:sz="4" w:space="0"/>
              <w:right w:val="single" w:color="auto" w:sz="4" w:space="0"/>
            </w:tcBorders>
            <w:vAlign w:val="center"/>
          </w:tcPr>
          <w:p w14:paraId="17292811">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套餐三</w:t>
            </w:r>
          </w:p>
        </w:tc>
        <w:tc>
          <w:tcPr>
            <w:tcW w:w="651" w:type="pct"/>
            <w:tcBorders>
              <w:top w:val="single" w:color="auto" w:sz="4" w:space="0"/>
              <w:left w:val="nil"/>
              <w:bottom w:val="single" w:color="auto" w:sz="4" w:space="0"/>
              <w:right w:val="single" w:color="auto" w:sz="4" w:space="0"/>
            </w:tcBorders>
            <w:vAlign w:val="center"/>
          </w:tcPr>
          <w:p w14:paraId="0325C832">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eastAsia" w:ascii="宋体" w:hAnsi="宋体"/>
                <w:kern w:val="0"/>
                <w:sz w:val="24"/>
              </w:rPr>
              <w:t>早餐</w:t>
            </w:r>
          </w:p>
        </w:tc>
        <w:tc>
          <w:tcPr>
            <w:tcW w:w="2828" w:type="pct"/>
            <w:tcBorders>
              <w:top w:val="single" w:color="auto" w:sz="4" w:space="0"/>
              <w:left w:val="nil"/>
              <w:bottom w:val="single" w:color="auto" w:sz="4" w:space="0"/>
              <w:right w:val="single" w:color="auto" w:sz="4" w:space="0"/>
            </w:tcBorders>
            <w:vAlign w:val="center"/>
          </w:tcPr>
          <w:p w14:paraId="084728F2">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一份粥</w:t>
            </w:r>
            <w:r>
              <w:rPr>
                <w:rFonts w:hint="default" w:ascii="宋体" w:hAnsi="宋体"/>
                <w:kern w:val="0"/>
                <w:sz w:val="24"/>
              </w:rPr>
              <w:t>/豆浆/牛奶+一份粉/面/点心</w:t>
            </w:r>
          </w:p>
        </w:tc>
        <w:tc>
          <w:tcPr>
            <w:tcW w:w="1014" w:type="pct"/>
            <w:tcBorders>
              <w:top w:val="single" w:color="auto" w:sz="4" w:space="0"/>
              <w:left w:val="nil"/>
              <w:bottom w:val="single" w:color="auto" w:sz="4" w:space="0"/>
              <w:right w:val="single" w:color="auto" w:sz="4" w:space="0"/>
            </w:tcBorders>
            <w:vAlign w:val="center"/>
          </w:tcPr>
          <w:p w14:paraId="3C014596">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default" w:ascii="宋体" w:hAnsi="宋体"/>
                <w:kern w:val="0"/>
                <w:sz w:val="24"/>
              </w:rPr>
              <w:t xml:space="preserve">   元/份</w:t>
            </w:r>
          </w:p>
        </w:tc>
      </w:tr>
      <w:tr w14:paraId="0B90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4F51FDF8">
            <w:pPr>
              <w:keepNext w:val="0"/>
              <w:keepLines w:val="0"/>
              <w:widowControl/>
              <w:suppressLineNumbers w:val="0"/>
              <w:spacing w:before="0" w:beforeAutospacing="0" w:after="0" w:afterAutospacing="0"/>
              <w:ind w:left="0" w:right="0"/>
              <w:jc w:val="left"/>
              <w:rPr>
                <w:rFonts w:hint="default" w:ascii="宋体" w:hAnsi="宋体"/>
                <w:kern w:val="0"/>
                <w:sz w:val="24"/>
              </w:rPr>
            </w:pPr>
          </w:p>
        </w:tc>
        <w:tc>
          <w:tcPr>
            <w:tcW w:w="651" w:type="pct"/>
            <w:tcBorders>
              <w:top w:val="single" w:color="auto" w:sz="4" w:space="0"/>
              <w:left w:val="nil"/>
              <w:bottom w:val="single" w:color="auto" w:sz="4" w:space="0"/>
              <w:right w:val="single" w:color="auto" w:sz="4" w:space="0"/>
            </w:tcBorders>
            <w:vAlign w:val="center"/>
          </w:tcPr>
          <w:p w14:paraId="0315E5FD">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eastAsia" w:ascii="宋体" w:hAnsi="宋体"/>
                <w:kern w:val="0"/>
                <w:sz w:val="24"/>
              </w:rPr>
              <w:t>午、晚餐</w:t>
            </w:r>
          </w:p>
        </w:tc>
        <w:tc>
          <w:tcPr>
            <w:tcW w:w="2828" w:type="pct"/>
            <w:tcBorders>
              <w:top w:val="single" w:color="auto" w:sz="4" w:space="0"/>
              <w:left w:val="nil"/>
              <w:bottom w:val="single" w:color="auto" w:sz="4" w:space="0"/>
              <w:right w:val="single" w:color="auto" w:sz="4" w:space="0"/>
            </w:tcBorders>
            <w:vAlign w:val="center"/>
          </w:tcPr>
          <w:p w14:paraId="510FF2F3">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二份肉（肉＞</w:t>
            </w:r>
            <w:r>
              <w:rPr>
                <w:rFonts w:hint="default" w:ascii="宋体" w:hAnsi="宋体"/>
                <w:kern w:val="0"/>
                <w:sz w:val="24"/>
              </w:rPr>
              <w:t>150g/份）、</w:t>
            </w:r>
          </w:p>
          <w:p w14:paraId="488D15EF">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一份小炒（肉＞</w:t>
            </w:r>
            <w:r>
              <w:rPr>
                <w:rFonts w:hint="default" w:ascii="宋体" w:hAnsi="宋体"/>
                <w:kern w:val="0"/>
                <w:sz w:val="24"/>
              </w:rPr>
              <w:t>50g +菜＞100g/份）、</w:t>
            </w:r>
          </w:p>
          <w:p w14:paraId="36231E1E">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一份青菜（＞</w:t>
            </w:r>
            <w:r>
              <w:rPr>
                <w:rFonts w:hint="default" w:ascii="宋体" w:hAnsi="宋体"/>
                <w:kern w:val="0"/>
                <w:sz w:val="24"/>
              </w:rPr>
              <w:t>150g/份）</w:t>
            </w:r>
          </w:p>
          <w:p w14:paraId="2460B579">
            <w:pPr>
              <w:keepNext w:val="0"/>
              <w:keepLines w:val="0"/>
              <w:suppressLineNumbers w:val="0"/>
              <w:spacing w:before="0" w:beforeAutospacing="0" w:after="0" w:afterAutospacing="0" w:line="360" w:lineRule="auto"/>
              <w:ind w:left="0" w:right="0"/>
              <w:rPr>
                <w:rFonts w:hint="default" w:ascii="宋体" w:hAnsi="宋体"/>
                <w:kern w:val="0"/>
                <w:sz w:val="24"/>
              </w:rPr>
            </w:pPr>
            <w:r>
              <w:rPr>
                <w:rFonts w:hint="eastAsia" w:ascii="宋体" w:hAnsi="宋体"/>
                <w:kern w:val="0"/>
                <w:sz w:val="24"/>
              </w:rPr>
              <w:t>一份米饭（＞</w:t>
            </w:r>
            <w:r>
              <w:rPr>
                <w:rFonts w:hint="default" w:ascii="宋体" w:hAnsi="宋体"/>
                <w:kern w:val="0"/>
                <w:sz w:val="24"/>
              </w:rPr>
              <w:t>200g/份）</w:t>
            </w:r>
          </w:p>
        </w:tc>
        <w:tc>
          <w:tcPr>
            <w:tcW w:w="1014" w:type="pct"/>
            <w:tcBorders>
              <w:top w:val="single" w:color="auto" w:sz="4" w:space="0"/>
              <w:left w:val="nil"/>
              <w:bottom w:val="single" w:color="auto" w:sz="4" w:space="0"/>
              <w:right w:val="single" w:color="auto" w:sz="4" w:space="0"/>
            </w:tcBorders>
            <w:vAlign w:val="center"/>
          </w:tcPr>
          <w:p w14:paraId="64321FFF">
            <w:pPr>
              <w:keepNext w:val="0"/>
              <w:keepLines w:val="0"/>
              <w:suppressLineNumbers w:val="0"/>
              <w:spacing w:before="0" w:beforeAutospacing="0" w:after="0" w:afterAutospacing="0" w:line="360" w:lineRule="auto"/>
              <w:ind w:left="0" w:right="0"/>
              <w:jc w:val="center"/>
              <w:rPr>
                <w:rFonts w:hint="default" w:ascii="宋体" w:hAnsi="宋体"/>
                <w:kern w:val="0"/>
                <w:sz w:val="24"/>
              </w:rPr>
            </w:pPr>
            <w:r>
              <w:rPr>
                <w:rFonts w:hint="default" w:ascii="宋体" w:hAnsi="宋体"/>
                <w:kern w:val="0"/>
                <w:sz w:val="24"/>
              </w:rPr>
              <w:t xml:space="preserve">   元/份</w:t>
            </w:r>
          </w:p>
        </w:tc>
      </w:tr>
    </w:tbl>
    <w:p w14:paraId="5FA9A934">
      <w:pPr>
        <w:pStyle w:val="33"/>
        <w:widowControl w:val="0"/>
        <w:spacing w:before="0" w:beforeAutospacing="0" w:after="0" w:afterAutospacing="0" w:line="360" w:lineRule="auto"/>
        <w:ind w:firstLine="480" w:firstLineChars="200"/>
        <w:jc w:val="both"/>
      </w:pPr>
      <w:r>
        <w:t xml:space="preserve"> </w:t>
      </w:r>
    </w:p>
    <w:p w14:paraId="102FE5B8">
      <w:pPr>
        <w:pStyle w:val="33"/>
        <w:widowControl w:val="0"/>
        <w:spacing w:before="0" w:beforeAutospacing="0" w:after="0" w:afterAutospacing="0" w:line="360" w:lineRule="auto"/>
        <w:ind w:firstLine="480" w:firstLineChars="200"/>
        <w:jc w:val="both"/>
      </w:pPr>
      <w:r>
        <w:t>3.合同金额包含但不限于:营养餐设计、</w:t>
      </w:r>
      <w:r>
        <w:rPr>
          <w:rFonts w:hint="eastAsia"/>
        </w:rPr>
        <w:t>食材烹饪、餐品包装、饭餐配送、餐具收拾，餐后卫生、派餐人员管理、售后保障、税金及不可预见费等。</w:t>
      </w:r>
    </w:p>
    <w:p w14:paraId="26956100">
      <w:pPr>
        <w:pStyle w:val="33"/>
        <w:widowControl w:val="0"/>
        <w:spacing w:before="0" w:beforeAutospacing="0" w:after="0" w:afterAutospacing="0" w:line="360" w:lineRule="auto"/>
        <w:ind w:firstLine="480" w:firstLineChars="200"/>
        <w:jc w:val="both"/>
      </w:pPr>
      <w:r>
        <w:t>4.服务期限:自</w:t>
      </w:r>
      <w:r>
        <w:rPr>
          <w:rFonts w:hint="eastAsia"/>
          <w:u w:val="single"/>
          <w:lang w:val="en-US" w:eastAsia="zh-CN"/>
        </w:rPr>
        <w:t xml:space="preserve">    </w:t>
      </w:r>
      <w:r>
        <w:rPr>
          <w:rFonts w:hint="eastAsia"/>
        </w:rPr>
        <w:t>年</w:t>
      </w:r>
      <w:r>
        <w:rPr>
          <w:u w:val="single"/>
        </w:rPr>
        <w:t xml:space="preserve">   </w:t>
      </w:r>
      <w:r>
        <w:rPr>
          <w:rFonts w:hint="eastAsia"/>
        </w:rPr>
        <w:t>月</w:t>
      </w:r>
      <w:r>
        <w:rPr>
          <w:u w:val="single"/>
        </w:rPr>
        <w:t xml:space="preserve">   </w:t>
      </w:r>
      <w:r>
        <w:rPr>
          <w:rFonts w:hint="eastAsia"/>
        </w:rPr>
        <w:t>日起至</w:t>
      </w:r>
      <w:r>
        <w:rPr>
          <w:rFonts w:hint="eastAsia"/>
          <w:u w:val="single"/>
          <w:lang w:val="en-US" w:eastAsia="zh-CN"/>
        </w:rPr>
        <w:t xml:space="preserve">     </w:t>
      </w:r>
      <w:r>
        <w:rPr>
          <w:rFonts w:hint="eastAsia"/>
        </w:rPr>
        <w:t>年</w:t>
      </w:r>
      <w:r>
        <w:rPr>
          <w:u w:val="single"/>
        </w:rPr>
        <w:t xml:space="preserve">   </w:t>
      </w:r>
      <w:r>
        <w:rPr>
          <w:rFonts w:hint="eastAsia"/>
        </w:rPr>
        <w:t>月</w:t>
      </w:r>
      <w:r>
        <w:rPr>
          <w:u w:val="single"/>
        </w:rPr>
        <w:t xml:space="preserve">   </w:t>
      </w:r>
      <w:r>
        <w:rPr>
          <w:rFonts w:hint="eastAsia"/>
        </w:rPr>
        <w:t>日止或合同金额使用完毕则合同结束。</w:t>
      </w:r>
    </w:p>
    <w:p w14:paraId="522ECD22">
      <w:pPr>
        <w:pStyle w:val="33"/>
        <w:widowControl w:val="0"/>
        <w:spacing w:before="0" w:beforeAutospacing="0" w:after="0" w:afterAutospacing="0" w:line="360" w:lineRule="auto"/>
        <w:ind w:firstLine="480" w:firstLineChars="200"/>
        <w:jc w:val="both"/>
        <w:rPr>
          <w:b/>
        </w:rPr>
      </w:pPr>
      <w:r>
        <w:rPr>
          <w:rFonts w:hint="eastAsia"/>
          <w:b/>
        </w:rPr>
        <w:t>二、采购项目要求：</w:t>
      </w:r>
    </w:p>
    <w:p w14:paraId="0662BEF8">
      <w:pPr>
        <w:spacing w:line="360" w:lineRule="auto"/>
        <w:ind w:firstLine="480" w:firstLineChars="200"/>
        <w:rPr>
          <w:rFonts w:ascii="宋体" w:hAnsi="宋体"/>
          <w:sz w:val="24"/>
        </w:rPr>
      </w:pPr>
      <w:r>
        <w:rPr>
          <w:rFonts w:ascii="宋体" w:hAnsi="宋体"/>
          <w:sz w:val="24"/>
        </w:rPr>
        <w:t>1.乙方需有完善的视频监控系统，如“互联网+明厨亮灶”系统，在食品库房、烹饪间、餐饮具清洗消毒间、留样冰箱等重点场所实现互联网+视频</w:t>
      </w:r>
      <w:r>
        <w:rPr>
          <w:rFonts w:hint="eastAsia" w:ascii="宋体" w:hAnsi="宋体"/>
          <w:sz w:val="24"/>
        </w:rPr>
        <w:t>监控全覆盖，主动接受甲方、卫健和市场监管等部门的监督。</w:t>
      </w:r>
    </w:p>
    <w:p w14:paraId="0C0DBCF1">
      <w:pPr>
        <w:spacing w:line="360" w:lineRule="auto"/>
        <w:ind w:firstLine="480" w:firstLineChars="200"/>
        <w:rPr>
          <w:rFonts w:ascii="宋体" w:hAnsi="宋体"/>
          <w:sz w:val="24"/>
        </w:rPr>
      </w:pPr>
      <w:r>
        <w:rPr>
          <w:rFonts w:ascii="宋体" w:hAnsi="宋体"/>
          <w:sz w:val="24"/>
        </w:rPr>
        <w:t>2.乙方具有与制作供应的食品品种、数量相适应的食品原料处理、烹煮、贮存等场所和设施设备，并符合食品安全法律法规规定要求，配备封闭式食品专用运输车辆，供餐能力可满足甲方订餐需求。</w:t>
      </w:r>
    </w:p>
    <w:p w14:paraId="4272DB2F">
      <w:pPr>
        <w:keepNext w:val="0"/>
        <w:keepLines w:val="0"/>
        <w:widowControl w:val="0"/>
        <w:suppressLineNumbers w:val="0"/>
        <w:spacing w:before="0" w:beforeAutospacing="0" w:after="0" w:afterAutospacing="0" w:line="360" w:lineRule="auto"/>
        <w:ind w:left="0" w:right="0" w:firstLine="360" w:firstLineChars="150"/>
        <w:jc w:val="both"/>
        <w:rPr>
          <w:rFonts w:hint="default" w:ascii="宋体" w:hAnsi="宋体"/>
          <w:sz w:val="24"/>
          <w:szCs w:val="21"/>
        </w:rPr>
      </w:pPr>
      <w:r>
        <w:rPr>
          <w:rFonts w:ascii="宋体" w:hAnsi="宋体"/>
          <w:sz w:val="24"/>
        </w:rPr>
        <w:t>3.乙方</w:t>
      </w:r>
      <w:r>
        <w:rPr>
          <w:rFonts w:hint="eastAsia" w:ascii="宋体" w:hAnsi="宋体"/>
          <w:sz w:val="24"/>
          <w:szCs w:val="21"/>
        </w:rPr>
        <w:t>有健全</w:t>
      </w:r>
      <w:r>
        <w:rPr>
          <w:rFonts w:hint="default" w:ascii="宋体" w:hAnsi="宋体"/>
          <w:sz w:val="24"/>
          <w:szCs w:val="21"/>
        </w:rPr>
        <w:t>服务团队:</w:t>
      </w:r>
    </w:p>
    <w:p w14:paraId="3ADFA41D">
      <w:pPr>
        <w:keepNext w:val="0"/>
        <w:keepLines w:val="0"/>
        <w:widowControl w:val="0"/>
        <w:suppressLineNumbers w:val="0"/>
        <w:spacing w:before="0" w:beforeAutospacing="0" w:after="0" w:afterAutospacing="0" w:line="360" w:lineRule="auto"/>
        <w:ind w:left="0" w:right="0" w:firstLine="360" w:firstLineChars="150"/>
        <w:jc w:val="both"/>
        <w:rPr>
          <w:rFonts w:hint="eastAsia" w:ascii="宋体" w:hAnsi="宋体" w:eastAsia="宋体" w:cs="宋体"/>
          <w:bCs/>
          <w:sz w:val="24"/>
          <w:szCs w:val="24"/>
          <w:highlight w:val="none"/>
          <w:lang w:val="en-US"/>
        </w:rPr>
      </w:pPr>
      <w:r>
        <w:rPr>
          <w:rFonts w:hint="default" w:ascii="宋体" w:hAnsi="宋体"/>
          <w:sz w:val="24"/>
          <w:szCs w:val="21"/>
        </w:rPr>
        <w:t>(</w:t>
      </w:r>
      <w:r>
        <w:rPr>
          <w:rFonts w:hint="eastAsia" w:ascii="宋体" w:hAnsi="宋体" w:eastAsia="宋体" w:cs="宋体"/>
          <w:bCs/>
          <w:kern w:val="2"/>
          <w:sz w:val="24"/>
          <w:szCs w:val="24"/>
          <w:lang w:val="en-US" w:eastAsia="zh-CN" w:bidi="ar"/>
        </w:rPr>
        <w:t>1</w:t>
      </w:r>
      <w:r>
        <w:rPr>
          <w:rFonts w:hint="default" w:ascii="宋体" w:hAnsi="宋体" w:cs="宋体"/>
          <w:bCs/>
          <w:kern w:val="2"/>
          <w:sz w:val="24"/>
          <w:szCs w:val="24"/>
          <w:lang w:eastAsia="zh-CN" w:bidi="ar"/>
        </w:rPr>
        <w:t>)</w:t>
      </w:r>
      <w:r>
        <w:rPr>
          <w:rFonts w:hint="eastAsia" w:ascii="宋体" w:hAnsi="宋体" w:eastAsia="宋体" w:cs="宋体"/>
          <w:bCs/>
          <w:kern w:val="2"/>
          <w:sz w:val="24"/>
          <w:szCs w:val="24"/>
          <w:lang w:val="en-US" w:eastAsia="zh-CN" w:bidi="ar"/>
        </w:rPr>
        <w:t>项目负责人：要求大专或以上学历，具有餐饮行业或同类项目工作</w:t>
      </w:r>
      <w:r>
        <w:rPr>
          <w:rFonts w:hint="default" w:ascii="宋体" w:hAnsi="宋体" w:cs="宋体"/>
          <w:bCs/>
          <w:kern w:val="2"/>
          <w:sz w:val="24"/>
          <w:szCs w:val="24"/>
          <w:lang w:eastAsia="zh-CN" w:bidi="ar"/>
        </w:rPr>
        <w:t>3</w:t>
      </w:r>
      <w:r>
        <w:rPr>
          <w:rFonts w:hint="eastAsia" w:ascii="宋体" w:hAnsi="宋体" w:eastAsia="宋体" w:cs="宋体"/>
          <w:bCs/>
          <w:kern w:val="2"/>
          <w:sz w:val="24"/>
          <w:szCs w:val="24"/>
          <w:lang w:val="en-US" w:eastAsia="zh-CN" w:bidi="ar"/>
        </w:rPr>
        <w:t>年以上管理经验</w:t>
      </w:r>
      <w:r>
        <w:rPr>
          <w:rFonts w:hint="eastAsia" w:ascii="宋体" w:hAnsi="宋体" w:eastAsia="宋体" w:cs="宋体"/>
          <w:bCs/>
          <w:kern w:val="2"/>
          <w:sz w:val="24"/>
          <w:szCs w:val="24"/>
          <w:highlight w:val="none"/>
          <w:lang w:val="en-US" w:eastAsia="zh-CN" w:bidi="ar"/>
        </w:rPr>
        <w:t>，具有</w:t>
      </w:r>
      <w:r>
        <w:rPr>
          <w:rFonts w:hint="eastAsia" w:ascii="Times New Roman" w:hAnsi="Times New Roman" w:eastAsia="宋体" w:cs="宋体"/>
          <w:kern w:val="2"/>
          <w:sz w:val="24"/>
          <w:szCs w:val="20"/>
          <w:highlight w:val="none"/>
          <w:lang w:val="en-US" w:eastAsia="zh-CN" w:bidi="ar"/>
        </w:rPr>
        <w:t>政府部门颁发的餐饮服务方面的高级食品安全管理员证（或食品安全管理人员考试合格证明）</w:t>
      </w:r>
      <w:r>
        <w:rPr>
          <w:rFonts w:hint="eastAsia" w:ascii="宋体" w:hAnsi="宋体" w:eastAsia="宋体" w:cs="宋体"/>
          <w:bCs/>
          <w:kern w:val="2"/>
          <w:sz w:val="24"/>
          <w:szCs w:val="24"/>
          <w:highlight w:val="none"/>
          <w:lang w:val="en-US" w:eastAsia="zh-CN" w:bidi="ar"/>
        </w:rPr>
        <w:t>，负责全面管理工作。</w:t>
      </w:r>
    </w:p>
    <w:p w14:paraId="243E5AB8">
      <w:pPr>
        <w:widowControl/>
        <w:spacing w:line="360" w:lineRule="auto"/>
        <w:ind w:firstLine="0" w:firstLineChars="0"/>
        <w:jc w:val="left"/>
        <w:rPr>
          <w:rFonts w:hint="default" w:ascii="宋体" w:hAnsi="宋体" w:eastAsia="宋体" w:cs="宋体"/>
          <w:kern w:val="2"/>
          <w:sz w:val="24"/>
          <w:szCs w:val="24"/>
          <w:highlight w:val="none"/>
          <w:lang w:val="en-US" w:eastAsia="zh-CN" w:bidi="ar"/>
        </w:rPr>
      </w:pPr>
      <w:r>
        <w:rPr>
          <w:rFonts w:hint="default" w:ascii="宋体" w:hAnsi="宋体" w:cs="Times New Roman"/>
          <w:bCs/>
          <w:kern w:val="2"/>
          <w:sz w:val="24"/>
          <w:szCs w:val="24"/>
          <w:highlight w:val="none"/>
          <w:lang w:eastAsia="zh-CN" w:bidi="ar"/>
        </w:rPr>
        <w:t xml:space="preserve">   </w:t>
      </w:r>
      <w:r>
        <w:rPr>
          <w:rFonts w:hint="default" w:ascii="宋体" w:hAnsi="宋体" w:cs="宋体"/>
          <w:bCs/>
          <w:kern w:val="2"/>
          <w:sz w:val="24"/>
          <w:szCs w:val="24"/>
          <w:highlight w:val="none"/>
          <w:lang w:eastAsia="zh-CN" w:bidi="ar"/>
        </w:rPr>
        <w:t>(2</w:t>
      </w:r>
      <w:r>
        <w:rPr>
          <w:rFonts w:hint="default" w:ascii="宋体" w:hAnsi="宋体" w:cs="Times New Roman"/>
          <w:bCs/>
          <w:kern w:val="2"/>
          <w:sz w:val="24"/>
          <w:szCs w:val="24"/>
          <w:highlight w:val="none"/>
          <w:lang w:eastAsia="zh-CN" w:bidi="ar"/>
        </w:rPr>
        <w:t>)</w:t>
      </w:r>
      <w:r>
        <w:rPr>
          <w:rFonts w:hint="eastAsia" w:ascii="宋体" w:hAnsi="宋体" w:eastAsia="宋体" w:cs="Times New Roman"/>
          <w:bCs/>
          <w:kern w:val="2"/>
          <w:sz w:val="24"/>
          <w:szCs w:val="24"/>
          <w:highlight w:val="none"/>
          <w:lang w:val="en-US" w:eastAsia="zh-CN" w:bidi="ar"/>
        </w:rPr>
        <w:t>食品安全管理人员：具有</w:t>
      </w:r>
      <w:r>
        <w:rPr>
          <w:rFonts w:hint="eastAsia" w:ascii="Times New Roman" w:hAnsi="Times New Roman" w:eastAsia="宋体" w:cs="Times New Roman"/>
          <w:kern w:val="2"/>
          <w:sz w:val="24"/>
          <w:szCs w:val="20"/>
          <w:highlight w:val="none"/>
          <w:lang w:val="en-US" w:eastAsia="zh-CN" w:bidi="ar"/>
        </w:rPr>
        <w:t>政府部门颁发的餐饮服务方面的高级食品安全管理员证（或食品安全管理人员考试合格证明），</w:t>
      </w:r>
      <w:r>
        <w:rPr>
          <w:rFonts w:hint="eastAsia" w:ascii="宋体" w:hAnsi="宋体" w:eastAsia="宋体" w:cs="Times New Roman"/>
          <w:bCs/>
          <w:kern w:val="2"/>
          <w:sz w:val="24"/>
          <w:szCs w:val="24"/>
          <w:highlight w:val="none"/>
          <w:lang w:val="en-US" w:eastAsia="zh-CN" w:bidi="ar"/>
        </w:rPr>
        <w:t>负责食品安全管理工作。</w:t>
      </w:r>
      <w:r>
        <w:rPr>
          <w:rFonts w:hint="default" w:ascii="宋体" w:hAnsi="宋体" w:eastAsia="宋体" w:cs="宋体"/>
          <w:kern w:val="2"/>
          <w:sz w:val="24"/>
          <w:szCs w:val="24"/>
          <w:highlight w:val="none"/>
          <w:lang w:val="en-US" w:eastAsia="zh-CN" w:bidi="ar"/>
        </w:rPr>
        <w:t xml:space="preserve"> </w:t>
      </w:r>
    </w:p>
    <w:p w14:paraId="7A93CAB7">
      <w:pPr>
        <w:widowControl/>
        <w:spacing w:line="360" w:lineRule="auto"/>
        <w:ind w:firstLine="0" w:firstLineChars="0"/>
        <w:jc w:val="left"/>
        <w:rPr>
          <w:rFonts w:ascii="宋体" w:hAnsi="宋体"/>
          <w:sz w:val="24"/>
        </w:rPr>
      </w:pPr>
      <w:r>
        <w:rPr>
          <w:rFonts w:hint="default" w:ascii="宋体" w:hAnsi="宋体" w:cs="宋体"/>
          <w:kern w:val="2"/>
          <w:sz w:val="24"/>
          <w:szCs w:val="24"/>
          <w:highlight w:val="none"/>
          <w:lang w:eastAsia="zh-CN" w:bidi="ar"/>
        </w:rPr>
        <w:t xml:space="preserve">   </w:t>
      </w:r>
      <w:r>
        <w:rPr>
          <w:rFonts w:hint="default" w:ascii="宋体" w:hAnsi="宋体" w:cs="宋体"/>
          <w:bCs/>
          <w:kern w:val="2"/>
          <w:sz w:val="24"/>
          <w:szCs w:val="24"/>
          <w:highlight w:val="none"/>
          <w:lang w:eastAsia="zh-CN" w:bidi="ar"/>
        </w:rPr>
        <w:t>(3</w:t>
      </w:r>
      <w:r>
        <w:rPr>
          <w:rFonts w:hint="default" w:ascii="宋体" w:hAnsi="宋体" w:cs="Times New Roman"/>
          <w:bCs/>
          <w:kern w:val="2"/>
          <w:sz w:val="24"/>
          <w:szCs w:val="24"/>
          <w:highlight w:val="none"/>
          <w:lang w:eastAsia="zh-CN" w:bidi="ar"/>
        </w:rPr>
        <w:t>)</w:t>
      </w:r>
      <w:r>
        <w:rPr>
          <w:rFonts w:hint="eastAsia" w:ascii="宋体" w:hAnsi="宋体" w:eastAsia="宋体" w:cs="Times New Roman"/>
          <w:bCs/>
          <w:kern w:val="2"/>
          <w:sz w:val="24"/>
          <w:szCs w:val="24"/>
          <w:highlight w:val="none"/>
          <w:lang w:val="en-US" w:eastAsia="zh-CN" w:bidi="ar"/>
        </w:rPr>
        <w:t>膳食营养管理员：具备国家认可资格的三级或以上公共营养师证书。</w:t>
      </w:r>
    </w:p>
    <w:p w14:paraId="6759BDD9">
      <w:pPr>
        <w:pStyle w:val="33"/>
        <w:widowControl w:val="0"/>
        <w:spacing w:before="0" w:beforeAutospacing="0" w:after="0" w:afterAutospacing="0" w:line="360" w:lineRule="auto"/>
        <w:ind w:firstLine="480" w:firstLineChars="200"/>
        <w:jc w:val="both"/>
      </w:pPr>
      <w:r>
        <w:rPr>
          <w:kern w:val="2"/>
        </w:rPr>
        <w:t>4.乙方应按照《食品安全法》《餐饮服务食品安全操作规范》《餐饮服务通用卫生规范》(GB31654-2021)和《集体用餐配送膳食管理规范(DB4401/T259-2024》</w:t>
      </w:r>
      <w:r>
        <w:rPr>
          <w:rFonts w:hint="eastAsia" w:ascii="宋体" w:hAnsi="宋体" w:eastAsia="宋体" w:cs="Times New Roman"/>
          <w:kern w:val="2"/>
          <w:sz w:val="24"/>
          <w:szCs w:val="21"/>
          <w:lang w:val="en-US" w:eastAsia="zh-CN" w:bidi="ar"/>
        </w:rPr>
        <w:t>等</w:t>
      </w:r>
      <w:r>
        <w:rPr>
          <w:rFonts w:hint="eastAsia" w:ascii="宋体" w:hAnsi="宋体" w:eastAsia="宋体" w:cs="Times New Roman"/>
          <w:kern w:val="2"/>
          <w:sz w:val="24"/>
          <w:szCs w:val="24"/>
          <w:lang w:val="en-US" w:eastAsia="zh-CN" w:bidi="ar"/>
        </w:rPr>
        <w:t>国家法律法规及地方规章要求和采购人实际要求</w:t>
      </w:r>
      <w:r>
        <w:rPr>
          <w:rFonts w:hint="eastAsia" w:ascii="宋体" w:hAnsi="宋体" w:eastAsia="宋体" w:cs="Times New Roman"/>
          <w:kern w:val="2"/>
          <w:sz w:val="24"/>
          <w:szCs w:val="21"/>
          <w:lang w:val="en-US" w:eastAsia="zh-CN" w:bidi="ar"/>
        </w:rPr>
        <w:t>执行膳食加工和配送操作。若各级部门有更新文件或法律法规要求，则按最新文件要求执行。</w:t>
      </w:r>
      <w:r>
        <w:rPr>
          <w:rFonts w:ascii="宋体" w:hAnsi="宋体" w:eastAsia="宋体" w:cs="宋体"/>
          <w:sz w:val="24"/>
          <w:szCs w:val="24"/>
          <w:lang w:eastAsia="zh-CN"/>
        </w:rPr>
        <w:t xml:space="preserve"> </w:t>
      </w:r>
    </w:p>
    <w:p w14:paraId="6C75014A">
      <w:pPr>
        <w:spacing w:line="360" w:lineRule="auto"/>
        <w:ind w:firstLine="480" w:firstLineChars="200"/>
        <w:rPr>
          <w:rFonts w:ascii="宋体" w:hAnsi="宋体"/>
          <w:b/>
          <w:bCs/>
          <w:sz w:val="24"/>
        </w:rPr>
      </w:pPr>
      <w:r>
        <w:rPr>
          <w:rFonts w:hint="eastAsia" w:ascii="宋体" w:hAnsi="宋体"/>
          <w:b/>
          <w:bCs/>
          <w:sz w:val="24"/>
        </w:rPr>
        <w:t>三、管理要求：</w:t>
      </w:r>
    </w:p>
    <w:p w14:paraId="5DECD357">
      <w:pPr>
        <w:pStyle w:val="149"/>
        <w:numPr>
          <w:ilvl w:val="1"/>
          <w:numId w:val="16"/>
        </w:numPr>
        <w:spacing w:line="360" w:lineRule="auto"/>
        <w:ind w:left="0" w:firstLine="567" w:firstLineChars="0"/>
        <w:rPr>
          <w:rFonts w:ascii="宋体" w:hAnsi="宋体"/>
          <w:sz w:val="24"/>
          <w:szCs w:val="24"/>
          <w:highlight w:val="none"/>
        </w:rPr>
      </w:pPr>
      <w:r>
        <w:rPr>
          <w:rFonts w:hint="eastAsia" w:ascii="宋体" w:hAnsi="宋体"/>
          <w:sz w:val="24"/>
          <w:szCs w:val="24"/>
        </w:rPr>
        <w:t>乙方的相关工作人员入职前及每年须进行一次体检并体检合格，持有健康证。工作时间所有工作人员必须规范着装</w:t>
      </w:r>
      <w:r>
        <w:rPr>
          <w:rFonts w:ascii="宋体" w:hAnsi="宋体"/>
          <w:sz w:val="24"/>
          <w:szCs w:val="24"/>
        </w:rPr>
        <w:t>(帽子、口罩、围裙、衣服等)。到甲方指定地方送餐、分餐等服务的工作人员要身份明确、品行端正、身体健康、服务态度诚恳，讲究公共和个人卫生，遵守法规及医院管理制度，要有良好的服务态度并自觉接受监督，不与甲方员工及患者家属发生争吵或冲突，如有违规者，甲方有权追究乙方的责任，工作人员由乙方自行管理，所有工作人员的工资、社会保险、福利待遇、人</w:t>
      </w:r>
      <w:r>
        <w:rPr>
          <w:rFonts w:ascii="宋体" w:hAnsi="宋体"/>
          <w:sz w:val="24"/>
          <w:szCs w:val="24"/>
          <w:highlight w:val="none"/>
        </w:rPr>
        <w:t>员培训、体检、</w:t>
      </w:r>
      <w:r>
        <w:rPr>
          <w:rFonts w:hint="eastAsia" w:ascii="宋体" w:hAnsi="宋体"/>
          <w:sz w:val="24"/>
          <w:szCs w:val="24"/>
          <w:highlight w:val="none"/>
          <w:lang w:val="en-US" w:eastAsia="zh-CN"/>
        </w:rPr>
        <w:t>伤</w:t>
      </w:r>
      <w:r>
        <w:rPr>
          <w:rFonts w:ascii="宋体" w:hAnsi="宋体"/>
          <w:sz w:val="24"/>
          <w:szCs w:val="24"/>
          <w:highlight w:val="none"/>
        </w:rPr>
        <w:t>残疾病等所有费用均由乙方自行承担，甲方不承担任何费用。</w:t>
      </w:r>
    </w:p>
    <w:p w14:paraId="7DD3074D">
      <w:pPr>
        <w:pStyle w:val="149"/>
        <w:numPr>
          <w:ilvl w:val="1"/>
          <w:numId w:val="16"/>
        </w:numPr>
        <w:spacing w:line="360" w:lineRule="auto"/>
        <w:ind w:left="0" w:firstLine="567" w:firstLineChars="0"/>
        <w:rPr>
          <w:rFonts w:ascii="宋体" w:hAnsi="宋体"/>
          <w:sz w:val="24"/>
          <w:szCs w:val="24"/>
          <w:highlight w:val="none"/>
        </w:rPr>
      </w:pPr>
      <w:r>
        <w:rPr>
          <w:rFonts w:hint="default" w:ascii="宋体" w:hAnsi="宋体"/>
          <w:sz w:val="24"/>
          <w:szCs w:val="24"/>
          <w:highlight w:val="none"/>
        </w:rPr>
        <w:t>乙方</w:t>
      </w:r>
      <w:r>
        <w:rPr>
          <w:rFonts w:hint="eastAsia" w:ascii="宋体" w:hAnsi="宋体"/>
          <w:sz w:val="24"/>
          <w:szCs w:val="24"/>
          <w:highlight w:val="none"/>
        </w:rPr>
        <w:t>采用的所有主副食品及配料等必须向有营业或生产资质供货商采购，确保食材安全，必须符合《中华人民共和国食品安全法》、《中华人民共和国动物防疫法》、《食品安全国家标准餐饮服务通用卫生规范》（GB 31654-2021）等相关规定，符合卫生标准和营养要求。与供货者签订供货协议，做好采购索证索票、进货查验和采购记录。按采购人要求提交供货商清单、相应产品合格证明文件、检测报告（含重金属检测项目）等，并配合采购人进行溯源检查。</w:t>
      </w:r>
    </w:p>
    <w:p w14:paraId="0F8B5DA3">
      <w:pPr>
        <w:pStyle w:val="149"/>
        <w:numPr>
          <w:ilvl w:val="1"/>
          <w:numId w:val="16"/>
        </w:numPr>
        <w:spacing w:line="360" w:lineRule="auto"/>
        <w:ind w:left="0" w:firstLine="567" w:firstLineChars="0"/>
        <w:rPr>
          <w:rFonts w:ascii="宋体" w:hAnsi="宋体"/>
          <w:sz w:val="24"/>
          <w:szCs w:val="24"/>
        </w:rPr>
      </w:pPr>
      <w:r>
        <w:rPr>
          <w:rFonts w:hint="eastAsia" w:ascii="宋体" w:hAnsi="宋体"/>
          <w:sz w:val="24"/>
          <w:szCs w:val="24"/>
          <w:highlight w:val="none"/>
        </w:rPr>
        <w:t>乙方每天须对所购原料按食品卫生监督部门要求做好农药残留检验工作，如发生因食用乙方提供的食品导致食物中毒的事故，乙方应承担一切法律及</w:t>
      </w:r>
      <w:r>
        <w:rPr>
          <w:rFonts w:hint="eastAsia" w:ascii="宋体" w:hAnsi="宋体"/>
          <w:sz w:val="24"/>
          <w:szCs w:val="24"/>
        </w:rPr>
        <w:t>经济责任。</w:t>
      </w:r>
    </w:p>
    <w:p w14:paraId="07E957BA">
      <w:pPr>
        <w:pStyle w:val="149"/>
        <w:numPr>
          <w:ilvl w:val="1"/>
          <w:numId w:val="16"/>
        </w:numPr>
        <w:spacing w:line="360" w:lineRule="auto"/>
        <w:ind w:left="0" w:firstLine="567" w:firstLineChars="0"/>
        <w:rPr>
          <w:rFonts w:ascii="宋体" w:hAnsi="宋体"/>
          <w:sz w:val="24"/>
          <w:szCs w:val="24"/>
        </w:rPr>
      </w:pPr>
      <w:r>
        <w:rPr>
          <w:rFonts w:hint="eastAsia" w:ascii="宋体" w:hAnsi="宋体"/>
          <w:sz w:val="24"/>
          <w:szCs w:val="24"/>
        </w:rPr>
        <w:t>乙方提供的配餐应当符合“安全，卫生，营养，健康”的服务标准。乙方应根据甲方就餐人群特殊性和营养需要制定膳食计划，并根据膳食计划制定每周带量食谱膳食计划和每周食谱应当于正式配餐前报送甲方审核同意，并按食谱规定足额提供配餐。</w:t>
      </w:r>
    </w:p>
    <w:p w14:paraId="76BE2C2E">
      <w:pPr>
        <w:pStyle w:val="149"/>
        <w:numPr>
          <w:ilvl w:val="1"/>
          <w:numId w:val="16"/>
        </w:numPr>
        <w:spacing w:line="360" w:lineRule="auto"/>
        <w:ind w:left="0" w:firstLine="567" w:firstLineChars="0"/>
        <w:rPr>
          <w:rFonts w:ascii="宋体" w:hAnsi="宋体"/>
          <w:sz w:val="24"/>
          <w:szCs w:val="24"/>
        </w:rPr>
      </w:pPr>
      <w:r>
        <w:rPr>
          <w:rFonts w:hint="eastAsia" w:ascii="宋体" w:hAnsi="宋体"/>
          <w:sz w:val="24"/>
          <w:szCs w:val="24"/>
        </w:rPr>
        <w:t>乙方建立营养健康管理制度，配备营养健康管理人员，制作各种食品，应注重色、香、味美，做到饭热菜香、新鲜可口足量、营养搭配科学合理。乙方应当保证配餐食品的质量，饭菜必须当天一次性煮熟并保温，不得加工隔餐剩余食品，不得配送冷荤凉菜食品。</w:t>
      </w:r>
    </w:p>
    <w:p w14:paraId="5C114783">
      <w:pPr>
        <w:pStyle w:val="149"/>
        <w:numPr>
          <w:ilvl w:val="1"/>
          <w:numId w:val="16"/>
        </w:numPr>
        <w:spacing w:line="360" w:lineRule="auto"/>
        <w:ind w:left="0" w:firstLine="567" w:firstLineChars="0"/>
        <w:rPr>
          <w:rFonts w:ascii="宋体" w:hAnsi="宋体"/>
          <w:sz w:val="24"/>
          <w:szCs w:val="24"/>
        </w:rPr>
      </w:pPr>
      <w:r>
        <w:rPr>
          <w:rFonts w:hint="eastAsia" w:ascii="宋体" w:hAnsi="宋体"/>
          <w:sz w:val="24"/>
          <w:szCs w:val="24"/>
        </w:rPr>
        <w:t>乙方应具有与制作供应的食品品种、数量相适应的食品原料处理、烹饪、贮存等场所和设施设备，并符合食品安全法律法规规定要求。应当做好食物中毒或者其他食源性疾患，以及因交通、卫生、天气等原因不能按时送达配餐等突发事件的应急预案，确保甲方的员工及病患家属及时得到餐饮供应。</w:t>
      </w:r>
    </w:p>
    <w:p w14:paraId="22C49AE6">
      <w:pPr>
        <w:pStyle w:val="149"/>
        <w:numPr>
          <w:ilvl w:val="1"/>
          <w:numId w:val="16"/>
        </w:numPr>
        <w:spacing w:line="360" w:lineRule="auto"/>
        <w:ind w:left="0" w:firstLine="567" w:firstLineChars="0"/>
        <w:rPr>
          <w:rFonts w:ascii="宋体" w:hAnsi="宋体"/>
          <w:sz w:val="24"/>
          <w:szCs w:val="24"/>
        </w:rPr>
      </w:pPr>
      <w:r>
        <w:rPr>
          <w:rFonts w:hint="eastAsia" w:ascii="宋体" w:hAnsi="宋体"/>
          <w:sz w:val="24"/>
          <w:szCs w:val="24"/>
        </w:rPr>
        <w:t>乙方内部管理必须严格执行《食品安全法》的各项条款，并接受卫生监督部门的督查，配餐工作人员必须按照《食品安全法》的相关规定进行培训，掌握有关食品卫生的基本要求，并取得有效的健康证明方可上岗服务(定期进行健康检查，发现患有发热、呕吐、腹泻、严重炎症等病症及皮肤有伤口或者感染的从业人员，不得从事接触直接入口食品的工作，杜绝从业人员带病上岗污染食物)。应有健全的病媒生物防制措施。</w:t>
      </w:r>
    </w:p>
    <w:p w14:paraId="6027CA0B">
      <w:pPr>
        <w:pStyle w:val="149"/>
        <w:numPr>
          <w:ilvl w:val="1"/>
          <w:numId w:val="16"/>
        </w:numPr>
        <w:spacing w:line="360" w:lineRule="auto"/>
        <w:ind w:left="0" w:firstLine="567" w:firstLineChars="0"/>
        <w:rPr>
          <w:rFonts w:ascii="宋体" w:hAnsi="宋体"/>
          <w:sz w:val="24"/>
          <w:szCs w:val="24"/>
        </w:rPr>
      </w:pPr>
      <w:r>
        <w:rPr>
          <w:rFonts w:hint="eastAsia" w:ascii="宋体" w:hAnsi="宋体"/>
          <w:sz w:val="24"/>
          <w:szCs w:val="24"/>
        </w:rPr>
        <w:t>乙方须具有良好的社会信誉，能承担食品安全责任。乙方负责购买食品安全责任险，手续办理和费用交纳均由乙方自行负责，并将该保险合同复印件作为签署项目合同的附件装订，否则将视为虚假承诺，甲方有权拒签或解除合同，由此引发的所有损失由乙方负责</w:t>
      </w:r>
      <w:r>
        <w:rPr>
          <w:rFonts w:hint="default" w:ascii="宋体" w:hAnsi="宋体"/>
          <w:sz w:val="24"/>
          <w:szCs w:val="24"/>
        </w:rPr>
        <w:t>，并须</w:t>
      </w:r>
      <w:r>
        <w:rPr>
          <w:rFonts w:hint="eastAsia" w:ascii="宋体" w:hAnsi="宋体" w:eastAsia="宋体" w:cs="Times New Roman"/>
          <w:kern w:val="2"/>
          <w:sz w:val="24"/>
          <w:szCs w:val="21"/>
          <w:lang w:val="en-US" w:eastAsia="zh-CN" w:bidi="ar"/>
        </w:rPr>
        <w:t>应向</w:t>
      </w:r>
      <w:r>
        <w:rPr>
          <w:rFonts w:hint="default" w:ascii="宋体" w:hAnsi="宋体" w:cs="Times New Roman"/>
          <w:kern w:val="2"/>
          <w:sz w:val="24"/>
          <w:szCs w:val="21"/>
          <w:lang w:eastAsia="zh-CN" w:bidi="ar"/>
        </w:rPr>
        <w:t>甲方</w:t>
      </w:r>
      <w:r>
        <w:rPr>
          <w:rFonts w:hint="eastAsia" w:ascii="宋体" w:hAnsi="宋体" w:eastAsia="宋体" w:cs="Times New Roman"/>
          <w:kern w:val="2"/>
          <w:sz w:val="24"/>
          <w:szCs w:val="21"/>
          <w:lang w:val="en-US" w:eastAsia="zh-CN" w:bidi="ar"/>
        </w:rPr>
        <w:t>支付2万元作为违约金</w:t>
      </w:r>
      <w:r>
        <w:rPr>
          <w:rFonts w:ascii="宋体" w:hAnsi="宋体" w:eastAsia="宋体" w:cs="宋体"/>
          <w:sz w:val="24"/>
          <w:szCs w:val="24"/>
          <w:lang w:eastAsia="zh-CN"/>
        </w:rPr>
        <w:t xml:space="preserve"> </w:t>
      </w:r>
      <w:r>
        <w:rPr>
          <w:rFonts w:hint="eastAsia" w:ascii="宋体" w:hAnsi="宋体"/>
          <w:sz w:val="24"/>
          <w:szCs w:val="24"/>
        </w:rPr>
        <w:t>。</w:t>
      </w:r>
    </w:p>
    <w:p w14:paraId="5C465F3F">
      <w:pPr>
        <w:pStyle w:val="149"/>
        <w:numPr>
          <w:ilvl w:val="1"/>
          <w:numId w:val="16"/>
        </w:numPr>
        <w:spacing w:line="360" w:lineRule="auto"/>
        <w:ind w:left="0" w:firstLine="567" w:firstLineChars="0"/>
        <w:rPr>
          <w:rFonts w:ascii="宋体" w:hAnsi="宋体"/>
          <w:sz w:val="24"/>
          <w:szCs w:val="24"/>
        </w:rPr>
      </w:pPr>
      <w:r>
        <w:rPr>
          <w:rFonts w:hint="eastAsia" w:ascii="宋体" w:hAnsi="宋体"/>
          <w:sz w:val="24"/>
          <w:szCs w:val="24"/>
        </w:rPr>
        <w:t>配餐车辆要求</w:t>
      </w:r>
      <w:r>
        <w:rPr>
          <w:rFonts w:ascii="宋体" w:hAnsi="宋体"/>
          <w:sz w:val="24"/>
          <w:szCs w:val="24"/>
        </w:rPr>
        <w:t>:乙方在获得中标资格后，必须按采购文件要求及投标文件响应情况配备送餐车辆(车辆尾部为密封车厢，保证食品运送安全)。</w:t>
      </w:r>
    </w:p>
    <w:p w14:paraId="178DBF76">
      <w:pPr>
        <w:pStyle w:val="149"/>
        <w:numPr>
          <w:ilvl w:val="1"/>
          <w:numId w:val="16"/>
        </w:numPr>
        <w:spacing w:line="360" w:lineRule="auto"/>
        <w:ind w:left="0" w:firstLine="567" w:firstLineChars="0"/>
        <w:rPr>
          <w:rFonts w:ascii="宋体" w:hAnsi="宋体"/>
          <w:sz w:val="24"/>
          <w:szCs w:val="24"/>
        </w:rPr>
      </w:pPr>
      <w:r>
        <w:rPr>
          <w:rFonts w:hint="eastAsia" w:ascii="宋体" w:hAnsi="宋体"/>
          <w:bCs/>
          <w:sz w:val="24"/>
          <w:szCs w:val="24"/>
        </w:rPr>
        <w:t>乙方在获得中标资格后，</w:t>
      </w:r>
      <w:r>
        <w:rPr>
          <w:rFonts w:hint="eastAsia" w:ascii="宋体" w:hAnsi="宋体"/>
          <w:sz w:val="24"/>
          <w:szCs w:val="24"/>
        </w:rPr>
        <w:t>不得私自转让或委托他人经营送餐，一经发现甲方有权单方面终止合同，并给予经济处罚或诉诸法律。</w:t>
      </w:r>
    </w:p>
    <w:p w14:paraId="6244C819">
      <w:pPr>
        <w:pStyle w:val="149"/>
        <w:spacing w:line="360" w:lineRule="auto"/>
        <w:ind w:left="567" w:firstLine="482"/>
        <w:rPr>
          <w:rFonts w:ascii="宋体" w:hAnsi="宋体"/>
          <w:sz w:val="24"/>
          <w:szCs w:val="24"/>
        </w:rPr>
      </w:pPr>
      <w:r>
        <w:rPr>
          <w:rFonts w:hint="eastAsia" w:ascii="宋体" w:hAnsi="宋体"/>
          <w:b/>
          <w:bCs/>
          <w:sz w:val="24"/>
          <w:szCs w:val="24"/>
        </w:rPr>
        <w:t>四、服务要求</w:t>
      </w:r>
    </w:p>
    <w:p w14:paraId="0B3B4894">
      <w:pPr>
        <w:pStyle w:val="149"/>
        <w:numPr>
          <w:ilvl w:val="3"/>
          <w:numId w:val="17"/>
        </w:numPr>
        <w:spacing w:line="360" w:lineRule="auto"/>
        <w:ind w:left="0" w:firstLine="567" w:firstLineChars="0"/>
        <w:rPr>
          <w:rFonts w:ascii="宋体" w:hAnsi="宋体"/>
          <w:sz w:val="24"/>
          <w:szCs w:val="24"/>
        </w:rPr>
      </w:pPr>
      <w:r>
        <w:rPr>
          <w:rFonts w:hint="eastAsia" w:ascii="宋体" w:hAnsi="宋体"/>
          <w:sz w:val="24"/>
          <w:szCs w:val="24"/>
        </w:rPr>
        <w:t>乙方在项目运营期间必须保证每天提供早餐、午餐、晚餐及应急供餐等餐饮服务。餐品配送到指定地点后，乙方需协助甲方共同完成分餐工作，并做好餐余垃圾及用后餐具的清理工作。</w:t>
      </w:r>
    </w:p>
    <w:p w14:paraId="08816E2A">
      <w:pPr>
        <w:pStyle w:val="149"/>
        <w:numPr>
          <w:ilvl w:val="3"/>
          <w:numId w:val="17"/>
        </w:numPr>
        <w:spacing w:line="360" w:lineRule="auto"/>
        <w:ind w:left="0" w:firstLine="567" w:firstLineChars="0"/>
        <w:rPr>
          <w:rFonts w:ascii="宋体" w:hAnsi="宋体"/>
          <w:sz w:val="24"/>
          <w:szCs w:val="24"/>
        </w:rPr>
      </w:pPr>
      <w:r>
        <w:rPr>
          <w:rFonts w:hint="eastAsia" w:ascii="宋体" w:hAnsi="宋体"/>
          <w:sz w:val="24"/>
          <w:szCs w:val="24"/>
        </w:rPr>
        <w:t>供餐时间要求：</w:t>
      </w:r>
      <w:r>
        <w:rPr>
          <w:rFonts w:hint="eastAsia" w:ascii="宋体" w:hAnsi="宋体"/>
          <w:sz w:val="24"/>
          <w:szCs w:val="21"/>
        </w:rPr>
        <w:t>早餐：06:45</w:t>
      </w:r>
      <w:r>
        <w:rPr>
          <w:rFonts w:ascii="宋体" w:hAnsi="宋体"/>
          <w:sz w:val="24"/>
          <w:szCs w:val="21"/>
        </w:rPr>
        <w:t>-7</w:t>
      </w:r>
      <w:r>
        <w:rPr>
          <w:rFonts w:hint="eastAsia" w:ascii="宋体" w:hAnsi="宋体"/>
          <w:sz w:val="24"/>
          <w:szCs w:val="21"/>
        </w:rPr>
        <w:t>:1</w:t>
      </w:r>
      <w:r>
        <w:rPr>
          <w:rFonts w:ascii="宋体" w:hAnsi="宋体"/>
          <w:sz w:val="24"/>
          <w:szCs w:val="21"/>
        </w:rPr>
        <w:t>5</w:t>
      </w:r>
      <w:r>
        <w:rPr>
          <w:rFonts w:hint="eastAsia" w:ascii="宋体" w:hAnsi="宋体"/>
          <w:sz w:val="24"/>
          <w:szCs w:val="21"/>
        </w:rPr>
        <w:t>，午餐：10:30</w:t>
      </w:r>
      <w:r>
        <w:rPr>
          <w:rFonts w:ascii="宋体" w:hAnsi="宋体"/>
          <w:sz w:val="24"/>
          <w:szCs w:val="21"/>
        </w:rPr>
        <w:t>-11</w:t>
      </w:r>
      <w:r>
        <w:rPr>
          <w:rFonts w:hint="eastAsia" w:ascii="宋体" w:hAnsi="宋体"/>
          <w:sz w:val="24"/>
          <w:szCs w:val="21"/>
        </w:rPr>
        <w:t>:3</w:t>
      </w:r>
      <w:r>
        <w:rPr>
          <w:rFonts w:ascii="宋体" w:hAnsi="宋体"/>
          <w:sz w:val="24"/>
          <w:szCs w:val="21"/>
        </w:rPr>
        <w:t>0</w:t>
      </w:r>
      <w:r>
        <w:rPr>
          <w:rFonts w:hint="eastAsia" w:ascii="宋体" w:hAnsi="宋体"/>
          <w:sz w:val="24"/>
          <w:szCs w:val="21"/>
        </w:rPr>
        <w:t>，晚餐：16:30</w:t>
      </w:r>
      <w:r>
        <w:rPr>
          <w:rFonts w:ascii="宋体" w:hAnsi="宋体"/>
          <w:sz w:val="24"/>
          <w:szCs w:val="21"/>
        </w:rPr>
        <w:t>-17</w:t>
      </w:r>
      <w:r>
        <w:rPr>
          <w:rFonts w:hint="eastAsia" w:ascii="宋体" w:hAnsi="宋体"/>
          <w:sz w:val="24"/>
          <w:szCs w:val="21"/>
        </w:rPr>
        <w:t>:3</w:t>
      </w:r>
      <w:r>
        <w:rPr>
          <w:rFonts w:ascii="宋体" w:hAnsi="宋体"/>
          <w:sz w:val="24"/>
          <w:szCs w:val="21"/>
        </w:rPr>
        <w:t>0；并</w:t>
      </w:r>
      <w:r>
        <w:rPr>
          <w:rFonts w:ascii="宋体" w:hAnsi="宋体"/>
          <w:sz w:val="24"/>
          <w:szCs w:val="24"/>
        </w:rPr>
        <w:t>每餐次在1小时内完成全部餐品配送服务。如出现漏送、</w:t>
      </w:r>
      <w:r>
        <w:rPr>
          <w:rFonts w:hint="eastAsia" w:ascii="宋体" w:hAnsi="宋体"/>
          <w:sz w:val="24"/>
          <w:szCs w:val="24"/>
        </w:rPr>
        <w:t>错送情况，乙方必须在</w:t>
      </w:r>
      <w:r>
        <w:rPr>
          <w:rFonts w:ascii="宋体" w:hAnsi="宋体"/>
          <w:sz w:val="24"/>
          <w:szCs w:val="24"/>
        </w:rPr>
        <w:t>30分钟内完成补送工作。</w:t>
      </w:r>
    </w:p>
    <w:p w14:paraId="7D02C307">
      <w:pPr>
        <w:pStyle w:val="149"/>
        <w:numPr>
          <w:ilvl w:val="3"/>
          <w:numId w:val="17"/>
        </w:numPr>
        <w:spacing w:line="360" w:lineRule="auto"/>
        <w:ind w:left="0" w:firstLine="567" w:firstLineChars="0"/>
        <w:rPr>
          <w:rFonts w:ascii="宋体" w:hAnsi="宋体"/>
          <w:sz w:val="24"/>
          <w:szCs w:val="24"/>
        </w:rPr>
      </w:pPr>
      <w:r>
        <w:rPr>
          <w:rFonts w:hint="eastAsia" w:ascii="宋体" w:hAnsi="宋体"/>
          <w:sz w:val="24"/>
          <w:szCs w:val="24"/>
        </w:rPr>
        <w:t>如因乙方原因未按时</w:t>
      </w:r>
      <w:r>
        <w:rPr>
          <w:rFonts w:ascii="宋体" w:hAnsi="宋体"/>
          <w:sz w:val="24"/>
          <w:szCs w:val="24"/>
        </w:rPr>
        <w:t>(超过30分钟)送餐而影响甲方正常诊疗工作或者出现病人投诉事件的须扣除当前</w:t>
      </w:r>
      <w:r>
        <w:rPr>
          <w:rFonts w:hint="eastAsia" w:ascii="宋体" w:hAnsi="宋体"/>
          <w:sz w:val="24"/>
          <w:szCs w:val="24"/>
        </w:rPr>
        <w:t>餐费，发生</w:t>
      </w:r>
      <w:r>
        <w:rPr>
          <w:rFonts w:ascii="宋体" w:hAnsi="宋体"/>
          <w:sz w:val="24"/>
          <w:szCs w:val="24"/>
        </w:rPr>
        <w:t>3次或以上，甲方有权单方面解除合同，取消乙方供餐资格。乙方须向</w:t>
      </w:r>
      <w:r>
        <w:rPr>
          <w:rFonts w:hint="default" w:ascii="宋体" w:hAnsi="宋体"/>
          <w:sz w:val="24"/>
          <w:szCs w:val="21"/>
        </w:rPr>
        <w:t>甲方</w:t>
      </w:r>
      <w:r>
        <w:rPr>
          <w:rFonts w:hint="eastAsia" w:ascii="宋体" w:hAnsi="宋体"/>
          <w:sz w:val="24"/>
          <w:szCs w:val="21"/>
        </w:rPr>
        <w:t>支付</w:t>
      </w:r>
      <w:r>
        <w:rPr>
          <w:rFonts w:hint="default" w:ascii="宋体" w:hAnsi="宋体"/>
          <w:sz w:val="24"/>
          <w:szCs w:val="21"/>
        </w:rPr>
        <w:t>2万元</w:t>
      </w:r>
      <w:r>
        <w:rPr>
          <w:rFonts w:ascii="宋体" w:hAnsi="宋体"/>
          <w:sz w:val="24"/>
          <w:szCs w:val="21"/>
        </w:rPr>
        <w:t>作为违约金</w:t>
      </w:r>
      <w:r>
        <w:rPr>
          <w:rFonts w:hint="eastAsia" w:ascii="宋体" w:hAnsi="宋体"/>
          <w:sz w:val="24"/>
          <w:szCs w:val="24"/>
        </w:rPr>
        <w:t>。甲方如临时有应急配餐需求的，经与乙方商议后另行确定配送时间。</w:t>
      </w:r>
    </w:p>
    <w:p w14:paraId="2DF3ADA8">
      <w:pPr>
        <w:pStyle w:val="149"/>
        <w:numPr>
          <w:ilvl w:val="3"/>
          <w:numId w:val="17"/>
        </w:numPr>
        <w:spacing w:line="360" w:lineRule="auto"/>
        <w:ind w:left="0" w:firstLine="567" w:firstLineChars="0"/>
        <w:rPr>
          <w:rFonts w:ascii="宋体" w:hAnsi="宋体"/>
          <w:sz w:val="24"/>
          <w:szCs w:val="24"/>
        </w:rPr>
      </w:pPr>
      <w:r>
        <w:rPr>
          <w:rFonts w:hint="eastAsia" w:ascii="宋体" w:hAnsi="宋体"/>
          <w:sz w:val="24"/>
          <w:szCs w:val="24"/>
        </w:rPr>
        <w:t>餐饮标准：按合同中标单价及餐饮标准</w:t>
      </w:r>
      <w:r>
        <w:rPr>
          <w:rFonts w:hint="default" w:ascii="宋体" w:hAnsi="宋体"/>
          <w:sz w:val="24"/>
          <w:szCs w:val="24"/>
        </w:rPr>
        <w:t>执行</w:t>
      </w:r>
      <w:r>
        <w:rPr>
          <w:rFonts w:hint="eastAsia" w:ascii="宋体" w:hAnsi="宋体"/>
          <w:sz w:val="24"/>
          <w:szCs w:val="24"/>
        </w:rPr>
        <w:t>。</w:t>
      </w:r>
    </w:p>
    <w:p w14:paraId="127DFA6A">
      <w:pPr>
        <w:pStyle w:val="149"/>
        <w:numPr>
          <w:ilvl w:val="3"/>
          <w:numId w:val="17"/>
        </w:numPr>
        <w:spacing w:line="360" w:lineRule="auto"/>
        <w:ind w:left="0" w:firstLine="567" w:firstLineChars="0"/>
        <w:rPr>
          <w:rFonts w:ascii="宋体" w:hAnsi="宋体"/>
          <w:sz w:val="24"/>
          <w:szCs w:val="24"/>
        </w:rPr>
      </w:pPr>
      <w:r>
        <w:rPr>
          <w:rFonts w:hint="eastAsia" w:ascii="宋体" w:hAnsi="宋体"/>
          <w:sz w:val="24"/>
          <w:szCs w:val="24"/>
        </w:rPr>
        <w:t>乙方应按餐饮标准足额提供配餐，各套餐售价不得高于相应限价，餐品在符合餐饮标准的基础上可提供多元化的菜式。</w:t>
      </w:r>
    </w:p>
    <w:p w14:paraId="1E2A1320">
      <w:pPr>
        <w:pStyle w:val="149"/>
        <w:numPr>
          <w:ilvl w:val="3"/>
          <w:numId w:val="17"/>
        </w:numPr>
        <w:spacing w:line="360" w:lineRule="auto"/>
        <w:ind w:left="0" w:firstLine="567" w:firstLineChars="0"/>
        <w:rPr>
          <w:rFonts w:ascii="宋体" w:hAnsi="宋体"/>
          <w:sz w:val="24"/>
          <w:szCs w:val="24"/>
        </w:rPr>
      </w:pPr>
      <w:r>
        <w:rPr>
          <w:rFonts w:hint="eastAsia" w:ascii="宋体" w:hAnsi="宋体"/>
          <w:sz w:val="24"/>
          <w:szCs w:val="24"/>
        </w:rPr>
        <w:t>乙方提供订餐平台，平台系统操作简单、方便快捷，具有饭餐品种介绍、订餐（含送餐地点、时间、菜品）、交费、退订、退费以及意反馈、投诉、满意度调查等功能。乙方应设立专人管理</w:t>
      </w:r>
      <w:r>
        <w:rPr>
          <w:rFonts w:ascii="宋体" w:hAnsi="宋体"/>
          <w:sz w:val="24"/>
          <w:szCs w:val="24"/>
        </w:rPr>
        <w:t>(包括不限于订、退订、月结算等工作)。若乙方提供的电子订餐平台未能满足实际使用需求，乙方须根据实际甲方需求完善相关软、硬件设施的维保、升级和设备增购等。相关餐费由用餐人直接向乙方支付。乙方应开通甲方平台管理的订餐数据查阅权限，用于甲方对账。</w:t>
      </w:r>
    </w:p>
    <w:p w14:paraId="537CC8AE">
      <w:pPr>
        <w:pStyle w:val="149"/>
        <w:numPr>
          <w:ilvl w:val="3"/>
          <w:numId w:val="17"/>
        </w:numPr>
        <w:spacing w:line="360" w:lineRule="auto"/>
        <w:ind w:left="0" w:firstLine="567" w:firstLineChars="0"/>
        <w:rPr>
          <w:rFonts w:ascii="宋体" w:hAnsi="宋体"/>
          <w:sz w:val="24"/>
          <w:szCs w:val="24"/>
        </w:rPr>
      </w:pPr>
      <w:r>
        <w:rPr>
          <w:rFonts w:hint="eastAsia" w:ascii="宋体" w:hAnsi="宋体"/>
          <w:sz w:val="24"/>
          <w:szCs w:val="24"/>
        </w:rPr>
        <w:t>乙方</w:t>
      </w:r>
      <w:r>
        <w:rPr>
          <w:rFonts w:hint="default" w:ascii="宋体" w:hAnsi="宋体"/>
          <w:sz w:val="24"/>
          <w:szCs w:val="24"/>
        </w:rPr>
        <w:t>须</w:t>
      </w:r>
      <w:r>
        <w:rPr>
          <w:rFonts w:hint="eastAsia" w:ascii="宋体" w:hAnsi="宋体"/>
          <w:sz w:val="24"/>
          <w:szCs w:val="24"/>
        </w:rPr>
        <w:t>具备应对突发事件的能力，并提供应急措施</w:t>
      </w:r>
      <w:r>
        <w:rPr>
          <w:rFonts w:hint="default" w:ascii="宋体" w:hAnsi="宋体"/>
          <w:sz w:val="24"/>
          <w:szCs w:val="24"/>
        </w:rPr>
        <w:t>，包括但不限于</w:t>
      </w:r>
      <w:r>
        <w:rPr>
          <w:rFonts w:hint="eastAsia" w:ascii="宋体" w:hAnsi="宋体"/>
          <w:sz w:val="24"/>
          <w:szCs w:val="24"/>
        </w:rPr>
        <w:t>食物中毒或者其他食源性疾患、医院封闭、因交通、卫生、天气等原因影响送餐突发事件</w:t>
      </w:r>
      <w:r>
        <w:rPr>
          <w:rFonts w:hint="eastAsia" w:ascii="宋体" w:hAnsi="宋体" w:eastAsia="宋体" w:cs="Times New Roman"/>
          <w:kern w:val="2"/>
          <w:sz w:val="24"/>
          <w:szCs w:val="21"/>
          <w:lang w:val="en-US" w:eastAsia="zh-CN" w:bidi="ar"/>
        </w:rPr>
        <w:t>等</w:t>
      </w:r>
      <w:r>
        <w:rPr>
          <w:rFonts w:hint="eastAsia" w:ascii="宋体" w:hAnsi="宋体"/>
          <w:sz w:val="24"/>
          <w:szCs w:val="24"/>
        </w:rPr>
        <w:t>应急预案，确保甲方及时得到餐品供应。配送食品出现变质变味等质量问题的，应当全部收回并销毁</w:t>
      </w:r>
      <w:r>
        <w:rPr>
          <w:rFonts w:ascii="宋体" w:hAnsi="宋体"/>
          <w:sz w:val="24"/>
          <w:szCs w:val="24"/>
        </w:rPr>
        <w:t>,采取紧急措施供应配餐，甲方</w:t>
      </w:r>
      <w:r>
        <w:rPr>
          <w:rFonts w:hint="eastAsia" w:ascii="宋体" w:hAnsi="宋体"/>
          <w:sz w:val="24"/>
          <w:szCs w:val="24"/>
        </w:rPr>
        <w:t>有权按情节严重程度扣罚1000元至1万元。</w:t>
      </w:r>
    </w:p>
    <w:p w14:paraId="706CC7CD">
      <w:pPr>
        <w:pStyle w:val="149"/>
        <w:spacing w:line="360" w:lineRule="auto"/>
        <w:ind w:left="567" w:firstLine="482"/>
        <w:rPr>
          <w:rFonts w:ascii="宋体" w:hAnsi="宋体"/>
          <w:b/>
          <w:sz w:val="24"/>
          <w:szCs w:val="24"/>
        </w:rPr>
      </w:pPr>
      <w:r>
        <w:rPr>
          <w:rFonts w:hint="eastAsia" w:ascii="宋体" w:hAnsi="宋体"/>
          <w:b/>
          <w:sz w:val="24"/>
          <w:szCs w:val="24"/>
        </w:rPr>
        <w:t>五、食品安全要求</w:t>
      </w:r>
    </w:p>
    <w:p w14:paraId="0664AC0F">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乙方提供符合食用标准的餐具供甲方的员工和患者家属就餐使用。</w:t>
      </w:r>
    </w:p>
    <w:p w14:paraId="44F849FB">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乙方必须按营养菜谱为用餐人员提供高蛋白、营养均衡的各类菜肴，使用的米、食油、调味料等要符合国家安全标准</w:t>
      </w:r>
      <w:r>
        <w:rPr>
          <w:rFonts w:ascii="宋体" w:hAnsi="宋体"/>
          <w:sz w:val="24"/>
          <w:szCs w:val="24"/>
        </w:rPr>
        <w:t>,外包装有安全标识，并实施溯源管理。</w:t>
      </w:r>
    </w:p>
    <w:p w14:paraId="04D9594F">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必须遵守国家规定的卫生管理条例，严格执行《食品安全法》和《动物检疫法》，保证供应新鲜的肉、蔬菜等食品，若发现乙方供应变质食品的，甲方有权取消其配送资格，并承担由此造成的经济责任和法律责任。</w:t>
      </w:r>
    </w:p>
    <w:p w14:paraId="3BADF987">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乙方每天须对所购原料按食品卫生监督部门要求做好农药残留检验工作，如发生因食用乙方提供的食品导致腹泻、食物中毒等事故，乙方承担一切法律责任。</w:t>
      </w:r>
    </w:p>
    <w:p w14:paraId="216336A9">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乙方应当按规定提供食品留样，食品留样应记录留样食品名称、留样时间</w:t>
      </w:r>
      <w:r>
        <w:rPr>
          <w:rFonts w:ascii="宋体" w:hAnsi="宋体"/>
          <w:sz w:val="24"/>
          <w:szCs w:val="24"/>
        </w:rPr>
        <w:t>(月、日、时)、留样人员等情况，在专用冷藏设备0℃~8℃条件下存放48小时以上，每个品种的留样量应满足检验检测需要，且不少于125g，以备追索与查验。</w:t>
      </w:r>
    </w:p>
    <w:p w14:paraId="27F9F33E">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不得采购、加工和使用法律、法规和规章规定的禁止经营或者不符合食品安全标准的食品、食品添加剂、食品相关产品。不得外购熟食、凉菜，不得加工制作四季豆、鲜黄花菜、野生蘑菇、发芽土豆等高风险食品，不得提供冷荤类食品、生食类、三明治、凉皮、裱花及冷加工蛋糕等食品。</w:t>
      </w:r>
    </w:p>
    <w:p w14:paraId="434EFCE5">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乙方应保证当天所有餐次的出品都是当天制作，如经第三方检测确因乙方的餐品质量和食品安全出现问题，造成甲方食品安全事故的，甲方有权立即解除合同</w:t>
      </w:r>
      <w:r>
        <w:rPr>
          <w:rFonts w:hint="default" w:ascii="宋体" w:hAnsi="宋体"/>
          <w:sz w:val="24"/>
          <w:szCs w:val="24"/>
        </w:rPr>
        <w:t>，</w:t>
      </w:r>
      <w:r>
        <w:rPr>
          <w:rFonts w:hint="eastAsia" w:ascii="宋体" w:hAnsi="宋体"/>
          <w:sz w:val="24"/>
          <w:szCs w:val="24"/>
        </w:rPr>
        <w:t>所有的法律责任和经济损失由乙方承担，</w:t>
      </w:r>
      <w:r>
        <w:rPr>
          <w:rFonts w:hint="default" w:ascii="宋体" w:hAnsi="宋体"/>
          <w:sz w:val="24"/>
          <w:szCs w:val="21"/>
        </w:rPr>
        <w:t>且乙方须向甲方</w:t>
      </w:r>
      <w:r>
        <w:rPr>
          <w:rFonts w:hint="eastAsia" w:ascii="宋体" w:hAnsi="宋体"/>
          <w:sz w:val="24"/>
          <w:szCs w:val="21"/>
        </w:rPr>
        <w:t>支付</w:t>
      </w:r>
      <w:r>
        <w:rPr>
          <w:rFonts w:hint="default" w:ascii="宋体" w:hAnsi="宋体"/>
          <w:sz w:val="24"/>
          <w:szCs w:val="21"/>
        </w:rPr>
        <w:t>2万元</w:t>
      </w:r>
      <w:r>
        <w:rPr>
          <w:rFonts w:ascii="宋体" w:hAnsi="宋体"/>
          <w:sz w:val="24"/>
          <w:szCs w:val="21"/>
        </w:rPr>
        <w:t>作为违约金</w:t>
      </w:r>
      <w:r>
        <w:rPr>
          <w:rFonts w:hint="eastAsia" w:ascii="宋体" w:hAnsi="宋体"/>
          <w:sz w:val="24"/>
          <w:szCs w:val="24"/>
        </w:rPr>
        <w:t>。</w:t>
      </w:r>
    </w:p>
    <w:p w14:paraId="3B502605">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乙方需配合做好与原乙方的交接工作。</w:t>
      </w:r>
    </w:p>
    <w:p w14:paraId="0AB096A7">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乙方的工作人员须服从甲方协调管理，并配合医院做好各项应急供餐和上级交办餐饮相关任务。</w:t>
      </w:r>
    </w:p>
    <w:p w14:paraId="0E918D69">
      <w:pPr>
        <w:pStyle w:val="149"/>
        <w:numPr>
          <w:ilvl w:val="3"/>
          <w:numId w:val="18"/>
        </w:numPr>
        <w:spacing w:line="360" w:lineRule="auto"/>
        <w:ind w:left="0" w:firstLine="567" w:firstLineChars="0"/>
        <w:rPr>
          <w:rFonts w:ascii="宋体" w:hAnsi="宋体"/>
          <w:sz w:val="24"/>
          <w:szCs w:val="24"/>
        </w:rPr>
      </w:pPr>
      <w:r>
        <w:rPr>
          <w:rFonts w:hint="eastAsia" w:ascii="宋体" w:hAnsi="宋体"/>
          <w:sz w:val="24"/>
          <w:szCs w:val="24"/>
        </w:rPr>
        <w:t>乙方需严格执行乙方的食品安全等各项医院管理制度及工作要求，如违反上述制度或要求经甲方书面警告仍拒不整改或整改不到位的，甲方有权终止合同，且对甲方造成财产或声誉损害的，乙方应承担赔偿责任</w:t>
      </w:r>
      <w:r>
        <w:rPr>
          <w:rFonts w:hint="eastAsia" w:ascii="宋体" w:hAnsi="宋体"/>
          <w:sz w:val="24"/>
        </w:rPr>
        <w:t>，</w:t>
      </w:r>
      <w:r>
        <w:rPr>
          <w:rFonts w:hint="default" w:ascii="宋体" w:hAnsi="宋体"/>
          <w:sz w:val="24"/>
        </w:rPr>
        <w:t>并须</w:t>
      </w:r>
      <w:r>
        <w:rPr>
          <w:rFonts w:hint="eastAsia" w:ascii="宋体" w:hAnsi="宋体" w:eastAsia="宋体" w:cs="Times New Roman"/>
          <w:kern w:val="2"/>
          <w:sz w:val="24"/>
          <w:szCs w:val="21"/>
          <w:lang w:val="en-US" w:eastAsia="zh-CN" w:bidi="ar"/>
        </w:rPr>
        <w:t>向</w:t>
      </w:r>
      <w:r>
        <w:rPr>
          <w:rFonts w:hint="default" w:ascii="宋体" w:hAnsi="宋体" w:cs="Times New Roman"/>
          <w:kern w:val="2"/>
          <w:sz w:val="24"/>
          <w:szCs w:val="21"/>
          <w:lang w:eastAsia="zh-CN" w:bidi="ar"/>
        </w:rPr>
        <w:t>甲方</w:t>
      </w:r>
      <w:r>
        <w:rPr>
          <w:rFonts w:hint="eastAsia" w:ascii="宋体" w:hAnsi="宋体" w:eastAsia="宋体" w:cs="Times New Roman"/>
          <w:kern w:val="2"/>
          <w:sz w:val="24"/>
          <w:szCs w:val="21"/>
          <w:lang w:val="en-US" w:eastAsia="zh-CN" w:bidi="ar"/>
        </w:rPr>
        <w:t>支付2万元作为违约金</w:t>
      </w:r>
      <w:r>
        <w:rPr>
          <w:rFonts w:ascii="宋体" w:hAnsi="宋体" w:eastAsia="宋体" w:cs="宋体"/>
          <w:sz w:val="24"/>
          <w:szCs w:val="24"/>
          <w:lang w:eastAsia="zh-CN"/>
        </w:rPr>
        <w:t xml:space="preserve"> </w:t>
      </w:r>
      <w:r>
        <w:rPr>
          <w:rFonts w:hint="eastAsia" w:ascii="宋体" w:hAnsi="宋体"/>
          <w:sz w:val="24"/>
          <w:szCs w:val="24"/>
        </w:rPr>
        <w:t>。</w:t>
      </w:r>
    </w:p>
    <w:p w14:paraId="6CD1FE26">
      <w:pPr>
        <w:pStyle w:val="149"/>
        <w:spacing w:line="360" w:lineRule="auto"/>
        <w:ind w:left="420" w:firstLine="482"/>
        <w:rPr>
          <w:rFonts w:ascii="宋体" w:hAnsi="宋体"/>
          <w:b/>
          <w:sz w:val="24"/>
          <w:szCs w:val="24"/>
        </w:rPr>
      </w:pPr>
      <w:r>
        <w:rPr>
          <w:rFonts w:hint="eastAsia" w:ascii="宋体" w:hAnsi="宋体"/>
          <w:b/>
          <w:bCs/>
          <w:sz w:val="24"/>
          <w:szCs w:val="24"/>
        </w:rPr>
        <w:t>六、配送要求</w:t>
      </w:r>
    </w:p>
    <w:p w14:paraId="4F0CB38B">
      <w:pPr>
        <w:pStyle w:val="107"/>
        <w:numPr>
          <w:ilvl w:val="0"/>
          <w:numId w:val="19"/>
        </w:numPr>
        <w:spacing w:line="360" w:lineRule="auto"/>
        <w:ind w:firstLineChars="0"/>
        <w:rPr>
          <w:rFonts w:ascii="宋体" w:hAnsi="宋体"/>
          <w:bCs/>
          <w:sz w:val="24"/>
          <w:szCs w:val="21"/>
        </w:rPr>
      </w:pPr>
      <w:r>
        <w:rPr>
          <w:rFonts w:hint="eastAsia" w:ascii="宋体" w:hAnsi="宋体"/>
          <w:sz w:val="24"/>
          <w:szCs w:val="21"/>
        </w:rPr>
        <w:t>★</w:t>
      </w:r>
      <w:r>
        <w:rPr>
          <w:rFonts w:hint="eastAsia" w:ascii="宋体" w:hAnsi="宋体"/>
          <w:bCs/>
          <w:sz w:val="24"/>
          <w:szCs w:val="21"/>
        </w:rPr>
        <w:t>配餐车辆要求：</w:t>
      </w:r>
      <w:r>
        <w:rPr>
          <w:rFonts w:hint="default" w:ascii="宋体" w:hAnsi="宋体"/>
          <w:bCs/>
          <w:sz w:val="24"/>
          <w:szCs w:val="21"/>
        </w:rPr>
        <w:t>乙方</w:t>
      </w:r>
      <w:r>
        <w:rPr>
          <w:rFonts w:hint="eastAsia" w:ascii="宋体" w:hAnsi="宋体"/>
          <w:bCs/>
          <w:sz w:val="24"/>
          <w:szCs w:val="21"/>
        </w:rPr>
        <w:t>在获得中标资格后，必须配备专用送餐车辆(车辆尾部为密封车厢，保证食品运送安全</w:t>
      </w:r>
      <w:r>
        <w:rPr>
          <w:rFonts w:hint="default" w:ascii="宋体" w:hAnsi="宋体"/>
          <w:bCs/>
          <w:sz w:val="24"/>
          <w:szCs w:val="21"/>
        </w:rPr>
        <w:t>）。</w:t>
      </w:r>
      <w:r>
        <w:rPr>
          <w:rFonts w:hint="eastAsia" w:ascii="宋体" w:hAnsi="宋体"/>
          <w:bCs/>
          <w:sz w:val="24"/>
          <w:szCs w:val="21"/>
        </w:rPr>
        <w:t>供应商不得私自转让或委托他人经营送餐，一经发现采购人有权单方面终止合同，并给予经济处罚或诉诸法律，且</w:t>
      </w:r>
      <w:r>
        <w:rPr>
          <w:rFonts w:hint="default" w:ascii="宋体" w:hAnsi="宋体"/>
          <w:bCs/>
          <w:sz w:val="24"/>
          <w:szCs w:val="21"/>
        </w:rPr>
        <w:t>乙方</w:t>
      </w:r>
      <w:r>
        <w:rPr>
          <w:rFonts w:hint="eastAsia" w:ascii="宋体" w:hAnsi="宋体"/>
          <w:sz w:val="24"/>
          <w:szCs w:val="21"/>
        </w:rPr>
        <w:t>应向</w:t>
      </w:r>
      <w:r>
        <w:rPr>
          <w:rFonts w:hint="default" w:ascii="宋体" w:hAnsi="宋体"/>
          <w:sz w:val="24"/>
          <w:szCs w:val="21"/>
        </w:rPr>
        <w:t>甲方</w:t>
      </w:r>
      <w:r>
        <w:rPr>
          <w:rFonts w:hint="eastAsia" w:ascii="宋体" w:hAnsi="宋体"/>
          <w:sz w:val="24"/>
          <w:szCs w:val="21"/>
        </w:rPr>
        <w:t>支付2万元作为违约金。</w:t>
      </w:r>
    </w:p>
    <w:p w14:paraId="022E2801">
      <w:pPr>
        <w:pStyle w:val="107"/>
        <w:numPr>
          <w:ilvl w:val="0"/>
          <w:numId w:val="19"/>
        </w:numPr>
        <w:spacing w:line="360" w:lineRule="auto"/>
        <w:ind w:firstLineChars="0"/>
        <w:rPr>
          <w:rFonts w:ascii="宋体" w:hAnsi="宋体"/>
          <w:bCs/>
          <w:sz w:val="24"/>
          <w:szCs w:val="21"/>
        </w:rPr>
      </w:pPr>
      <w:r>
        <w:rPr>
          <w:rFonts w:hint="eastAsia" w:ascii="宋体" w:hAnsi="宋体"/>
          <w:bCs/>
          <w:sz w:val="24"/>
          <w:szCs w:val="21"/>
        </w:rPr>
        <w:t>食品运输需采用符合卫生标准的外包装和运载工具，保证运输工具的清洁卫生无污染，做到每天按时清洁和消毒。运输车厢的内仓，包括地面、墙面和车顶，应使用抗腐蚀、防潮，易清洁消毒的材料。</w:t>
      </w:r>
      <w:r>
        <w:rPr>
          <w:rFonts w:hint="default" w:ascii="宋体" w:hAnsi="宋体"/>
          <w:bCs/>
          <w:sz w:val="24"/>
          <w:szCs w:val="21"/>
        </w:rPr>
        <w:t>乙方</w:t>
      </w:r>
      <w:r>
        <w:rPr>
          <w:rFonts w:hint="eastAsia" w:ascii="宋体" w:hAnsi="宋体"/>
          <w:bCs/>
          <w:sz w:val="24"/>
          <w:szCs w:val="21"/>
        </w:rPr>
        <w:t>应保证车厢内无不良气体和异味；运输途中严防日晒、雨淋，注意通风散热，并严防车辆机械损伤，车厢内食品堆放科学合理，避免造成食品的交叉污染。送餐人员应当保持个人卫生。</w:t>
      </w:r>
    </w:p>
    <w:p w14:paraId="0E4FED41">
      <w:pPr>
        <w:pStyle w:val="107"/>
        <w:numPr>
          <w:ilvl w:val="0"/>
          <w:numId w:val="19"/>
        </w:numPr>
        <w:spacing w:line="360" w:lineRule="auto"/>
        <w:ind w:firstLineChars="0"/>
        <w:rPr>
          <w:rFonts w:ascii="宋体" w:hAnsi="宋体"/>
          <w:bCs/>
          <w:sz w:val="24"/>
          <w:szCs w:val="21"/>
        </w:rPr>
      </w:pPr>
      <w:r>
        <w:rPr>
          <w:rFonts w:hint="eastAsia" w:ascii="宋体" w:hAnsi="宋体"/>
          <w:bCs/>
          <w:sz w:val="24"/>
          <w:szCs w:val="21"/>
        </w:rPr>
        <w:t>食品配送过程的温度等条件应当符合食品安全要求，所有配送的食物要煮熟煮透，优化配送时间，确保餐食到达</w:t>
      </w:r>
      <w:r>
        <w:rPr>
          <w:rFonts w:hint="default" w:ascii="宋体" w:hAnsi="宋体"/>
          <w:bCs/>
          <w:sz w:val="24"/>
          <w:szCs w:val="21"/>
        </w:rPr>
        <w:t>甲方</w:t>
      </w:r>
      <w:r>
        <w:rPr>
          <w:rFonts w:hint="eastAsia" w:ascii="宋体" w:hAnsi="宋体"/>
          <w:bCs/>
          <w:sz w:val="24"/>
          <w:szCs w:val="21"/>
        </w:rPr>
        <w:t>指定地点时的中心温度达60℃以上，食品从制作完成到食用时间间隔不得超过4个小时。</w:t>
      </w:r>
    </w:p>
    <w:p w14:paraId="12CDE55C">
      <w:pPr>
        <w:pStyle w:val="107"/>
        <w:numPr>
          <w:ilvl w:val="0"/>
          <w:numId w:val="19"/>
        </w:numPr>
        <w:spacing w:line="360" w:lineRule="auto"/>
        <w:ind w:firstLineChars="0"/>
        <w:rPr>
          <w:rFonts w:ascii="宋体" w:hAnsi="宋体"/>
          <w:bCs/>
          <w:sz w:val="24"/>
          <w:szCs w:val="21"/>
        </w:rPr>
      </w:pPr>
      <w:r>
        <w:rPr>
          <w:rFonts w:hint="eastAsia" w:ascii="宋体" w:hAnsi="宋体"/>
          <w:bCs/>
          <w:sz w:val="24"/>
          <w:szCs w:val="21"/>
        </w:rPr>
        <w:t>包装必须与运输方式相适应，包装及运输等费用均由</w:t>
      </w:r>
      <w:r>
        <w:rPr>
          <w:rFonts w:hint="default" w:ascii="宋体" w:hAnsi="宋体"/>
          <w:bCs/>
          <w:sz w:val="24"/>
          <w:szCs w:val="21"/>
        </w:rPr>
        <w:t>乙方</w:t>
      </w:r>
      <w:r>
        <w:rPr>
          <w:rFonts w:hint="eastAsia" w:ascii="宋体" w:hAnsi="宋体"/>
          <w:bCs/>
          <w:sz w:val="24"/>
          <w:szCs w:val="21"/>
        </w:rPr>
        <w:t>负责，由于包装面造成餐盒在运输过程中有任何损坏、丢失由</w:t>
      </w:r>
      <w:r>
        <w:rPr>
          <w:rFonts w:hint="default" w:ascii="宋体" w:hAnsi="宋体"/>
          <w:bCs/>
          <w:sz w:val="24"/>
          <w:szCs w:val="21"/>
        </w:rPr>
        <w:t>乙方</w:t>
      </w:r>
      <w:r>
        <w:rPr>
          <w:rFonts w:hint="eastAsia" w:ascii="宋体" w:hAnsi="宋体"/>
          <w:bCs/>
          <w:sz w:val="24"/>
          <w:szCs w:val="21"/>
        </w:rPr>
        <w:t>负责。</w:t>
      </w:r>
    </w:p>
    <w:p w14:paraId="085F39A5">
      <w:pPr>
        <w:pStyle w:val="107"/>
        <w:numPr>
          <w:ilvl w:val="0"/>
          <w:numId w:val="19"/>
        </w:numPr>
        <w:spacing w:line="360" w:lineRule="auto"/>
        <w:ind w:firstLineChars="0"/>
        <w:rPr>
          <w:rFonts w:ascii="宋体" w:hAnsi="宋体"/>
          <w:bCs/>
          <w:sz w:val="24"/>
          <w:szCs w:val="21"/>
        </w:rPr>
      </w:pPr>
      <w:r>
        <w:rPr>
          <w:rFonts w:hint="eastAsia" w:ascii="宋体" w:hAnsi="宋体"/>
          <w:bCs/>
          <w:sz w:val="24"/>
          <w:szCs w:val="21"/>
        </w:rPr>
        <w:t>中央厨房配送的食品,应在包装或者容器上标注中央厨房信息,以及食品名称,加工时间、保存条件、保存期限/食用时限,并提醒用餐人员收到后尽快食用。</w:t>
      </w:r>
    </w:p>
    <w:p w14:paraId="054AAF6E">
      <w:pPr>
        <w:pStyle w:val="149"/>
        <w:spacing w:line="360" w:lineRule="auto"/>
        <w:ind w:left="420" w:firstLine="482"/>
        <w:rPr>
          <w:rFonts w:ascii="宋体" w:hAnsi="宋体"/>
          <w:b/>
          <w:bCs/>
          <w:sz w:val="24"/>
          <w:szCs w:val="24"/>
        </w:rPr>
      </w:pPr>
      <w:r>
        <w:rPr>
          <w:rFonts w:hint="eastAsia" w:ascii="宋体" w:hAnsi="宋体"/>
          <w:b/>
          <w:bCs/>
          <w:sz w:val="24"/>
          <w:szCs w:val="24"/>
        </w:rPr>
        <w:t>七、项目验收</w:t>
      </w:r>
    </w:p>
    <w:p w14:paraId="45F08FBD">
      <w:pPr>
        <w:spacing w:line="360" w:lineRule="auto"/>
        <w:ind w:firstLine="480" w:firstLineChars="200"/>
        <w:rPr>
          <w:rFonts w:ascii="宋体" w:hAnsi="宋体"/>
          <w:sz w:val="24"/>
        </w:rPr>
      </w:pPr>
      <w:r>
        <w:rPr>
          <w:rFonts w:hint="eastAsia" w:ascii="宋体" w:hAnsi="宋体"/>
          <w:bCs/>
          <w:sz w:val="24"/>
        </w:rPr>
        <w:t>甲方组成验收小组，按照采购合同规定的技术、服务、管理、质量考评要求，组织对中标人进行实地考察（食品卫生质量、价格成本、环境卫生、安全生产和用工情况等情况）进行验收，并出具验收报告。</w:t>
      </w:r>
    </w:p>
    <w:p w14:paraId="2A84D20D">
      <w:pPr>
        <w:spacing w:line="360" w:lineRule="auto"/>
        <w:ind w:firstLine="480" w:firstLineChars="200"/>
        <w:rPr>
          <w:rFonts w:ascii="宋体" w:hAnsi="宋体"/>
          <w:b/>
          <w:bCs/>
          <w:sz w:val="24"/>
        </w:rPr>
      </w:pPr>
      <w:r>
        <w:rPr>
          <w:rFonts w:hint="eastAsia" w:ascii="宋体" w:hAnsi="宋体"/>
          <w:b/>
          <w:bCs/>
          <w:sz w:val="24"/>
        </w:rPr>
        <w:t>八、监督管理</w:t>
      </w:r>
    </w:p>
    <w:p w14:paraId="6E2377A1">
      <w:pPr>
        <w:pStyle w:val="107"/>
        <w:numPr>
          <w:ilvl w:val="0"/>
          <w:numId w:val="20"/>
        </w:numPr>
        <w:spacing w:line="360" w:lineRule="auto"/>
        <w:ind w:firstLineChars="0"/>
        <w:rPr>
          <w:rFonts w:ascii="宋体" w:hAnsi="宋体"/>
          <w:sz w:val="24"/>
          <w:szCs w:val="21"/>
          <w:highlight w:val="none"/>
        </w:rPr>
      </w:pPr>
      <w:r>
        <w:rPr>
          <w:rFonts w:hint="eastAsia" w:ascii="宋体" w:hAnsi="宋体"/>
          <w:sz w:val="24"/>
          <w:szCs w:val="21"/>
        </w:rPr>
        <w:t>★</w:t>
      </w:r>
      <w:r>
        <w:rPr>
          <w:rFonts w:hint="default" w:ascii="宋体" w:hAnsi="宋体"/>
          <w:sz w:val="24"/>
          <w:szCs w:val="21"/>
        </w:rPr>
        <w:t>甲方</w:t>
      </w:r>
      <w:r>
        <w:rPr>
          <w:rFonts w:hint="eastAsia" w:ascii="宋体" w:hAnsi="宋体"/>
          <w:sz w:val="24"/>
          <w:szCs w:val="21"/>
        </w:rPr>
        <w:t>成立由食品安全工作小组，定期按照合同中有关评价条款对供餐单位开展考核评价，向</w:t>
      </w:r>
      <w:r>
        <w:rPr>
          <w:rFonts w:hint="default" w:ascii="宋体" w:hAnsi="宋体"/>
          <w:sz w:val="24"/>
          <w:szCs w:val="21"/>
        </w:rPr>
        <w:t>乙方</w:t>
      </w:r>
      <w:r>
        <w:rPr>
          <w:rFonts w:hint="eastAsia" w:ascii="宋体" w:hAnsi="宋体"/>
          <w:sz w:val="24"/>
          <w:szCs w:val="21"/>
        </w:rPr>
        <w:t>通报考核评价结果，及时反馈问题并督促其落实整改。</w:t>
      </w:r>
      <w:r>
        <w:rPr>
          <w:rFonts w:hint="default" w:ascii="宋体" w:hAnsi="宋体"/>
          <w:sz w:val="24"/>
          <w:szCs w:val="21"/>
        </w:rPr>
        <w:t>乙方</w:t>
      </w:r>
      <w:r>
        <w:rPr>
          <w:rFonts w:hint="eastAsia" w:ascii="宋体" w:hAnsi="宋体"/>
          <w:sz w:val="24"/>
          <w:szCs w:val="21"/>
        </w:rPr>
        <w:t>对落实食品安全主体责任不到位，存在以下情况的，</w:t>
      </w:r>
      <w:r>
        <w:rPr>
          <w:rFonts w:hint="default" w:ascii="宋体" w:hAnsi="宋体"/>
          <w:sz w:val="24"/>
          <w:szCs w:val="21"/>
        </w:rPr>
        <w:t>甲方</w:t>
      </w:r>
      <w:r>
        <w:rPr>
          <w:rFonts w:hint="eastAsia" w:ascii="宋体" w:hAnsi="宋体"/>
          <w:sz w:val="24"/>
          <w:szCs w:val="21"/>
        </w:rPr>
        <w:t>有权终止合同，</w:t>
      </w:r>
      <w:r>
        <w:rPr>
          <w:rFonts w:hint="default" w:ascii="宋体" w:hAnsi="宋体"/>
          <w:sz w:val="24"/>
          <w:szCs w:val="21"/>
        </w:rPr>
        <w:t>乙方</w:t>
      </w:r>
      <w:r>
        <w:rPr>
          <w:rFonts w:hint="eastAsia" w:ascii="宋体" w:hAnsi="宋体"/>
          <w:sz w:val="24"/>
          <w:szCs w:val="21"/>
          <w:highlight w:val="none"/>
        </w:rPr>
        <w:t>应向</w:t>
      </w:r>
      <w:r>
        <w:rPr>
          <w:rFonts w:hint="default" w:ascii="宋体" w:hAnsi="宋体"/>
          <w:sz w:val="24"/>
          <w:szCs w:val="21"/>
          <w:highlight w:val="none"/>
        </w:rPr>
        <w:t>甲方</w:t>
      </w:r>
      <w:r>
        <w:rPr>
          <w:rFonts w:hint="eastAsia" w:ascii="宋体" w:hAnsi="宋体"/>
          <w:sz w:val="24"/>
          <w:szCs w:val="21"/>
          <w:highlight w:val="none"/>
        </w:rPr>
        <w:t>支付合同价</w:t>
      </w:r>
      <w:r>
        <w:rPr>
          <w:rFonts w:hint="default" w:ascii="宋体" w:hAnsi="宋体"/>
          <w:sz w:val="24"/>
          <w:szCs w:val="21"/>
          <w:highlight w:val="none"/>
        </w:rPr>
        <w:t>1</w:t>
      </w:r>
      <w:r>
        <w:rPr>
          <w:rFonts w:ascii="宋体" w:hAnsi="宋体"/>
          <w:sz w:val="24"/>
          <w:szCs w:val="21"/>
          <w:highlight w:val="none"/>
        </w:rPr>
        <w:t>0%</w:t>
      </w:r>
      <w:r>
        <w:rPr>
          <w:rFonts w:hint="eastAsia" w:ascii="宋体" w:hAnsi="宋体"/>
          <w:sz w:val="24"/>
          <w:szCs w:val="21"/>
          <w:highlight w:val="none"/>
        </w:rPr>
        <w:t>作为违约金，报告属地市场监管、行政部门。</w:t>
      </w:r>
    </w:p>
    <w:p w14:paraId="474E6D9E">
      <w:pPr>
        <w:pStyle w:val="107"/>
        <w:numPr>
          <w:ilvl w:val="0"/>
          <w:numId w:val="21"/>
        </w:numPr>
        <w:spacing w:line="360" w:lineRule="auto"/>
        <w:ind w:firstLineChars="0"/>
        <w:rPr>
          <w:rFonts w:ascii="宋体" w:hAnsi="宋体"/>
          <w:sz w:val="24"/>
          <w:szCs w:val="21"/>
        </w:rPr>
      </w:pPr>
      <w:r>
        <w:rPr>
          <w:rFonts w:hint="eastAsia" w:ascii="宋体" w:hAnsi="宋体"/>
          <w:sz w:val="24"/>
          <w:szCs w:val="21"/>
        </w:rPr>
        <w:t>食品经营许可证超过有效期的(如国家或当地另有政策规定人适用其执行)。</w:t>
      </w:r>
    </w:p>
    <w:p w14:paraId="061DE48B">
      <w:pPr>
        <w:pStyle w:val="107"/>
        <w:numPr>
          <w:ilvl w:val="0"/>
          <w:numId w:val="21"/>
        </w:numPr>
        <w:spacing w:line="360" w:lineRule="auto"/>
        <w:ind w:firstLineChars="0"/>
        <w:rPr>
          <w:rFonts w:ascii="宋体" w:hAnsi="宋体"/>
          <w:sz w:val="24"/>
          <w:szCs w:val="21"/>
        </w:rPr>
      </w:pPr>
      <w:r>
        <w:rPr>
          <w:rFonts w:hint="eastAsia" w:ascii="宋体" w:hAnsi="宋体"/>
          <w:sz w:val="24"/>
          <w:szCs w:val="21"/>
        </w:rPr>
        <w:t>发生较大或以上食品安全事故的。</w:t>
      </w:r>
    </w:p>
    <w:p w14:paraId="538EBB18">
      <w:pPr>
        <w:pStyle w:val="107"/>
        <w:numPr>
          <w:ilvl w:val="0"/>
          <w:numId w:val="21"/>
        </w:numPr>
        <w:spacing w:line="360" w:lineRule="auto"/>
        <w:ind w:firstLineChars="0"/>
        <w:rPr>
          <w:rFonts w:ascii="宋体" w:hAnsi="宋体"/>
          <w:sz w:val="24"/>
          <w:szCs w:val="21"/>
        </w:rPr>
      </w:pPr>
      <w:r>
        <w:rPr>
          <w:rFonts w:hint="eastAsia" w:ascii="宋体" w:hAnsi="宋体"/>
          <w:sz w:val="24"/>
          <w:szCs w:val="21"/>
        </w:rPr>
        <w:t>因食品安全问题引发较大或以上舆情事件的。</w:t>
      </w:r>
    </w:p>
    <w:p w14:paraId="6DFA9030">
      <w:pPr>
        <w:pStyle w:val="107"/>
        <w:numPr>
          <w:ilvl w:val="0"/>
          <w:numId w:val="21"/>
        </w:numPr>
        <w:spacing w:line="360" w:lineRule="auto"/>
        <w:ind w:firstLineChars="0"/>
        <w:rPr>
          <w:rFonts w:ascii="宋体" w:hAnsi="宋体"/>
          <w:sz w:val="24"/>
          <w:szCs w:val="21"/>
        </w:rPr>
      </w:pPr>
      <w:r>
        <w:rPr>
          <w:rFonts w:hint="eastAsia" w:ascii="宋体" w:hAnsi="宋体"/>
          <w:sz w:val="24"/>
          <w:szCs w:val="21"/>
        </w:rPr>
        <w:t>因违反《中华人民共和国食品安全法》及其实施条例等法律法规，一年内累计受到2次或以上行政处罚的。</w:t>
      </w:r>
    </w:p>
    <w:p w14:paraId="7216F988">
      <w:pPr>
        <w:pStyle w:val="107"/>
        <w:numPr>
          <w:ilvl w:val="0"/>
          <w:numId w:val="21"/>
        </w:numPr>
        <w:spacing w:line="360" w:lineRule="auto"/>
        <w:ind w:firstLineChars="0"/>
        <w:rPr>
          <w:rFonts w:ascii="宋体" w:hAnsi="宋体"/>
          <w:sz w:val="24"/>
          <w:szCs w:val="21"/>
        </w:rPr>
      </w:pPr>
      <w:r>
        <w:rPr>
          <w:rFonts w:hint="eastAsia" w:ascii="宋体" w:hAnsi="宋体"/>
          <w:sz w:val="24"/>
          <w:szCs w:val="21"/>
        </w:rPr>
        <w:t>因存在重大食品安全隐患受到市场监管部门或人力资源社会保障通报的。</w:t>
      </w:r>
    </w:p>
    <w:p w14:paraId="2880BB57">
      <w:pPr>
        <w:pStyle w:val="107"/>
        <w:numPr>
          <w:ilvl w:val="0"/>
          <w:numId w:val="21"/>
        </w:numPr>
        <w:spacing w:line="360" w:lineRule="auto"/>
        <w:ind w:firstLineChars="0"/>
        <w:rPr>
          <w:rFonts w:ascii="宋体" w:hAnsi="宋体"/>
          <w:sz w:val="24"/>
          <w:szCs w:val="21"/>
        </w:rPr>
      </w:pPr>
      <w:r>
        <w:rPr>
          <w:rFonts w:hint="eastAsia" w:ascii="宋体" w:hAnsi="宋体"/>
          <w:sz w:val="24"/>
          <w:szCs w:val="21"/>
        </w:rPr>
        <w:t>发生转包、分包行为，或擅自更换履约人、变更供餐生产地址等其他违反法律法规或供餐服务合同行为的。</w:t>
      </w:r>
    </w:p>
    <w:p w14:paraId="004F67A4">
      <w:pPr>
        <w:pStyle w:val="107"/>
        <w:numPr>
          <w:ilvl w:val="0"/>
          <w:numId w:val="21"/>
        </w:numPr>
        <w:spacing w:line="360" w:lineRule="auto"/>
        <w:ind w:firstLineChars="0"/>
        <w:rPr>
          <w:rFonts w:ascii="宋体" w:hAnsi="宋体"/>
          <w:sz w:val="24"/>
          <w:szCs w:val="21"/>
        </w:rPr>
      </w:pPr>
      <w:r>
        <w:rPr>
          <w:rFonts w:hint="eastAsia" w:ascii="宋体" w:hAnsi="宋体"/>
          <w:sz w:val="24"/>
          <w:szCs w:val="21"/>
        </w:rPr>
        <w:t>出现未按供餐服务合同约定建立相关制度或执行制度不力、经营管理混乱降低供餐质量标准、随意变更供餐食谱等情况，经约谈后拒不整改的。</w:t>
      </w:r>
    </w:p>
    <w:p w14:paraId="51B0E015">
      <w:pPr>
        <w:pStyle w:val="107"/>
        <w:numPr>
          <w:ilvl w:val="0"/>
          <w:numId w:val="21"/>
        </w:numPr>
        <w:spacing w:line="360" w:lineRule="auto"/>
        <w:ind w:firstLineChars="0"/>
        <w:rPr>
          <w:rFonts w:ascii="宋体" w:hAnsi="宋体"/>
          <w:sz w:val="24"/>
          <w:szCs w:val="21"/>
          <w:highlight w:val="none"/>
        </w:rPr>
      </w:pPr>
      <w:r>
        <w:rPr>
          <w:rFonts w:hint="eastAsia" w:ascii="宋体" w:hAnsi="宋体"/>
          <w:sz w:val="24"/>
          <w:szCs w:val="21"/>
          <w:highlight w:val="none"/>
        </w:rPr>
        <w:t>供应商与采购人间有商业贿赂等不正当经营行为的。</w:t>
      </w:r>
    </w:p>
    <w:p w14:paraId="4B29B139">
      <w:pPr>
        <w:pStyle w:val="107"/>
        <w:numPr>
          <w:ilvl w:val="0"/>
          <w:numId w:val="21"/>
        </w:numPr>
        <w:spacing w:line="360" w:lineRule="auto"/>
        <w:ind w:firstLineChars="0"/>
        <w:rPr>
          <w:rFonts w:ascii="宋体" w:hAnsi="宋体"/>
          <w:sz w:val="24"/>
          <w:szCs w:val="21"/>
          <w:highlight w:val="none"/>
        </w:rPr>
      </w:pPr>
      <w:r>
        <w:rPr>
          <w:rFonts w:hint="eastAsia" w:ascii="宋体" w:hAnsi="宋体"/>
          <w:sz w:val="24"/>
          <w:szCs w:val="21"/>
          <w:highlight w:val="none"/>
        </w:rPr>
        <w:t>存在其他违法、违规、违约等行为，影响恶劣的。</w:t>
      </w:r>
    </w:p>
    <w:p w14:paraId="69D0F90C">
      <w:pPr>
        <w:pStyle w:val="107"/>
        <w:numPr>
          <w:ilvl w:val="0"/>
          <w:numId w:val="20"/>
        </w:numPr>
        <w:spacing w:line="360" w:lineRule="auto"/>
        <w:ind w:firstLineChars="0"/>
        <w:rPr>
          <w:rFonts w:ascii="宋体" w:hAnsi="宋体"/>
          <w:sz w:val="24"/>
          <w:szCs w:val="21"/>
          <w:highlight w:val="none"/>
        </w:rPr>
      </w:pPr>
      <w:r>
        <w:rPr>
          <w:rFonts w:hint="eastAsia" w:ascii="宋体" w:hAnsi="宋体"/>
          <w:sz w:val="24"/>
          <w:szCs w:val="21"/>
          <w:highlight w:val="none"/>
        </w:rPr>
        <w:t>★供应商须做好院内餐饮保障服务工作，接受采购人监督检查并每月按要求提交食品安全管理资料。采购人按《餐饮管理月度服务质量考评》进行考评，月度考评分≧80分为合格，﹤80分时，每下降1分扣罚</w:t>
      </w:r>
      <w:r>
        <w:rPr>
          <w:rFonts w:ascii="宋体" w:hAnsi="宋体"/>
          <w:sz w:val="24"/>
          <w:szCs w:val="21"/>
          <w:highlight w:val="none"/>
        </w:rPr>
        <w:t>10</w:t>
      </w:r>
      <w:r>
        <w:rPr>
          <w:rFonts w:hint="eastAsia" w:ascii="宋体" w:hAnsi="宋体"/>
          <w:sz w:val="24"/>
          <w:szCs w:val="21"/>
          <w:highlight w:val="none"/>
        </w:rPr>
        <w:t>00元。</w:t>
      </w:r>
      <w:r>
        <w:rPr>
          <w:rFonts w:hint="eastAsia" w:ascii="宋体" w:hAnsi="宋体"/>
          <w:sz w:val="24"/>
          <w:highlight w:val="none"/>
        </w:rPr>
        <w:t>连续3个月考评低于80分采购人有权终止合同</w:t>
      </w:r>
      <w:r>
        <w:rPr>
          <w:rFonts w:hint="eastAsia" w:ascii="宋体" w:hAnsi="宋体"/>
          <w:sz w:val="24"/>
          <w:szCs w:val="21"/>
          <w:highlight w:val="none"/>
        </w:rPr>
        <w:t>。</w:t>
      </w:r>
    </w:p>
    <w:p w14:paraId="2DE5CCCA">
      <w:pPr>
        <w:pStyle w:val="107"/>
        <w:numPr>
          <w:ilvl w:val="0"/>
          <w:numId w:val="20"/>
        </w:numPr>
        <w:spacing w:line="360" w:lineRule="auto"/>
        <w:ind w:firstLineChars="0"/>
        <w:rPr>
          <w:rFonts w:ascii="宋体" w:hAnsi="宋体"/>
          <w:sz w:val="24"/>
          <w:szCs w:val="21"/>
          <w:highlight w:val="none"/>
        </w:rPr>
      </w:pPr>
      <w:r>
        <w:rPr>
          <w:rFonts w:hint="default" w:ascii="宋体" w:hAnsi="宋体"/>
          <w:sz w:val="24"/>
          <w:szCs w:val="21"/>
          <w:highlight w:val="none"/>
        </w:rPr>
        <w:t>乙方</w:t>
      </w:r>
      <w:r>
        <w:rPr>
          <w:rFonts w:hint="eastAsia" w:ascii="宋体" w:hAnsi="宋体"/>
          <w:sz w:val="24"/>
          <w:szCs w:val="21"/>
          <w:highlight w:val="none"/>
        </w:rPr>
        <w:t>配合</w:t>
      </w:r>
      <w:r>
        <w:rPr>
          <w:rFonts w:hint="default" w:ascii="宋体" w:hAnsi="宋体"/>
          <w:sz w:val="24"/>
          <w:szCs w:val="21"/>
          <w:highlight w:val="none"/>
        </w:rPr>
        <w:t>甲方</w:t>
      </w:r>
      <w:r>
        <w:rPr>
          <w:rFonts w:hint="eastAsia" w:ascii="宋体" w:hAnsi="宋体"/>
          <w:sz w:val="24"/>
          <w:szCs w:val="21"/>
          <w:highlight w:val="none"/>
        </w:rPr>
        <w:t>处理应急任务表现出色的，予以相应奖励。具体奖励方案由</w:t>
      </w:r>
      <w:r>
        <w:rPr>
          <w:rFonts w:hint="default" w:ascii="宋体" w:hAnsi="宋体"/>
          <w:sz w:val="24"/>
          <w:szCs w:val="21"/>
          <w:highlight w:val="none"/>
        </w:rPr>
        <w:t>甲方</w:t>
      </w:r>
      <w:r>
        <w:rPr>
          <w:rFonts w:hint="eastAsia" w:ascii="宋体" w:hAnsi="宋体"/>
          <w:sz w:val="24"/>
          <w:szCs w:val="21"/>
          <w:highlight w:val="none"/>
        </w:rPr>
        <w:t>决定。</w:t>
      </w:r>
    </w:p>
    <w:p w14:paraId="1F96365C">
      <w:pPr>
        <w:pStyle w:val="107"/>
        <w:numPr>
          <w:ilvl w:val="0"/>
          <w:numId w:val="20"/>
        </w:numPr>
        <w:spacing w:line="360" w:lineRule="auto"/>
        <w:ind w:firstLineChars="0"/>
        <w:rPr>
          <w:rFonts w:ascii="宋体" w:hAnsi="宋体"/>
          <w:sz w:val="24"/>
          <w:szCs w:val="21"/>
          <w:highlight w:val="none"/>
        </w:rPr>
      </w:pPr>
      <w:r>
        <w:rPr>
          <w:rFonts w:hint="eastAsia" w:ascii="宋体" w:hAnsi="宋体"/>
          <w:sz w:val="24"/>
          <w:szCs w:val="21"/>
          <w:highlight w:val="none"/>
        </w:rPr>
        <w:t>★未经</w:t>
      </w:r>
      <w:r>
        <w:rPr>
          <w:rFonts w:hint="default" w:ascii="宋体" w:hAnsi="宋体"/>
          <w:sz w:val="24"/>
          <w:szCs w:val="21"/>
          <w:highlight w:val="none"/>
        </w:rPr>
        <w:t>甲方</w:t>
      </w:r>
      <w:r>
        <w:rPr>
          <w:rFonts w:hint="eastAsia" w:ascii="宋体" w:hAnsi="宋体"/>
          <w:sz w:val="24"/>
          <w:szCs w:val="21"/>
          <w:highlight w:val="none"/>
        </w:rPr>
        <w:t>同意不按食谱规定足额提供配餐的，</w:t>
      </w:r>
      <w:r>
        <w:rPr>
          <w:rFonts w:hint="default" w:ascii="宋体" w:hAnsi="宋体"/>
          <w:sz w:val="24"/>
          <w:szCs w:val="21"/>
          <w:highlight w:val="none"/>
        </w:rPr>
        <w:t>乙方</w:t>
      </w:r>
      <w:r>
        <w:rPr>
          <w:rFonts w:hint="eastAsia" w:ascii="宋体" w:hAnsi="宋体"/>
          <w:sz w:val="24"/>
          <w:szCs w:val="21"/>
          <w:highlight w:val="none"/>
        </w:rPr>
        <w:t>应当向</w:t>
      </w:r>
      <w:r>
        <w:rPr>
          <w:rFonts w:hint="default" w:ascii="宋体" w:hAnsi="宋体"/>
          <w:sz w:val="24"/>
          <w:szCs w:val="21"/>
          <w:highlight w:val="none"/>
        </w:rPr>
        <w:t>甲方</w:t>
      </w:r>
      <w:r>
        <w:rPr>
          <w:rFonts w:hint="eastAsia" w:ascii="宋体" w:hAnsi="宋体"/>
          <w:sz w:val="24"/>
          <w:szCs w:val="21"/>
          <w:highlight w:val="none"/>
        </w:rPr>
        <w:t>支付违约金1万元。出现此类情形两次以上，采购人可以解除合同，取消供应商供餐资格。</w:t>
      </w:r>
    </w:p>
    <w:p w14:paraId="0889D738">
      <w:pPr>
        <w:pStyle w:val="107"/>
        <w:numPr>
          <w:ilvl w:val="0"/>
          <w:numId w:val="20"/>
        </w:numPr>
        <w:spacing w:line="360" w:lineRule="auto"/>
        <w:ind w:firstLineChars="0"/>
        <w:rPr>
          <w:rFonts w:ascii="宋体" w:hAnsi="宋体"/>
          <w:sz w:val="24"/>
          <w:szCs w:val="21"/>
          <w:highlight w:val="none"/>
        </w:rPr>
      </w:pPr>
      <w:r>
        <w:rPr>
          <w:rFonts w:hint="eastAsia" w:ascii="宋体" w:hAnsi="宋体"/>
          <w:sz w:val="24"/>
          <w:szCs w:val="21"/>
          <w:highlight w:val="none"/>
        </w:rPr>
        <w:t>每周食谱不征求采购人意见，</w:t>
      </w:r>
      <w:r>
        <w:rPr>
          <w:rFonts w:hint="default" w:ascii="宋体" w:hAnsi="宋体"/>
          <w:sz w:val="24"/>
          <w:szCs w:val="21"/>
          <w:highlight w:val="none"/>
        </w:rPr>
        <w:t>甲方</w:t>
      </w:r>
      <w:r>
        <w:rPr>
          <w:rFonts w:hint="eastAsia" w:ascii="宋体" w:hAnsi="宋体"/>
          <w:sz w:val="24"/>
          <w:szCs w:val="21"/>
          <w:highlight w:val="none"/>
        </w:rPr>
        <w:t>有权求供应商限期改正，累计出现此类情形3次以上的，</w:t>
      </w:r>
      <w:r>
        <w:rPr>
          <w:rFonts w:hint="default" w:ascii="宋体" w:hAnsi="宋体"/>
          <w:sz w:val="24"/>
          <w:szCs w:val="21"/>
          <w:highlight w:val="none"/>
        </w:rPr>
        <w:t>甲方</w:t>
      </w:r>
      <w:r>
        <w:rPr>
          <w:rFonts w:hint="eastAsia" w:ascii="宋体" w:hAnsi="宋体"/>
          <w:sz w:val="24"/>
          <w:szCs w:val="21"/>
          <w:highlight w:val="none"/>
        </w:rPr>
        <w:t>可以解除合</w:t>
      </w:r>
      <w:r>
        <w:rPr>
          <w:rFonts w:hint="default" w:ascii="宋体" w:hAnsi="宋体"/>
          <w:sz w:val="24"/>
          <w:szCs w:val="21"/>
          <w:highlight w:val="none"/>
        </w:rPr>
        <w:t>同</w:t>
      </w:r>
      <w:r>
        <w:rPr>
          <w:rFonts w:hint="eastAsia" w:ascii="宋体" w:hAnsi="宋体"/>
          <w:sz w:val="24"/>
          <w:szCs w:val="21"/>
          <w:highlight w:val="none"/>
        </w:rPr>
        <w:t>取消供应商供餐资格。</w:t>
      </w:r>
    </w:p>
    <w:p w14:paraId="0BB7AECC">
      <w:pPr>
        <w:pStyle w:val="107"/>
        <w:numPr>
          <w:ilvl w:val="0"/>
          <w:numId w:val="20"/>
        </w:numPr>
        <w:spacing w:line="360" w:lineRule="auto"/>
        <w:ind w:firstLineChars="0"/>
        <w:rPr>
          <w:rFonts w:ascii="宋体" w:hAnsi="宋体"/>
          <w:sz w:val="24"/>
          <w:szCs w:val="21"/>
          <w:highlight w:val="none"/>
        </w:rPr>
      </w:pPr>
      <w:r>
        <w:rPr>
          <w:rFonts w:hint="eastAsia" w:ascii="宋体" w:hAnsi="宋体"/>
          <w:sz w:val="24"/>
          <w:szCs w:val="21"/>
          <w:highlight w:val="none"/>
        </w:rPr>
        <w:t>★配送食品出现变质变味等质量问题的，</w:t>
      </w:r>
      <w:r>
        <w:rPr>
          <w:rFonts w:hint="default" w:ascii="宋体" w:hAnsi="宋体"/>
          <w:sz w:val="24"/>
          <w:szCs w:val="21"/>
          <w:highlight w:val="none"/>
        </w:rPr>
        <w:t>乙方</w:t>
      </w:r>
      <w:r>
        <w:rPr>
          <w:rFonts w:hint="eastAsia" w:ascii="宋体" w:hAnsi="宋体"/>
          <w:sz w:val="24"/>
          <w:szCs w:val="21"/>
          <w:highlight w:val="none"/>
        </w:rPr>
        <w:t>应当全部收回并销毁，立即采取补救措施供应配餐，并向</w:t>
      </w:r>
      <w:r>
        <w:rPr>
          <w:rFonts w:hint="default" w:ascii="宋体" w:hAnsi="宋体"/>
          <w:sz w:val="24"/>
          <w:szCs w:val="21"/>
          <w:highlight w:val="none"/>
        </w:rPr>
        <w:t>甲方</w:t>
      </w:r>
      <w:r>
        <w:rPr>
          <w:rFonts w:hint="eastAsia" w:ascii="宋体" w:hAnsi="宋体"/>
          <w:sz w:val="24"/>
          <w:szCs w:val="21"/>
          <w:highlight w:val="none"/>
        </w:rPr>
        <w:t>支付违约金人民币</w:t>
      </w:r>
      <w:r>
        <w:rPr>
          <w:rFonts w:ascii="宋体" w:hAnsi="宋体"/>
          <w:sz w:val="24"/>
          <w:szCs w:val="21"/>
          <w:highlight w:val="none"/>
        </w:rPr>
        <w:t>2</w:t>
      </w:r>
      <w:r>
        <w:rPr>
          <w:rFonts w:hint="eastAsia" w:ascii="宋体" w:hAnsi="宋体"/>
          <w:sz w:val="24"/>
          <w:szCs w:val="21"/>
          <w:highlight w:val="none"/>
        </w:rPr>
        <w:t>万元，累计出现此类情形两次以上的，</w:t>
      </w:r>
      <w:r>
        <w:rPr>
          <w:rFonts w:hint="default" w:ascii="宋体" w:hAnsi="宋体"/>
          <w:sz w:val="24"/>
          <w:szCs w:val="21"/>
          <w:highlight w:val="none"/>
        </w:rPr>
        <w:t>甲方</w:t>
      </w:r>
      <w:r>
        <w:rPr>
          <w:rFonts w:hint="eastAsia" w:ascii="宋体" w:hAnsi="宋体"/>
          <w:sz w:val="24"/>
          <w:szCs w:val="21"/>
          <w:highlight w:val="none"/>
        </w:rPr>
        <w:t>有权解除合同，取消供应商供餐资格。</w:t>
      </w:r>
    </w:p>
    <w:p w14:paraId="31B1B43C">
      <w:pPr>
        <w:pStyle w:val="107"/>
        <w:numPr>
          <w:ilvl w:val="0"/>
          <w:numId w:val="20"/>
        </w:numPr>
        <w:spacing w:line="360" w:lineRule="auto"/>
        <w:ind w:firstLineChars="0"/>
        <w:rPr>
          <w:rFonts w:ascii="宋体" w:hAnsi="宋体"/>
          <w:sz w:val="24"/>
          <w:szCs w:val="21"/>
          <w:highlight w:val="none"/>
        </w:rPr>
      </w:pPr>
      <w:r>
        <w:rPr>
          <w:rFonts w:hint="eastAsia" w:ascii="宋体" w:hAnsi="宋体"/>
          <w:sz w:val="24"/>
          <w:szCs w:val="21"/>
          <w:highlight w:val="none"/>
        </w:rPr>
        <w:t>因供餐不符合卫生条件导致出现群体性(</w:t>
      </w:r>
      <w:r>
        <w:rPr>
          <w:rFonts w:ascii="宋体" w:hAnsi="宋体"/>
          <w:sz w:val="24"/>
          <w:szCs w:val="21"/>
          <w:highlight w:val="none"/>
        </w:rPr>
        <w:t>3</w:t>
      </w:r>
      <w:r>
        <w:rPr>
          <w:rFonts w:hint="eastAsia" w:ascii="宋体" w:hAnsi="宋体"/>
          <w:sz w:val="24"/>
          <w:szCs w:val="21"/>
          <w:highlight w:val="none"/>
        </w:rPr>
        <w:t>人以上)食物中毒的，</w:t>
      </w:r>
      <w:r>
        <w:rPr>
          <w:rFonts w:hint="default" w:ascii="宋体" w:hAnsi="宋体"/>
          <w:sz w:val="24"/>
          <w:szCs w:val="21"/>
          <w:highlight w:val="none"/>
        </w:rPr>
        <w:t>甲方</w:t>
      </w:r>
      <w:r>
        <w:rPr>
          <w:rFonts w:hint="eastAsia" w:ascii="宋体" w:hAnsi="宋体"/>
          <w:sz w:val="24"/>
          <w:szCs w:val="21"/>
          <w:highlight w:val="none"/>
        </w:rPr>
        <w:t>有权立即解除合同，取消</w:t>
      </w:r>
      <w:r>
        <w:rPr>
          <w:rFonts w:hint="default" w:ascii="宋体" w:hAnsi="宋体"/>
          <w:sz w:val="24"/>
          <w:szCs w:val="21"/>
          <w:highlight w:val="none"/>
        </w:rPr>
        <w:t>乙方</w:t>
      </w:r>
      <w:r>
        <w:rPr>
          <w:rFonts w:hint="eastAsia" w:ascii="宋体" w:hAnsi="宋体"/>
          <w:sz w:val="24"/>
          <w:szCs w:val="21"/>
          <w:highlight w:val="none"/>
        </w:rPr>
        <w:t>供餐资格，</w:t>
      </w:r>
      <w:r>
        <w:rPr>
          <w:rFonts w:hint="default" w:ascii="宋体" w:hAnsi="宋体"/>
          <w:sz w:val="24"/>
          <w:szCs w:val="21"/>
          <w:highlight w:val="none"/>
        </w:rPr>
        <w:t>乙方</w:t>
      </w:r>
      <w:r>
        <w:rPr>
          <w:rFonts w:hint="eastAsia" w:ascii="宋体" w:hAnsi="宋体"/>
          <w:sz w:val="24"/>
          <w:szCs w:val="21"/>
          <w:highlight w:val="none"/>
        </w:rPr>
        <w:t>依法承担事故导致的相应法律责任，</w:t>
      </w:r>
      <w:r>
        <w:rPr>
          <w:rFonts w:hint="default" w:ascii="宋体" w:hAnsi="宋体"/>
          <w:sz w:val="24"/>
          <w:szCs w:val="21"/>
          <w:highlight w:val="none"/>
        </w:rPr>
        <w:t>乙方</w:t>
      </w:r>
      <w:r>
        <w:rPr>
          <w:rFonts w:hint="eastAsia" w:ascii="宋体" w:hAnsi="宋体"/>
          <w:sz w:val="24"/>
          <w:szCs w:val="21"/>
          <w:highlight w:val="none"/>
        </w:rPr>
        <w:t>应向</w:t>
      </w:r>
      <w:r>
        <w:rPr>
          <w:rFonts w:hint="default" w:ascii="宋体" w:hAnsi="宋体"/>
          <w:sz w:val="24"/>
          <w:szCs w:val="21"/>
          <w:highlight w:val="none"/>
        </w:rPr>
        <w:t>甲方</w:t>
      </w:r>
      <w:r>
        <w:rPr>
          <w:rFonts w:hint="eastAsia" w:ascii="宋体" w:hAnsi="宋体"/>
          <w:sz w:val="24"/>
          <w:szCs w:val="21"/>
          <w:highlight w:val="none"/>
        </w:rPr>
        <w:t>支付2万元作为违约金。</w:t>
      </w:r>
    </w:p>
    <w:p w14:paraId="68B24364">
      <w:pPr>
        <w:pStyle w:val="107"/>
        <w:numPr>
          <w:ilvl w:val="0"/>
          <w:numId w:val="20"/>
        </w:numPr>
        <w:spacing w:line="360" w:lineRule="auto"/>
        <w:ind w:firstLineChars="0"/>
        <w:rPr>
          <w:rFonts w:ascii="宋体" w:hAnsi="宋体"/>
          <w:sz w:val="24"/>
          <w:szCs w:val="21"/>
          <w:highlight w:val="none"/>
        </w:rPr>
      </w:pPr>
      <w:r>
        <w:rPr>
          <w:rFonts w:hint="eastAsia" w:ascii="宋体" w:hAnsi="宋体"/>
          <w:sz w:val="24"/>
          <w:szCs w:val="21"/>
          <w:highlight w:val="none"/>
        </w:rPr>
        <w:t>★</w:t>
      </w:r>
      <w:r>
        <w:rPr>
          <w:rFonts w:hint="default" w:ascii="宋体" w:hAnsi="宋体"/>
          <w:sz w:val="24"/>
          <w:szCs w:val="21"/>
          <w:highlight w:val="none"/>
        </w:rPr>
        <w:t>乙方</w:t>
      </w:r>
      <w:r>
        <w:rPr>
          <w:rFonts w:hint="eastAsia" w:ascii="宋体" w:hAnsi="宋体"/>
          <w:sz w:val="24"/>
          <w:szCs w:val="21"/>
          <w:highlight w:val="none"/>
        </w:rPr>
        <w:t>不能因停水、停电、停燃气、节假日停工等非经</w:t>
      </w:r>
      <w:r>
        <w:rPr>
          <w:rFonts w:hint="default" w:ascii="宋体" w:hAnsi="宋体"/>
          <w:sz w:val="24"/>
          <w:szCs w:val="21"/>
          <w:highlight w:val="none"/>
        </w:rPr>
        <w:t>甲方</w:t>
      </w:r>
      <w:r>
        <w:rPr>
          <w:rFonts w:hint="eastAsia" w:ascii="宋体" w:hAnsi="宋体"/>
          <w:sz w:val="24"/>
          <w:szCs w:val="21"/>
          <w:highlight w:val="none"/>
        </w:rPr>
        <w:t>同意的原因而停止供餐，如停止供餐的，</w:t>
      </w:r>
      <w:r>
        <w:rPr>
          <w:rFonts w:hint="default" w:ascii="宋体" w:hAnsi="宋体"/>
          <w:sz w:val="24"/>
          <w:szCs w:val="21"/>
          <w:highlight w:val="none"/>
        </w:rPr>
        <w:t>甲方</w:t>
      </w:r>
      <w:r>
        <w:rPr>
          <w:rFonts w:hint="eastAsia" w:ascii="宋体" w:hAnsi="宋体"/>
          <w:sz w:val="24"/>
          <w:szCs w:val="21"/>
          <w:highlight w:val="none"/>
        </w:rPr>
        <w:t>有权立即解除合同，取消</w:t>
      </w:r>
      <w:r>
        <w:rPr>
          <w:rFonts w:hint="default" w:ascii="宋体" w:hAnsi="宋体"/>
          <w:sz w:val="24"/>
          <w:szCs w:val="21"/>
          <w:highlight w:val="none"/>
        </w:rPr>
        <w:t>乙方</w:t>
      </w:r>
      <w:r>
        <w:rPr>
          <w:rFonts w:hint="eastAsia" w:ascii="宋体" w:hAnsi="宋体"/>
          <w:sz w:val="24"/>
          <w:szCs w:val="21"/>
          <w:highlight w:val="none"/>
        </w:rPr>
        <w:t>供餐资格，</w:t>
      </w:r>
      <w:r>
        <w:rPr>
          <w:rFonts w:hint="default" w:ascii="宋体" w:hAnsi="宋体"/>
          <w:sz w:val="24"/>
          <w:szCs w:val="21"/>
          <w:highlight w:val="none"/>
        </w:rPr>
        <w:t>乙方</w:t>
      </w:r>
      <w:r>
        <w:rPr>
          <w:rFonts w:hint="eastAsia" w:ascii="宋体" w:hAnsi="宋体"/>
          <w:sz w:val="24"/>
          <w:szCs w:val="21"/>
          <w:highlight w:val="none"/>
        </w:rPr>
        <w:t>应向</w:t>
      </w:r>
      <w:r>
        <w:rPr>
          <w:rFonts w:hint="default" w:ascii="宋体" w:hAnsi="宋体"/>
          <w:sz w:val="24"/>
          <w:szCs w:val="21"/>
          <w:highlight w:val="none"/>
        </w:rPr>
        <w:t>甲方</w:t>
      </w:r>
      <w:r>
        <w:rPr>
          <w:rFonts w:hint="eastAsia" w:ascii="宋体" w:hAnsi="宋体"/>
          <w:sz w:val="24"/>
          <w:szCs w:val="21"/>
          <w:highlight w:val="none"/>
        </w:rPr>
        <w:t>支付合同总价</w:t>
      </w:r>
      <w:r>
        <w:rPr>
          <w:rFonts w:hint="default" w:ascii="宋体" w:hAnsi="宋体"/>
          <w:sz w:val="24"/>
          <w:szCs w:val="21"/>
          <w:highlight w:val="none"/>
        </w:rPr>
        <w:t>1</w:t>
      </w:r>
      <w:r>
        <w:rPr>
          <w:rFonts w:hint="eastAsia" w:ascii="宋体" w:hAnsi="宋体"/>
          <w:sz w:val="24"/>
          <w:szCs w:val="21"/>
          <w:highlight w:val="none"/>
        </w:rPr>
        <w:t>0%作为违约金。</w:t>
      </w:r>
    </w:p>
    <w:p w14:paraId="6E66FBBD">
      <w:pPr>
        <w:pStyle w:val="107"/>
        <w:numPr>
          <w:ilvl w:val="0"/>
          <w:numId w:val="20"/>
        </w:numPr>
        <w:spacing w:line="360" w:lineRule="auto"/>
        <w:ind w:firstLineChars="0"/>
        <w:rPr>
          <w:rFonts w:ascii="宋体" w:hAnsi="宋体"/>
          <w:sz w:val="24"/>
          <w:szCs w:val="21"/>
          <w:highlight w:val="none"/>
        </w:rPr>
      </w:pPr>
      <w:r>
        <w:rPr>
          <w:rFonts w:hint="default" w:ascii="宋体" w:hAnsi="宋体"/>
          <w:sz w:val="24"/>
          <w:szCs w:val="21"/>
          <w:highlight w:val="none"/>
        </w:rPr>
        <w:t>乙方食品经营许可证超过有效期的，或因乙方从事违法经营活动被有关管理部门处以吊销证照的，取消乙方供餐资格</w:t>
      </w:r>
      <w:r>
        <w:rPr>
          <w:rFonts w:hint="eastAsia" w:ascii="宋体" w:hAnsi="宋体"/>
          <w:sz w:val="24"/>
          <w:szCs w:val="21"/>
          <w:highlight w:val="none"/>
        </w:rPr>
        <w:t>。</w:t>
      </w:r>
    </w:p>
    <w:p w14:paraId="22E77060">
      <w:pPr>
        <w:pStyle w:val="107"/>
        <w:numPr>
          <w:ilvl w:val="0"/>
          <w:numId w:val="20"/>
        </w:numPr>
        <w:spacing w:line="360" w:lineRule="auto"/>
        <w:ind w:firstLineChars="0"/>
        <w:rPr>
          <w:rFonts w:ascii="宋体" w:hAnsi="宋体"/>
          <w:sz w:val="24"/>
          <w:szCs w:val="21"/>
          <w:highlight w:val="none"/>
        </w:rPr>
      </w:pPr>
      <w:r>
        <w:rPr>
          <w:rFonts w:hint="eastAsia" w:ascii="宋体" w:hAnsi="宋体"/>
          <w:sz w:val="24"/>
          <w:szCs w:val="21"/>
          <w:highlight w:val="none"/>
        </w:rPr>
        <w:t>因违反《食品安全法》及其实施条例等法律法规，累计受到两次或以上行政处罚的，取消</w:t>
      </w:r>
      <w:r>
        <w:rPr>
          <w:rFonts w:hint="default" w:ascii="宋体" w:hAnsi="宋体"/>
          <w:sz w:val="24"/>
          <w:szCs w:val="21"/>
          <w:highlight w:val="none"/>
        </w:rPr>
        <w:t>乙方</w:t>
      </w:r>
      <w:r>
        <w:rPr>
          <w:rFonts w:hint="eastAsia" w:ascii="宋体" w:hAnsi="宋体"/>
          <w:sz w:val="24"/>
          <w:szCs w:val="21"/>
          <w:highlight w:val="none"/>
        </w:rPr>
        <w:t>供餐资格。</w:t>
      </w:r>
    </w:p>
    <w:p w14:paraId="3F6C1BD2">
      <w:pPr>
        <w:pStyle w:val="107"/>
        <w:numPr>
          <w:ilvl w:val="0"/>
          <w:numId w:val="20"/>
        </w:numPr>
        <w:spacing w:line="360" w:lineRule="auto"/>
        <w:ind w:firstLineChars="0"/>
        <w:rPr>
          <w:rFonts w:ascii="宋体" w:hAnsi="宋体"/>
          <w:sz w:val="24"/>
          <w:szCs w:val="21"/>
          <w:highlight w:val="none"/>
        </w:rPr>
      </w:pPr>
      <w:r>
        <w:rPr>
          <w:rFonts w:hint="eastAsia" w:ascii="宋体" w:hAnsi="宋体"/>
          <w:sz w:val="24"/>
          <w:szCs w:val="21"/>
          <w:highlight w:val="none"/>
        </w:rPr>
        <w:t>因存在重大食品安全隐患受到市场监管部门或卫健部门(人力资源社会保障)通报的，取消</w:t>
      </w:r>
      <w:r>
        <w:rPr>
          <w:rFonts w:hint="default" w:ascii="宋体" w:hAnsi="宋体"/>
          <w:sz w:val="24"/>
          <w:szCs w:val="21"/>
          <w:highlight w:val="none"/>
        </w:rPr>
        <w:t>乙方</w:t>
      </w:r>
      <w:r>
        <w:rPr>
          <w:rFonts w:hint="eastAsia" w:ascii="宋体" w:hAnsi="宋体"/>
          <w:sz w:val="24"/>
          <w:szCs w:val="21"/>
          <w:highlight w:val="none"/>
        </w:rPr>
        <w:t>供餐资格。</w:t>
      </w:r>
    </w:p>
    <w:p w14:paraId="01A8B72A">
      <w:pPr>
        <w:pStyle w:val="107"/>
        <w:numPr>
          <w:ilvl w:val="0"/>
          <w:numId w:val="20"/>
        </w:numPr>
        <w:spacing w:line="360" w:lineRule="auto"/>
        <w:ind w:firstLineChars="0"/>
        <w:rPr>
          <w:rFonts w:ascii="宋体" w:hAnsi="宋体"/>
          <w:sz w:val="24"/>
          <w:szCs w:val="21"/>
        </w:rPr>
      </w:pPr>
      <w:r>
        <w:rPr>
          <w:rFonts w:hint="default" w:ascii="宋体" w:hAnsi="宋体"/>
          <w:sz w:val="24"/>
          <w:szCs w:val="21"/>
          <w:highlight w:val="none"/>
        </w:rPr>
        <w:t>乙方</w:t>
      </w:r>
      <w:r>
        <w:rPr>
          <w:rFonts w:hint="eastAsia" w:ascii="宋体" w:hAnsi="宋体"/>
          <w:sz w:val="24"/>
          <w:szCs w:val="21"/>
          <w:highlight w:val="none"/>
        </w:rPr>
        <w:t>人员应遵守</w:t>
      </w:r>
      <w:r>
        <w:rPr>
          <w:rFonts w:hint="default" w:ascii="宋体" w:hAnsi="宋体"/>
          <w:sz w:val="24"/>
          <w:szCs w:val="21"/>
          <w:highlight w:val="none"/>
        </w:rPr>
        <w:t>甲方</w:t>
      </w:r>
      <w:r>
        <w:rPr>
          <w:rFonts w:hint="eastAsia" w:ascii="宋体" w:hAnsi="宋体"/>
          <w:sz w:val="24"/>
          <w:szCs w:val="21"/>
          <w:highlight w:val="none"/>
        </w:rPr>
        <w:t>的各项管理规定，不得影响</w:t>
      </w:r>
      <w:r>
        <w:rPr>
          <w:rFonts w:hint="default" w:ascii="宋体" w:hAnsi="宋体"/>
          <w:sz w:val="24"/>
          <w:szCs w:val="21"/>
          <w:highlight w:val="none"/>
        </w:rPr>
        <w:t>甲方</w:t>
      </w:r>
      <w:r>
        <w:rPr>
          <w:rFonts w:hint="eastAsia" w:ascii="宋体" w:hAnsi="宋体"/>
          <w:sz w:val="24"/>
          <w:szCs w:val="21"/>
          <w:highlight w:val="none"/>
        </w:rPr>
        <w:t>的正常管理秩序。</w:t>
      </w:r>
      <w:r>
        <w:rPr>
          <w:rFonts w:hint="default" w:ascii="宋体" w:hAnsi="宋体"/>
          <w:sz w:val="24"/>
          <w:szCs w:val="21"/>
          <w:highlight w:val="none"/>
        </w:rPr>
        <w:t>乙方</w:t>
      </w:r>
      <w:r>
        <w:rPr>
          <w:rFonts w:hint="eastAsia" w:ascii="宋体" w:hAnsi="宋体"/>
          <w:sz w:val="24"/>
          <w:szCs w:val="21"/>
          <w:highlight w:val="none"/>
        </w:rPr>
        <w:t>对其员工及聘用人员的侵权行为承担全部法律责任，</w:t>
      </w:r>
      <w:r>
        <w:rPr>
          <w:rFonts w:hint="default" w:ascii="宋体" w:hAnsi="宋体"/>
          <w:sz w:val="24"/>
          <w:szCs w:val="21"/>
          <w:highlight w:val="none"/>
        </w:rPr>
        <w:t>乙方</w:t>
      </w:r>
      <w:r>
        <w:rPr>
          <w:rFonts w:hint="eastAsia" w:ascii="宋体" w:hAnsi="宋体"/>
          <w:sz w:val="24"/>
          <w:szCs w:val="21"/>
          <w:highlight w:val="none"/>
        </w:rPr>
        <w:t>人员在采购人范围内发生事故，或因</w:t>
      </w:r>
      <w:r>
        <w:rPr>
          <w:rFonts w:hint="default" w:ascii="宋体" w:hAnsi="宋体"/>
          <w:sz w:val="24"/>
          <w:szCs w:val="21"/>
          <w:highlight w:val="none"/>
        </w:rPr>
        <w:t>乙方</w:t>
      </w:r>
      <w:r>
        <w:rPr>
          <w:rFonts w:hint="eastAsia" w:ascii="宋体" w:hAnsi="宋体"/>
          <w:sz w:val="24"/>
          <w:szCs w:val="21"/>
          <w:highlight w:val="none"/>
        </w:rPr>
        <w:t>及</w:t>
      </w:r>
      <w:r>
        <w:rPr>
          <w:rFonts w:hint="default" w:ascii="宋体" w:hAnsi="宋体"/>
          <w:sz w:val="24"/>
          <w:szCs w:val="21"/>
          <w:highlight w:val="none"/>
        </w:rPr>
        <w:t>乙方</w:t>
      </w:r>
      <w:r>
        <w:rPr>
          <w:rFonts w:hint="eastAsia" w:ascii="宋体" w:hAnsi="宋体"/>
          <w:sz w:val="24"/>
          <w:szCs w:val="21"/>
          <w:highlight w:val="none"/>
        </w:rPr>
        <w:t>人员过错导致在提供服务过程中发生各种事故的，因此造成的一切人身损害或财产损失，</w:t>
      </w:r>
      <w:r>
        <w:rPr>
          <w:rFonts w:hint="default" w:ascii="宋体" w:hAnsi="宋体"/>
          <w:sz w:val="24"/>
          <w:szCs w:val="21"/>
          <w:highlight w:val="none"/>
        </w:rPr>
        <w:t>乙方</w:t>
      </w:r>
      <w:r>
        <w:rPr>
          <w:rFonts w:hint="eastAsia" w:ascii="宋体" w:hAnsi="宋体"/>
          <w:sz w:val="24"/>
          <w:szCs w:val="21"/>
          <w:highlight w:val="none"/>
        </w:rPr>
        <w:t>应</w:t>
      </w:r>
      <w:r>
        <w:rPr>
          <w:rFonts w:hint="default" w:ascii="宋体" w:hAnsi="宋体"/>
          <w:sz w:val="24"/>
          <w:szCs w:val="21"/>
          <w:highlight w:val="none"/>
        </w:rPr>
        <w:t>妥</w:t>
      </w:r>
      <w:r>
        <w:rPr>
          <w:rFonts w:hint="eastAsia" w:ascii="宋体" w:hAnsi="宋体"/>
          <w:sz w:val="24"/>
          <w:szCs w:val="21"/>
          <w:highlight w:val="none"/>
        </w:rPr>
        <w:t>善处理纠纷并自行承担法律责任及赔偿责任</w:t>
      </w:r>
      <w:r>
        <w:rPr>
          <w:rFonts w:ascii="宋体" w:hAnsi="宋体"/>
          <w:sz w:val="24"/>
          <w:szCs w:val="21"/>
          <w:highlight w:val="none"/>
        </w:rPr>
        <w:t>(包括但不限于赔偿</w:t>
      </w:r>
      <w:r>
        <w:rPr>
          <w:rFonts w:hint="eastAsia" w:ascii="宋体" w:hAnsi="宋体"/>
          <w:sz w:val="24"/>
          <w:szCs w:val="21"/>
          <w:highlight w:val="none"/>
        </w:rPr>
        <w:t>采购人</w:t>
      </w:r>
      <w:r>
        <w:rPr>
          <w:rFonts w:ascii="宋体" w:hAnsi="宋体"/>
          <w:sz w:val="24"/>
          <w:szCs w:val="21"/>
          <w:highlight w:val="none"/>
        </w:rPr>
        <w:t>因此支出的赔偿金/和解款、诉讼</w:t>
      </w:r>
      <w:r>
        <w:rPr>
          <w:rFonts w:ascii="宋体" w:hAnsi="宋体"/>
          <w:sz w:val="24"/>
          <w:szCs w:val="21"/>
        </w:rPr>
        <w:t>费/仲裁费、律师费等)。</w:t>
      </w:r>
    </w:p>
    <w:p w14:paraId="691E452C">
      <w:pPr>
        <w:pStyle w:val="149"/>
        <w:numPr>
          <w:ilvl w:val="0"/>
          <w:numId w:val="22"/>
        </w:numPr>
        <w:spacing w:line="360" w:lineRule="auto"/>
        <w:ind w:firstLine="564" w:firstLineChars="235"/>
        <w:rPr>
          <w:rFonts w:ascii="宋体" w:hAnsi="宋体"/>
          <w:sz w:val="24"/>
          <w:szCs w:val="24"/>
        </w:rPr>
      </w:pPr>
      <w:r>
        <w:rPr>
          <w:rFonts w:hint="default" w:ascii="宋体" w:hAnsi="宋体"/>
          <w:b/>
          <w:sz w:val="24"/>
          <w:szCs w:val="24"/>
        </w:rPr>
        <w:t>履约</w:t>
      </w:r>
      <w:r>
        <w:rPr>
          <w:rFonts w:hint="eastAsia" w:ascii="宋体" w:hAnsi="宋体"/>
          <w:b/>
          <w:sz w:val="24"/>
          <w:szCs w:val="24"/>
        </w:rPr>
        <w:t>保证金：</w:t>
      </w:r>
    </w:p>
    <w:p w14:paraId="43E84BA6">
      <w:pPr>
        <w:pStyle w:val="107"/>
        <w:numPr>
          <w:ilvl w:val="-1"/>
          <w:numId w:val="0"/>
        </w:numPr>
        <w:spacing w:line="360" w:lineRule="auto"/>
        <w:ind w:left="0" w:firstLine="0" w:firstLineChars="0"/>
        <w:rPr>
          <w:rFonts w:ascii="宋体" w:hAnsi="宋体"/>
          <w:sz w:val="24"/>
          <w:szCs w:val="21"/>
          <w:highlight w:val="none"/>
        </w:rPr>
      </w:pPr>
      <w:r>
        <w:rPr>
          <w:rFonts w:hint="default" w:ascii="宋体" w:hAnsi="宋体"/>
          <w:sz w:val="24"/>
          <w:szCs w:val="21"/>
          <w:highlight w:val="none"/>
        </w:rPr>
        <w:t xml:space="preserve">    乙方</w:t>
      </w:r>
      <w:r>
        <w:rPr>
          <w:rFonts w:hint="eastAsia" w:ascii="宋体" w:hAnsi="宋体"/>
          <w:sz w:val="24"/>
          <w:szCs w:val="21"/>
          <w:highlight w:val="none"/>
        </w:rPr>
        <w:t>须在签订合同后5个工作日内，向</w:t>
      </w:r>
      <w:r>
        <w:rPr>
          <w:rFonts w:hint="default" w:ascii="宋体" w:hAnsi="宋体"/>
          <w:sz w:val="24"/>
          <w:szCs w:val="21"/>
          <w:highlight w:val="none"/>
        </w:rPr>
        <w:t>甲方</w:t>
      </w:r>
      <w:r>
        <w:rPr>
          <w:rFonts w:hint="eastAsia" w:ascii="宋体" w:hAnsi="宋体"/>
          <w:sz w:val="24"/>
          <w:szCs w:val="21"/>
          <w:highlight w:val="none"/>
        </w:rPr>
        <w:t>缴交</w:t>
      </w:r>
      <w:r>
        <w:rPr>
          <w:rFonts w:hint="default" w:ascii="宋体" w:hAnsi="宋体"/>
          <w:sz w:val="24"/>
          <w:szCs w:val="21"/>
          <w:highlight w:val="none"/>
        </w:rPr>
        <w:t>履约</w:t>
      </w:r>
      <w:r>
        <w:rPr>
          <w:rFonts w:hint="eastAsia" w:ascii="宋体" w:hAnsi="宋体"/>
          <w:sz w:val="24"/>
          <w:szCs w:val="21"/>
          <w:highlight w:val="none"/>
        </w:rPr>
        <w:t>保证金</w:t>
      </w:r>
      <w:r>
        <w:rPr>
          <w:rFonts w:ascii="宋体" w:hAnsi="宋体"/>
          <w:sz w:val="24"/>
          <w:szCs w:val="21"/>
          <w:highlight w:val="none"/>
        </w:rPr>
        <w:t>3</w:t>
      </w:r>
      <w:r>
        <w:rPr>
          <w:rFonts w:hint="eastAsia" w:ascii="宋体" w:hAnsi="宋体"/>
          <w:sz w:val="24"/>
          <w:szCs w:val="21"/>
          <w:highlight w:val="none"/>
        </w:rPr>
        <w:t>万元（人民币）。运营服务期间，如</w:t>
      </w:r>
      <w:r>
        <w:rPr>
          <w:rFonts w:hint="default" w:ascii="宋体" w:hAnsi="宋体"/>
          <w:sz w:val="24"/>
          <w:szCs w:val="21"/>
          <w:highlight w:val="none"/>
        </w:rPr>
        <w:t>乙方</w:t>
      </w:r>
      <w:r>
        <w:rPr>
          <w:rFonts w:hint="eastAsia" w:ascii="宋体" w:hAnsi="宋体"/>
          <w:sz w:val="24"/>
          <w:szCs w:val="21"/>
          <w:highlight w:val="none"/>
        </w:rPr>
        <w:t>有违约行为，</w:t>
      </w:r>
      <w:r>
        <w:rPr>
          <w:rFonts w:hint="default" w:ascii="宋体" w:hAnsi="宋体"/>
          <w:sz w:val="24"/>
          <w:szCs w:val="21"/>
          <w:highlight w:val="none"/>
        </w:rPr>
        <w:t>甲方</w:t>
      </w:r>
      <w:r>
        <w:rPr>
          <w:rFonts w:hint="eastAsia" w:ascii="宋体" w:hAnsi="宋体"/>
          <w:sz w:val="24"/>
          <w:szCs w:val="21"/>
          <w:highlight w:val="none"/>
        </w:rPr>
        <w:t>有权使用</w:t>
      </w:r>
      <w:r>
        <w:rPr>
          <w:rFonts w:hint="default" w:ascii="宋体" w:hAnsi="宋体"/>
          <w:sz w:val="24"/>
          <w:szCs w:val="21"/>
          <w:highlight w:val="none"/>
        </w:rPr>
        <w:t>履约</w:t>
      </w:r>
      <w:r>
        <w:rPr>
          <w:rFonts w:hint="eastAsia" w:ascii="宋体" w:hAnsi="宋体"/>
          <w:sz w:val="24"/>
          <w:szCs w:val="21"/>
          <w:highlight w:val="none"/>
        </w:rPr>
        <w:t>保证金进行赔偿或处罚，</w:t>
      </w:r>
      <w:r>
        <w:rPr>
          <w:rFonts w:hint="default" w:ascii="宋体" w:hAnsi="宋体"/>
          <w:sz w:val="24"/>
          <w:szCs w:val="21"/>
          <w:highlight w:val="none"/>
        </w:rPr>
        <w:t>履约</w:t>
      </w:r>
      <w:r>
        <w:rPr>
          <w:rFonts w:hint="eastAsia" w:ascii="宋体" w:hAnsi="宋体"/>
          <w:sz w:val="24"/>
          <w:szCs w:val="21"/>
          <w:highlight w:val="none"/>
        </w:rPr>
        <w:t>保证金被使用后,</w:t>
      </w:r>
      <w:r>
        <w:rPr>
          <w:rFonts w:hint="default" w:ascii="宋体" w:hAnsi="宋体"/>
          <w:sz w:val="24"/>
          <w:szCs w:val="21"/>
          <w:highlight w:val="none"/>
        </w:rPr>
        <w:t>乙方</w:t>
      </w:r>
      <w:r>
        <w:rPr>
          <w:rFonts w:hint="eastAsia" w:ascii="宋体" w:hAnsi="宋体"/>
          <w:sz w:val="24"/>
          <w:szCs w:val="21"/>
          <w:highlight w:val="none"/>
        </w:rPr>
        <w:t>必须在两个月内补齐。运营服务期满后，</w:t>
      </w:r>
      <w:r>
        <w:rPr>
          <w:rFonts w:hint="default" w:ascii="宋体" w:hAnsi="宋体"/>
          <w:sz w:val="24"/>
          <w:szCs w:val="21"/>
          <w:highlight w:val="none"/>
        </w:rPr>
        <w:t>乙方</w:t>
      </w:r>
      <w:r>
        <w:rPr>
          <w:rFonts w:hint="eastAsia" w:ascii="宋体" w:hAnsi="宋体"/>
          <w:sz w:val="24"/>
          <w:szCs w:val="21"/>
          <w:highlight w:val="none"/>
        </w:rPr>
        <w:t>如无违约，无食物中毒及其他食品安全问题等民事赔偿，</w:t>
      </w:r>
      <w:r>
        <w:rPr>
          <w:rFonts w:hint="default" w:ascii="宋体" w:hAnsi="宋体"/>
          <w:sz w:val="24"/>
          <w:szCs w:val="21"/>
          <w:highlight w:val="none"/>
        </w:rPr>
        <w:t>甲方</w:t>
      </w:r>
      <w:r>
        <w:rPr>
          <w:rFonts w:hint="eastAsia" w:ascii="宋体" w:hAnsi="宋体"/>
          <w:sz w:val="24"/>
          <w:szCs w:val="21"/>
          <w:highlight w:val="none"/>
        </w:rPr>
        <w:t>无条件将</w:t>
      </w:r>
      <w:r>
        <w:rPr>
          <w:rFonts w:hint="default" w:ascii="宋体" w:hAnsi="宋体"/>
          <w:sz w:val="24"/>
          <w:szCs w:val="21"/>
          <w:highlight w:val="none"/>
        </w:rPr>
        <w:t>履约</w:t>
      </w:r>
      <w:r>
        <w:rPr>
          <w:rFonts w:hint="eastAsia" w:ascii="宋体" w:hAnsi="宋体"/>
          <w:sz w:val="24"/>
          <w:szCs w:val="21"/>
          <w:highlight w:val="none"/>
        </w:rPr>
        <w:t>保证金（不计利息）退回</w:t>
      </w:r>
      <w:r>
        <w:rPr>
          <w:rFonts w:hint="default" w:ascii="宋体" w:hAnsi="宋体"/>
          <w:sz w:val="24"/>
          <w:szCs w:val="21"/>
          <w:highlight w:val="none"/>
        </w:rPr>
        <w:t>乙方</w:t>
      </w:r>
      <w:r>
        <w:rPr>
          <w:rFonts w:hint="eastAsia" w:ascii="宋体" w:hAnsi="宋体"/>
          <w:sz w:val="24"/>
          <w:szCs w:val="21"/>
          <w:highlight w:val="none"/>
        </w:rPr>
        <w:t>。由于</w:t>
      </w:r>
      <w:r>
        <w:rPr>
          <w:rFonts w:hint="default" w:ascii="宋体" w:hAnsi="宋体"/>
          <w:sz w:val="24"/>
          <w:szCs w:val="21"/>
          <w:highlight w:val="none"/>
        </w:rPr>
        <w:t>乙方</w:t>
      </w:r>
      <w:r>
        <w:rPr>
          <w:rFonts w:hint="eastAsia" w:ascii="宋体" w:hAnsi="宋体"/>
          <w:sz w:val="24"/>
          <w:szCs w:val="21"/>
          <w:highlight w:val="none"/>
        </w:rPr>
        <w:t>原因而提前终止合同的，必须提前两个月通知</w:t>
      </w:r>
      <w:r>
        <w:rPr>
          <w:rFonts w:hint="default" w:ascii="宋体" w:hAnsi="宋体"/>
          <w:sz w:val="24"/>
          <w:szCs w:val="21"/>
          <w:highlight w:val="none"/>
        </w:rPr>
        <w:t>甲方</w:t>
      </w:r>
      <w:r>
        <w:rPr>
          <w:rFonts w:hint="eastAsia" w:ascii="宋体" w:hAnsi="宋体"/>
          <w:sz w:val="24"/>
          <w:szCs w:val="21"/>
          <w:highlight w:val="none"/>
        </w:rPr>
        <w:t>,否则因此而造成</w:t>
      </w:r>
      <w:r>
        <w:rPr>
          <w:rFonts w:hint="default" w:ascii="宋体" w:hAnsi="宋体"/>
          <w:sz w:val="24"/>
          <w:szCs w:val="21"/>
          <w:highlight w:val="none"/>
        </w:rPr>
        <w:t>甲方</w:t>
      </w:r>
      <w:r>
        <w:rPr>
          <w:rFonts w:hint="eastAsia" w:ascii="宋体" w:hAnsi="宋体"/>
          <w:sz w:val="24"/>
          <w:szCs w:val="21"/>
          <w:highlight w:val="none"/>
        </w:rPr>
        <w:t>的一切损失由</w:t>
      </w:r>
      <w:r>
        <w:rPr>
          <w:rFonts w:hint="default" w:ascii="宋体" w:hAnsi="宋体"/>
          <w:sz w:val="24"/>
          <w:szCs w:val="21"/>
          <w:highlight w:val="none"/>
        </w:rPr>
        <w:t>乙方</w:t>
      </w:r>
      <w:r>
        <w:rPr>
          <w:rFonts w:hint="eastAsia" w:ascii="宋体" w:hAnsi="宋体"/>
          <w:sz w:val="24"/>
          <w:szCs w:val="21"/>
          <w:highlight w:val="none"/>
        </w:rPr>
        <w:t>负责,</w:t>
      </w:r>
      <w:r>
        <w:rPr>
          <w:rFonts w:hint="default" w:ascii="宋体" w:hAnsi="宋体"/>
          <w:sz w:val="24"/>
          <w:szCs w:val="21"/>
          <w:highlight w:val="none"/>
        </w:rPr>
        <w:t>乙方</w:t>
      </w:r>
      <w:r>
        <w:rPr>
          <w:rFonts w:hint="eastAsia" w:ascii="宋体" w:hAnsi="宋体"/>
          <w:sz w:val="24"/>
          <w:szCs w:val="21"/>
          <w:highlight w:val="none"/>
        </w:rPr>
        <w:t>无权要求返还</w:t>
      </w:r>
      <w:r>
        <w:rPr>
          <w:rFonts w:hint="default" w:ascii="宋体" w:hAnsi="宋体"/>
          <w:sz w:val="24"/>
          <w:szCs w:val="21"/>
          <w:highlight w:val="none"/>
        </w:rPr>
        <w:t>履约</w:t>
      </w:r>
      <w:r>
        <w:rPr>
          <w:rFonts w:hint="eastAsia" w:ascii="宋体" w:hAnsi="宋体"/>
          <w:sz w:val="24"/>
          <w:szCs w:val="21"/>
          <w:highlight w:val="none"/>
        </w:rPr>
        <w:t>保证金。采购人逾期退还履约保证金的，中标供应商可按有关法律规定追缴相应费用，但因中标供应商自身原因导致的除外。</w:t>
      </w:r>
    </w:p>
    <w:p w14:paraId="0F4AF1F9">
      <w:pPr>
        <w:spacing w:line="360" w:lineRule="auto"/>
        <w:ind w:firstLine="480" w:firstLineChars="200"/>
        <w:rPr>
          <w:rFonts w:ascii="宋体" w:hAnsi="宋体"/>
          <w:sz w:val="24"/>
        </w:rPr>
      </w:pPr>
      <w:r>
        <w:rPr>
          <w:rFonts w:hint="eastAsia" w:ascii="宋体" w:hAnsi="宋体"/>
          <w:b/>
          <w:sz w:val="24"/>
          <w:highlight w:val="none"/>
        </w:rPr>
        <w:t>十、餐费付款：</w:t>
      </w:r>
      <w:r>
        <w:rPr>
          <w:rFonts w:hint="eastAsia" w:ascii="宋体" w:hAnsi="宋体"/>
          <w:sz w:val="24"/>
          <w:highlight w:val="none"/>
        </w:rPr>
        <w:t>合同期内，</w:t>
      </w:r>
      <w:r>
        <w:rPr>
          <w:rFonts w:hint="default" w:ascii="宋体" w:hAnsi="宋体"/>
          <w:sz w:val="24"/>
          <w:highlight w:val="none"/>
        </w:rPr>
        <w:t>甲方</w:t>
      </w:r>
      <w:r>
        <w:rPr>
          <w:rFonts w:hint="eastAsia" w:ascii="宋体" w:hAnsi="宋体"/>
          <w:sz w:val="24"/>
          <w:highlight w:val="none"/>
        </w:rPr>
        <w:t>按月支付采购人餐补费用支付给</w:t>
      </w:r>
      <w:r>
        <w:rPr>
          <w:rFonts w:hint="default" w:ascii="宋体" w:hAnsi="宋体"/>
          <w:sz w:val="24"/>
          <w:highlight w:val="none"/>
        </w:rPr>
        <w:t>乙方</w:t>
      </w:r>
      <w:r>
        <w:rPr>
          <w:rFonts w:hint="eastAsia" w:ascii="宋体" w:hAnsi="宋体"/>
          <w:sz w:val="24"/>
          <w:highlight w:val="none"/>
        </w:rPr>
        <w:t>。</w:t>
      </w:r>
      <w:r>
        <w:rPr>
          <w:rFonts w:hint="default" w:ascii="宋体" w:hAnsi="宋体"/>
          <w:sz w:val="24"/>
          <w:highlight w:val="none"/>
        </w:rPr>
        <w:t>乙方</w:t>
      </w:r>
      <w:r>
        <w:rPr>
          <w:rFonts w:hint="eastAsia" w:ascii="宋体" w:hAnsi="宋体"/>
          <w:sz w:val="24"/>
          <w:highlight w:val="none"/>
        </w:rPr>
        <w:t>于每月15日前向</w:t>
      </w:r>
      <w:r>
        <w:rPr>
          <w:rFonts w:hint="default" w:ascii="宋体" w:hAnsi="宋体"/>
          <w:sz w:val="24"/>
          <w:highlight w:val="none"/>
        </w:rPr>
        <w:t>甲方</w:t>
      </w:r>
      <w:r>
        <w:rPr>
          <w:rFonts w:hint="eastAsia" w:ascii="宋体" w:hAnsi="宋体"/>
          <w:sz w:val="24"/>
          <w:highlight w:val="none"/>
        </w:rPr>
        <w:t>提交上月双方确认的餐饮配送服务汇总表、等额发票、餐饮管理月度服务质量考评表等资料，</w:t>
      </w:r>
      <w:r>
        <w:rPr>
          <w:rFonts w:hint="default" w:ascii="宋体" w:hAnsi="宋体"/>
          <w:sz w:val="24"/>
          <w:highlight w:val="none"/>
        </w:rPr>
        <w:t>甲方</w:t>
      </w:r>
      <w:r>
        <w:rPr>
          <w:rFonts w:hint="eastAsia" w:ascii="宋体" w:hAnsi="宋体"/>
          <w:sz w:val="24"/>
          <w:highlight w:val="none"/>
        </w:rPr>
        <w:t>根据</w:t>
      </w:r>
      <w:r>
        <w:rPr>
          <w:rFonts w:hint="default" w:ascii="宋体" w:hAnsi="宋体"/>
          <w:sz w:val="24"/>
          <w:highlight w:val="none"/>
        </w:rPr>
        <w:t>乙方</w:t>
      </w:r>
      <w:r>
        <w:rPr>
          <w:rFonts w:hint="eastAsia" w:ascii="宋体" w:hAnsi="宋体"/>
          <w:sz w:val="24"/>
          <w:highlight w:val="none"/>
        </w:rPr>
        <w:t>履约情况及服务质量考核情况，在收到合格的付款凭证后5个工作日内办理支付(具体付款方式以采购人财务制度为准)。</w:t>
      </w:r>
      <w:r>
        <w:rPr>
          <w:rFonts w:hint="default" w:ascii="宋体" w:hAnsi="宋体"/>
          <w:sz w:val="24"/>
          <w:szCs w:val="21"/>
          <w:highlight w:val="none"/>
        </w:rPr>
        <w:t>医院工作人员餐饮</w:t>
      </w:r>
      <w:r>
        <w:rPr>
          <w:rFonts w:hint="default" w:ascii="宋体" w:hAnsi="宋体"/>
          <w:sz w:val="24"/>
          <w:szCs w:val="21"/>
        </w:rPr>
        <w:t>补助由</w:t>
      </w:r>
      <w:r>
        <w:rPr>
          <w:rFonts w:hint="default" w:ascii="宋体" w:hAnsi="宋体"/>
          <w:sz w:val="24"/>
        </w:rPr>
        <w:t>甲方</w:t>
      </w:r>
      <w:r>
        <w:rPr>
          <w:rFonts w:hint="default" w:ascii="宋体" w:hAnsi="宋体"/>
          <w:sz w:val="24"/>
          <w:szCs w:val="21"/>
        </w:rPr>
        <w:t>支付，其余</w:t>
      </w:r>
      <w:r>
        <w:rPr>
          <w:rFonts w:hint="eastAsia" w:ascii="宋体" w:hAnsi="宋体"/>
          <w:sz w:val="24"/>
        </w:rPr>
        <w:t>相关餐费由用餐人直接向</w:t>
      </w:r>
      <w:r>
        <w:rPr>
          <w:rFonts w:hint="default" w:ascii="宋体" w:hAnsi="宋体"/>
          <w:sz w:val="24"/>
        </w:rPr>
        <w:t>乙方</w:t>
      </w:r>
      <w:r>
        <w:rPr>
          <w:rFonts w:hint="eastAsia" w:ascii="宋体" w:hAnsi="宋体"/>
          <w:sz w:val="24"/>
        </w:rPr>
        <w:t>支付。</w:t>
      </w:r>
    </w:p>
    <w:p w14:paraId="0EA16E0F">
      <w:pPr>
        <w:spacing w:line="360" w:lineRule="auto"/>
        <w:ind w:firstLine="480" w:firstLineChars="200"/>
        <w:jc w:val="left"/>
        <w:rPr>
          <w:rFonts w:ascii="宋体" w:hAnsi="宋体"/>
          <w:b/>
          <w:sz w:val="24"/>
        </w:rPr>
      </w:pPr>
      <w:r>
        <w:rPr>
          <w:rFonts w:hint="eastAsia" w:ascii="宋体" w:hAnsi="宋体"/>
          <w:b/>
          <w:sz w:val="24"/>
        </w:rPr>
        <w:t>十</w:t>
      </w:r>
      <w:r>
        <w:rPr>
          <w:rFonts w:hint="eastAsia" w:ascii="宋体" w:hAnsi="宋体"/>
          <w:b/>
          <w:sz w:val="24"/>
          <w:lang w:val="en-US" w:eastAsia="zh-CN"/>
        </w:rPr>
        <w:t>一</w:t>
      </w:r>
      <w:r>
        <w:rPr>
          <w:rFonts w:hint="eastAsia" w:ascii="宋体" w:hAnsi="宋体"/>
          <w:b/>
          <w:sz w:val="24"/>
        </w:rPr>
        <w:t>、争议的解决</w:t>
      </w:r>
    </w:p>
    <w:p w14:paraId="7590F404">
      <w:pPr>
        <w:spacing w:line="360" w:lineRule="auto"/>
        <w:ind w:firstLine="480" w:firstLineChars="200"/>
        <w:jc w:val="left"/>
        <w:rPr>
          <w:rFonts w:ascii="宋体" w:hAnsi="宋体"/>
          <w:sz w:val="24"/>
        </w:rPr>
      </w:pPr>
      <w:r>
        <w:rPr>
          <w:rFonts w:hint="eastAsia" w:ascii="宋体" w:hAnsi="宋体"/>
          <w:sz w:val="24"/>
        </w:rPr>
        <w:t>合同执行过程中双方如有争议，应友好协商解决，协商不成，双方同意选择以下第</w:t>
      </w:r>
      <w:r>
        <w:rPr>
          <w:rFonts w:ascii="宋体" w:hAnsi="宋体"/>
          <w:sz w:val="24"/>
        </w:rPr>
        <w:t>2项方式解决：</w:t>
      </w:r>
    </w:p>
    <w:p w14:paraId="7872765A">
      <w:pPr>
        <w:spacing w:line="360" w:lineRule="auto"/>
        <w:ind w:firstLine="480" w:firstLineChars="200"/>
        <w:jc w:val="left"/>
        <w:rPr>
          <w:rFonts w:ascii="宋体" w:hAnsi="宋体"/>
          <w:sz w:val="24"/>
        </w:rPr>
      </w:pPr>
      <w:r>
        <w:rPr>
          <w:rFonts w:ascii="宋体" w:hAnsi="宋体"/>
          <w:sz w:val="24"/>
        </w:rPr>
        <w:t>1.提交中国广州仲裁委员会仲裁。</w:t>
      </w:r>
    </w:p>
    <w:p w14:paraId="43F0ED06">
      <w:pPr>
        <w:spacing w:line="360" w:lineRule="auto"/>
        <w:ind w:firstLine="480" w:firstLineChars="200"/>
        <w:jc w:val="left"/>
        <w:rPr>
          <w:rFonts w:ascii="宋体" w:hAnsi="宋体"/>
          <w:sz w:val="24"/>
        </w:rPr>
      </w:pPr>
      <w:r>
        <w:rPr>
          <w:rFonts w:ascii="宋体" w:hAnsi="宋体"/>
          <w:sz w:val="24"/>
        </w:rPr>
        <w:t>2.向甲方所在地人民法院提出诉讼。</w:t>
      </w:r>
    </w:p>
    <w:p w14:paraId="4D2F96B2">
      <w:pPr>
        <w:spacing w:line="360" w:lineRule="auto"/>
        <w:ind w:left="426"/>
        <w:rPr>
          <w:rFonts w:ascii="宋体" w:hAnsi="宋体"/>
          <w:b/>
          <w:sz w:val="24"/>
        </w:rPr>
      </w:pPr>
      <w:r>
        <w:rPr>
          <w:rFonts w:hint="eastAsia" w:ascii="宋体" w:hAnsi="宋体"/>
          <w:b/>
          <w:sz w:val="24"/>
        </w:rPr>
        <w:t>十</w:t>
      </w:r>
      <w:r>
        <w:rPr>
          <w:rFonts w:hint="eastAsia" w:ascii="宋体" w:hAnsi="宋体"/>
          <w:b/>
          <w:sz w:val="24"/>
          <w:lang w:val="en-US" w:eastAsia="zh-CN"/>
        </w:rPr>
        <w:t>二</w:t>
      </w:r>
      <w:r>
        <w:rPr>
          <w:rFonts w:hint="eastAsia" w:ascii="宋体" w:hAnsi="宋体"/>
          <w:b/>
          <w:sz w:val="24"/>
        </w:rPr>
        <w:t>、其它</w:t>
      </w:r>
      <w:r>
        <w:rPr>
          <w:rFonts w:ascii="宋体" w:hAnsi="宋体"/>
          <w:b/>
          <w:sz w:val="24"/>
        </w:rPr>
        <w:t xml:space="preserve"> </w:t>
      </w:r>
    </w:p>
    <w:p w14:paraId="26B1D6C3">
      <w:pPr>
        <w:spacing w:line="360" w:lineRule="auto"/>
        <w:ind w:firstLine="480" w:firstLineChars="200"/>
        <w:jc w:val="left"/>
        <w:rPr>
          <w:rFonts w:ascii="宋体" w:hAnsi="宋体"/>
          <w:sz w:val="24"/>
        </w:rPr>
      </w:pPr>
      <w:r>
        <w:rPr>
          <w:rFonts w:ascii="宋体" w:hAnsi="宋体"/>
          <w:sz w:val="24"/>
        </w:rPr>
        <w:t>1.本合同所有附件、招标文件、投标文件、中标通知书均为合同的有效组成部分，与本合同具有同等法律效力。</w:t>
      </w:r>
    </w:p>
    <w:p w14:paraId="2C75866D">
      <w:pPr>
        <w:spacing w:line="360" w:lineRule="auto"/>
        <w:ind w:firstLine="480" w:firstLineChars="200"/>
        <w:jc w:val="left"/>
        <w:rPr>
          <w:rFonts w:ascii="宋体" w:hAnsi="宋体"/>
          <w:sz w:val="24"/>
        </w:rPr>
      </w:pPr>
      <w:r>
        <w:rPr>
          <w:rFonts w:ascii="宋体" w:hAnsi="宋体"/>
          <w:sz w:val="24"/>
        </w:rPr>
        <w:t>2.在执行本合同的过程中，所有经双方签署确认的文件（包括会议纪要、补充协议、往来信函）即成为本合同的有效组成部分。</w:t>
      </w:r>
    </w:p>
    <w:p w14:paraId="5ECBC23E">
      <w:pPr>
        <w:spacing w:line="360" w:lineRule="auto"/>
        <w:ind w:firstLine="480" w:firstLineChars="200"/>
        <w:jc w:val="left"/>
        <w:rPr>
          <w:rFonts w:ascii="宋体" w:hAnsi="宋体"/>
          <w:sz w:val="24"/>
        </w:rPr>
      </w:pPr>
      <w:r>
        <w:rPr>
          <w:rFonts w:ascii="宋体" w:hAnsi="宋体"/>
          <w:sz w:val="24"/>
        </w:rPr>
        <w:t>3.本合同未尽事宜，经甲、乙双方协商一致，可订立补充条款。补充条款、</w:t>
      </w:r>
      <w:r>
        <w:rPr>
          <w:rFonts w:hint="eastAsia" w:ascii="宋体" w:hAnsi="宋体"/>
          <w:sz w:val="24"/>
        </w:rPr>
        <w:t>询比文件、投标文件及附件材料均为本合同组成部分，与本合同具有同等法律效力，本合同文件的解析顺序为：①合同书、②询比文件；③投标文件；④补充条款；⑤附件材料。</w:t>
      </w:r>
    </w:p>
    <w:p w14:paraId="4855C464">
      <w:pPr>
        <w:spacing w:line="360" w:lineRule="auto"/>
        <w:ind w:firstLine="480" w:firstLineChars="200"/>
        <w:jc w:val="left"/>
        <w:rPr>
          <w:rFonts w:ascii="宋体" w:hAnsi="宋体"/>
          <w:sz w:val="24"/>
        </w:rPr>
      </w:pPr>
      <w:r>
        <w:rPr>
          <w:rFonts w:ascii="宋体" w:hAnsi="宋体"/>
          <w:sz w:val="24"/>
        </w:rPr>
        <w:t>4.</w:t>
      </w:r>
      <w:r>
        <w:rPr>
          <w:rFonts w:hint="eastAsia" w:ascii="宋体" w:hAnsi="宋体"/>
          <w:sz w:val="24"/>
        </w:rPr>
        <w:t>违约方应承担守约方因处理本合同项下纠纷所产生的诉讼费、律师费、差旅费等一切费用。</w:t>
      </w:r>
    </w:p>
    <w:p w14:paraId="749E2D91">
      <w:pPr>
        <w:spacing w:line="360" w:lineRule="auto"/>
        <w:ind w:left="426"/>
        <w:rPr>
          <w:rFonts w:ascii="宋体" w:hAnsi="宋体"/>
          <w:b/>
          <w:sz w:val="24"/>
        </w:rPr>
      </w:pPr>
      <w:r>
        <w:rPr>
          <w:rFonts w:hint="eastAsia" w:ascii="宋体" w:hAnsi="宋体"/>
          <w:b/>
          <w:sz w:val="24"/>
        </w:rPr>
        <w:t>十</w:t>
      </w:r>
      <w:r>
        <w:rPr>
          <w:rFonts w:hint="eastAsia" w:ascii="宋体" w:hAnsi="宋体"/>
          <w:b/>
          <w:sz w:val="24"/>
          <w:lang w:val="en-US" w:eastAsia="zh-CN"/>
        </w:rPr>
        <w:t>三</w:t>
      </w:r>
      <w:r>
        <w:rPr>
          <w:rFonts w:hint="eastAsia" w:ascii="宋体" w:hAnsi="宋体"/>
          <w:b/>
          <w:sz w:val="24"/>
        </w:rPr>
        <w:t>、合同生效</w:t>
      </w:r>
    </w:p>
    <w:p w14:paraId="70B14A6E">
      <w:pPr>
        <w:spacing w:line="360" w:lineRule="auto"/>
        <w:ind w:left="851" w:hanging="425"/>
        <w:rPr>
          <w:rFonts w:ascii="宋体" w:hAnsi="宋体"/>
          <w:sz w:val="24"/>
        </w:rPr>
      </w:pPr>
      <w:r>
        <w:rPr>
          <w:rFonts w:hint="eastAsia" w:ascii="宋体" w:hAnsi="宋体"/>
          <w:sz w:val="24"/>
        </w:rPr>
        <w:t>（一）本合同在甲乙双方法人代表或其授权代表签字盖章后生效。</w:t>
      </w:r>
    </w:p>
    <w:p w14:paraId="76D0E3AC">
      <w:pPr>
        <w:spacing w:line="360" w:lineRule="auto"/>
        <w:ind w:firstLine="480" w:firstLineChars="200"/>
        <w:rPr>
          <w:rFonts w:ascii="宋体" w:hAnsi="宋体"/>
          <w:sz w:val="24"/>
        </w:rPr>
      </w:pPr>
      <w:r>
        <w:rPr>
          <w:rFonts w:hint="eastAsia" w:ascii="宋体" w:hAnsi="宋体"/>
          <w:sz w:val="24"/>
        </w:rPr>
        <w:t>（二）合同一式</w:t>
      </w:r>
      <w:r>
        <w:rPr>
          <w:rFonts w:hint="default" w:ascii="宋体" w:hAnsi="宋体"/>
          <w:sz w:val="24"/>
        </w:rPr>
        <w:t>肆</w:t>
      </w:r>
      <w:r>
        <w:rPr>
          <w:rFonts w:hint="eastAsia" w:ascii="宋体" w:hAnsi="宋体"/>
          <w:sz w:val="24"/>
        </w:rPr>
        <w:t>份，甲方执贰份，乙方执贰份。</w:t>
      </w:r>
    </w:p>
    <w:p w14:paraId="28482763">
      <w:pPr>
        <w:spacing w:line="360" w:lineRule="auto"/>
        <w:rPr>
          <w:rFonts w:ascii="宋体" w:hAnsi="宋体"/>
          <w:szCs w:val="21"/>
        </w:rPr>
      </w:pPr>
      <w:r>
        <w:rPr>
          <w:rFonts w:ascii="宋体" w:hAnsi="宋体"/>
        </w:rPr>
        <w:t xml:space="preserve"> </w:t>
      </w:r>
    </w:p>
    <w:p w14:paraId="4B606097">
      <w:pPr>
        <w:spacing w:line="360" w:lineRule="auto"/>
        <w:rPr>
          <w:rFonts w:ascii="宋体" w:hAnsi="宋体"/>
        </w:rPr>
      </w:pPr>
      <w:r>
        <w:rPr>
          <w:rFonts w:ascii="宋体" w:hAnsi="宋体"/>
        </w:rPr>
        <w:t xml:space="preserve"> </w:t>
      </w:r>
    </w:p>
    <w:p w14:paraId="44A35942">
      <w:pPr>
        <w:spacing w:line="360" w:lineRule="auto"/>
        <w:rPr>
          <w:rFonts w:ascii="宋体" w:hAnsi="宋体"/>
        </w:rPr>
      </w:pPr>
      <w:r>
        <w:rPr>
          <w:rFonts w:hint="eastAsia" w:ascii="宋体" w:hAnsi="宋体"/>
        </w:rPr>
        <w:t>甲方（盖章）：</w:t>
      </w:r>
      <w:r>
        <w:rPr>
          <w:rFonts w:hint="eastAsia" w:ascii="宋体" w:hAnsi="宋体"/>
          <w:color w:val="000000"/>
          <w:sz w:val="22"/>
          <w:szCs w:val="22"/>
        </w:rPr>
        <w:t>广州市番禺区第七人民医院</w:t>
      </w:r>
      <w:r>
        <w:rPr>
          <w:rFonts w:ascii="宋体" w:hAnsi="宋体"/>
        </w:rPr>
        <w:t xml:space="preserve">          乙方（盖章）： </w:t>
      </w:r>
    </w:p>
    <w:p w14:paraId="7ACF305D">
      <w:pPr>
        <w:spacing w:line="360" w:lineRule="auto"/>
        <w:rPr>
          <w:rFonts w:ascii="宋体" w:hAnsi="宋体"/>
        </w:rPr>
      </w:pPr>
      <w:r>
        <w:rPr>
          <w:rFonts w:hint="eastAsia" w:ascii="宋体" w:hAnsi="宋体"/>
        </w:rPr>
        <w:t>签约代表：</w:t>
      </w:r>
      <w:r>
        <w:rPr>
          <w:rFonts w:ascii="宋体" w:hAnsi="宋体"/>
        </w:rPr>
        <w:t xml:space="preserve">                                      </w:t>
      </w:r>
      <w:r>
        <w:rPr>
          <w:rFonts w:hint="eastAsia" w:ascii="宋体" w:hAnsi="宋体"/>
        </w:rPr>
        <w:t>签约代表：</w:t>
      </w:r>
    </w:p>
    <w:p w14:paraId="14FCEE5C">
      <w:pPr>
        <w:spacing w:line="360" w:lineRule="auto"/>
        <w:rPr>
          <w:rFonts w:ascii="宋体" w:hAnsi="宋体"/>
        </w:rPr>
      </w:pPr>
      <w:r>
        <w:rPr>
          <w:rFonts w:hint="eastAsia" w:ascii="宋体" w:hAnsi="宋体"/>
        </w:rPr>
        <w:t>单位地址：广州市番禺区石楼镇人民路</w:t>
      </w:r>
      <w:r>
        <w:rPr>
          <w:rFonts w:ascii="宋体" w:hAnsi="宋体"/>
        </w:rPr>
        <w:t xml:space="preserve">149号        单位地址：  </w:t>
      </w:r>
    </w:p>
    <w:p w14:paraId="44329AF5">
      <w:pPr>
        <w:spacing w:line="360" w:lineRule="auto"/>
        <w:rPr>
          <w:rFonts w:ascii="宋体" w:hAnsi="宋体"/>
        </w:rPr>
      </w:pPr>
      <w:r>
        <w:rPr>
          <w:rFonts w:hint="eastAsia" w:ascii="宋体" w:hAnsi="宋体"/>
        </w:rPr>
        <w:t>电话：</w:t>
      </w:r>
      <w:r>
        <w:rPr>
          <w:rFonts w:ascii="宋体" w:hAnsi="宋体"/>
          <w:u w:val="single"/>
        </w:rPr>
        <w:t xml:space="preserve"> </w:t>
      </w:r>
      <w:r>
        <w:rPr>
          <w:rFonts w:ascii="宋体" w:hAnsi="宋体"/>
          <w:color w:val="000000"/>
          <w:u w:val="single"/>
        </w:rPr>
        <w:t>020-84847049</w:t>
      </w:r>
      <w:r>
        <w:rPr>
          <w:rFonts w:ascii="宋体" w:hAnsi="宋体"/>
          <w:u w:val="single"/>
        </w:rPr>
        <w:t xml:space="preserve">   </w:t>
      </w:r>
      <w:r>
        <w:rPr>
          <w:rFonts w:ascii="宋体" w:hAnsi="宋体"/>
        </w:rPr>
        <w:t xml:space="preserve">                          电话：</w:t>
      </w:r>
    </w:p>
    <w:p w14:paraId="5434FAD2">
      <w:pPr>
        <w:spacing w:line="360" w:lineRule="auto"/>
        <w:rPr>
          <w:rFonts w:ascii="宋体" w:hAnsi="宋体"/>
        </w:rPr>
      </w:pPr>
      <w:r>
        <w:rPr>
          <w:rFonts w:hint="eastAsia" w:ascii="宋体" w:hAnsi="宋体"/>
        </w:rPr>
        <w:t>传真：</w:t>
      </w:r>
      <w:r>
        <w:rPr>
          <w:rFonts w:ascii="宋体" w:hAnsi="宋体"/>
          <w:u w:val="single"/>
        </w:rPr>
        <w:t xml:space="preserve">    </w:t>
      </w:r>
      <w:r>
        <w:rPr>
          <w:rFonts w:ascii="宋体" w:hAnsi="宋体"/>
        </w:rPr>
        <w:t xml:space="preserve">                                      传真：</w:t>
      </w:r>
    </w:p>
    <w:p w14:paraId="2A5B0655">
      <w:pPr>
        <w:spacing w:line="360" w:lineRule="auto"/>
        <w:rPr>
          <w:rFonts w:ascii="宋体" w:hAnsi="宋体"/>
        </w:rPr>
      </w:pPr>
      <w:r>
        <w:rPr>
          <w:rFonts w:hint="eastAsia" w:ascii="宋体" w:hAnsi="宋体"/>
        </w:rPr>
        <w:t>签约时间：</w:t>
      </w:r>
      <w:r>
        <w:rPr>
          <w:rFonts w:ascii="宋体" w:hAnsi="宋体"/>
        </w:rPr>
        <w:t>202</w:t>
      </w:r>
      <w:r>
        <w:rPr>
          <w:rFonts w:hint="eastAsia" w:ascii="宋体" w:hAnsi="宋体"/>
          <w:lang w:val="en-US" w:eastAsia="zh-CN"/>
        </w:rPr>
        <w:t>6</w:t>
      </w:r>
      <w:r>
        <w:rPr>
          <w:rFonts w:ascii="宋体" w:hAnsi="宋体"/>
        </w:rPr>
        <w:t xml:space="preserve">年   </w:t>
      </w:r>
      <w:r>
        <w:rPr>
          <w:rFonts w:hint="eastAsia" w:ascii="宋体" w:hAnsi="宋体"/>
        </w:rPr>
        <w:t>月</w:t>
      </w:r>
      <w:r>
        <w:rPr>
          <w:rFonts w:ascii="宋体" w:hAnsi="宋体"/>
        </w:rPr>
        <w:t xml:space="preserve">   </w:t>
      </w:r>
      <w:r>
        <w:rPr>
          <w:rFonts w:hint="eastAsia" w:ascii="宋体" w:hAnsi="宋体"/>
        </w:rPr>
        <w:t>日</w:t>
      </w:r>
      <w:r>
        <w:rPr>
          <w:rFonts w:ascii="宋体" w:hAnsi="宋体"/>
        </w:rPr>
        <w:t xml:space="preserve">                     </w:t>
      </w:r>
      <w:r>
        <w:rPr>
          <w:rFonts w:hint="eastAsia" w:ascii="宋体" w:hAnsi="宋体"/>
        </w:rPr>
        <w:t>签约时间：</w:t>
      </w:r>
      <w:r>
        <w:rPr>
          <w:rFonts w:ascii="宋体" w:hAnsi="宋体"/>
        </w:rPr>
        <w:t>202</w:t>
      </w:r>
      <w:r>
        <w:rPr>
          <w:rFonts w:hint="eastAsia" w:ascii="宋体" w:hAnsi="宋体"/>
          <w:lang w:val="en-US" w:eastAsia="zh-CN"/>
        </w:rPr>
        <w:t>6</w:t>
      </w:r>
      <w:r>
        <w:rPr>
          <w:rFonts w:ascii="宋体" w:hAnsi="宋体"/>
        </w:rPr>
        <w:t xml:space="preserve">年  </w:t>
      </w:r>
      <w:r>
        <w:rPr>
          <w:rFonts w:hint="eastAsia" w:ascii="宋体" w:hAnsi="宋体"/>
        </w:rPr>
        <w:t>月</w:t>
      </w:r>
      <w:r>
        <w:rPr>
          <w:rFonts w:ascii="宋体" w:hAnsi="宋体"/>
        </w:rPr>
        <w:t xml:space="preserve">  </w:t>
      </w:r>
      <w:r>
        <w:rPr>
          <w:rFonts w:hint="eastAsia" w:ascii="宋体" w:hAnsi="宋体"/>
        </w:rPr>
        <w:t>日</w:t>
      </w:r>
    </w:p>
    <w:p w14:paraId="538C0112">
      <w:pPr>
        <w:spacing w:line="360" w:lineRule="auto"/>
        <w:rPr>
          <w:rFonts w:ascii="宋体" w:hAnsi="宋体"/>
          <w:sz w:val="22"/>
          <w:szCs w:val="22"/>
        </w:rPr>
      </w:pPr>
      <w:r>
        <w:rPr>
          <w:rFonts w:ascii="宋体" w:hAnsi="宋体"/>
          <w:sz w:val="22"/>
          <w:szCs w:val="22"/>
        </w:rPr>
        <w:t xml:space="preserve"> </w:t>
      </w:r>
    </w:p>
    <w:p w14:paraId="75DC1978">
      <w:pPr>
        <w:pStyle w:val="33"/>
        <w:widowControl w:val="0"/>
        <w:spacing w:before="0" w:beforeAutospacing="0" w:after="0" w:afterAutospacing="0"/>
        <w:ind w:firstLine="480" w:firstLineChars="200"/>
        <w:jc w:val="both"/>
      </w:pPr>
    </w:p>
    <w:p w14:paraId="0E82A866">
      <w:pPr>
        <w:spacing w:line="360" w:lineRule="auto"/>
        <w:rPr>
          <w:rFonts w:ascii="宋体" w:hAnsi="宋体"/>
          <w:sz w:val="24"/>
        </w:rPr>
      </w:pPr>
      <w:r>
        <w:rPr>
          <w:rFonts w:hint="eastAsia" w:ascii="宋体" w:hAnsi="宋体"/>
          <w:vanish/>
          <w:sz w:val="24"/>
        </w:rPr>
        <w:t>招标方指定时间内完成各项订餐送餐服务。等功能。乙方应设立专人专</w:t>
      </w:r>
      <w:r>
        <w:rPr>
          <w:rFonts w:hint="eastAsia" w:ascii="宋体" w:hAnsi="宋体"/>
          <w:sz w:val="24"/>
        </w:rPr>
        <w:t>附表</w:t>
      </w:r>
      <w:r>
        <w:rPr>
          <w:rFonts w:ascii="宋体" w:hAnsi="宋体"/>
          <w:sz w:val="24"/>
        </w:rPr>
        <w:t>1：</w:t>
      </w:r>
      <w:r>
        <w:rPr>
          <w:rFonts w:hint="eastAsia" w:ascii="宋体" w:hAnsi="宋体" w:eastAsia="宋体" w:cs="Times New Roman"/>
          <w:kern w:val="2"/>
          <w:sz w:val="24"/>
          <w:szCs w:val="21"/>
          <w:lang w:val="en-US" w:eastAsia="zh-CN" w:bidi="ar"/>
        </w:rPr>
        <w:t>（</w:t>
      </w:r>
      <w:r>
        <w:rPr>
          <w:rFonts w:hint="default" w:ascii="宋体" w:hAnsi="宋体" w:cs="Times New Roman"/>
          <w:kern w:val="2"/>
          <w:sz w:val="24"/>
          <w:szCs w:val="21"/>
          <w:lang w:eastAsia="zh-CN" w:bidi="ar"/>
        </w:rPr>
        <w:t>甲方</w:t>
      </w:r>
      <w:r>
        <w:rPr>
          <w:rFonts w:hint="eastAsia" w:ascii="宋体" w:hAnsi="宋体" w:eastAsia="宋体" w:cs="Times New Roman"/>
          <w:kern w:val="2"/>
          <w:sz w:val="24"/>
          <w:szCs w:val="21"/>
          <w:lang w:val="en-US" w:eastAsia="zh-CN" w:bidi="ar"/>
        </w:rPr>
        <w:t>有权根据现场实际运行需求对以下内容作调整）</w:t>
      </w:r>
    </w:p>
    <w:p w14:paraId="2F5044DC">
      <w:pPr>
        <w:widowControl/>
        <w:spacing w:line="240" w:lineRule="auto"/>
        <w:jc w:val="center"/>
        <w:rPr>
          <w:rFonts w:hint="eastAsia" w:ascii="宋体" w:hAnsi="宋体" w:cs="仿宋"/>
          <w:kern w:val="0"/>
          <w:sz w:val="30"/>
          <w:szCs w:val="30"/>
        </w:rPr>
      </w:pPr>
      <w:r>
        <w:rPr>
          <w:rFonts w:hint="eastAsia" w:ascii="宋体" w:hAnsi="宋体" w:cs="方正小标宋简体"/>
          <w:kern w:val="0"/>
          <w:sz w:val="30"/>
          <w:szCs w:val="30"/>
        </w:rPr>
        <w:t>餐饮管理月度服务质量考评表</w:t>
      </w:r>
    </w:p>
    <w:p w14:paraId="4D56CBE8">
      <w:pPr>
        <w:spacing w:line="240" w:lineRule="auto"/>
        <w:rPr>
          <w:rFonts w:ascii="宋体" w:hAnsi="宋体" w:cs="仿宋"/>
          <w:sz w:val="24"/>
          <w:szCs w:val="24"/>
        </w:rPr>
      </w:pPr>
      <w:r>
        <w:rPr>
          <w:rFonts w:hint="eastAsia" w:ascii="宋体" w:hAnsi="宋体" w:cs="仿宋"/>
          <w:sz w:val="24"/>
          <w:szCs w:val="24"/>
        </w:rPr>
        <w:t>考评月份：</w:t>
      </w:r>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5087"/>
        <w:gridCol w:w="1797"/>
        <w:gridCol w:w="1048"/>
      </w:tblGrid>
      <w:tr w14:paraId="332B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80" w:type="pct"/>
            <w:noWrap w:val="0"/>
            <w:vAlign w:val="center"/>
          </w:tcPr>
          <w:p w14:paraId="1A1B916D">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考评内容</w:t>
            </w:r>
          </w:p>
        </w:tc>
        <w:tc>
          <w:tcPr>
            <w:tcW w:w="2642" w:type="pct"/>
            <w:noWrap w:val="0"/>
            <w:vAlign w:val="center"/>
          </w:tcPr>
          <w:p w14:paraId="16172A8D">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扣分原因</w:t>
            </w:r>
          </w:p>
        </w:tc>
        <w:tc>
          <w:tcPr>
            <w:tcW w:w="933" w:type="pct"/>
            <w:noWrap w:val="0"/>
            <w:vAlign w:val="center"/>
          </w:tcPr>
          <w:p w14:paraId="2F8A4FD7">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Style w:val="44"/>
                <w:rFonts w:hint="eastAsia" w:ascii="宋体" w:hAnsi="宋体" w:eastAsia="宋体" w:cs="Times New Roman"/>
                <w:sz w:val="24"/>
              </w:rPr>
              <w:t>扣分方法</w:t>
            </w:r>
          </w:p>
        </w:tc>
        <w:tc>
          <w:tcPr>
            <w:tcW w:w="543" w:type="pct"/>
            <w:noWrap w:val="0"/>
            <w:vAlign w:val="center"/>
          </w:tcPr>
          <w:p w14:paraId="4377D5AE">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得分</w:t>
            </w:r>
          </w:p>
        </w:tc>
      </w:tr>
      <w:tr w14:paraId="7561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880" w:type="pct"/>
            <w:noWrap w:val="0"/>
            <w:vAlign w:val="center"/>
          </w:tcPr>
          <w:p w14:paraId="79C679F9">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 xml:space="preserve">食品证照及管理制度健全 </w:t>
            </w:r>
          </w:p>
          <w:p w14:paraId="7F1C002E">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（20分）</w:t>
            </w:r>
          </w:p>
        </w:tc>
        <w:tc>
          <w:tcPr>
            <w:tcW w:w="2642" w:type="pct"/>
            <w:noWrap w:val="0"/>
            <w:vAlign w:val="center"/>
          </w:tcPr>
          <w:p w14:paraId="65B15515">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1.资质证照是否在有效期内。</w:t>
            </w:r>
          </w:p>
          <w:p w14:paraId="709D9F95">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2.是否建立食品安全管理组织和岗位责任制，明确和落实食品安全责任。</w:t>
            </w:r>
          </w:p>
          <w:p w14:paraId="740CF21B">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3.是否建立采购查验和索证索票制度。</w:t>
            </w:r>
          </w:p>
          <w:p w14:paraId="48951CB1">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4.是否按要求建立健全其他食品安全管理制度（如：食品库房、烹饪间、分装间等卫生管理制度；各岗位职责；仓储保管制度；粗加工管理制度等）。</w:t>
            </w:r>
          </w:p>
        </w:tc>
        <w:tc>
          <w:tcPr>
            <w:tcW w:w="933" w:type="pct"/>
            <w:noWrap w:val="0"/>
            <w:vAlign w:val="center"/>
          </w:tcPr>
          <w:p w14:paraId="06F71A56">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1.资质证照过期扣5分/项/次。</w:t>
            </w:r>
          </w:p>
          <w:p w14:paraId="29841275">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2、每缺少一项、未按制度执行扣2分∕项/次。</w:t>
            </w:r>
          </w:p>
        </w:tc>
        <w:tc>
          <w:tcPr>
            <w:tcW w:w="543" w:type="pct"/>
            <w:noWrap w:val="0"/>
            <w:vAlign w:val="center"/>
          </w:tcPr>
          <w:p w14:paraId="4AE32A83">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p>
        </w:tc>
      </w:tr>
      <w:tr w14:paraId="0261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0" w:type="pct"/>
            <w:noWrap w:val="0"/>
            <w:vAlign w:val="center"/>
          </w:tcPr>
          <w:p w14:paraId="2824BEB4">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食品安全管理</w:t>
            </w:r>
          </w:p>
          <w:p w14:paraId="70F27911">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w:t>
            </w:r>
            <w:r>
              <w:rPr>
                <w:rFonts w:hint="default" w:ascii="宋体" w:hAnsi="宋体" w:eastAsia="宋体" w:cs="Times New Roman"/>
                <w:kern w:val="2"/>
                <w:sz w:val="24"/>
                <w:szCs w:val="20"/>
              </w:rPr>
              <w:t>20</w:t>
            </w:r>
            <w:r>
              <w:rPr>
                <w:rFonts w:hint="eastAsia" w:ascii="宋体" w:hAnsi="宋体" w:eastAsia="宋体" w:cs="Times New Roman"/>
                <w:kern w:val="2"/>
                <w:sz w:val="24"/>
                <w:szCs w:val="20"/>
              </w:rPr>
              <w:t>分）</w:t>
            </w:r>
          </w:p>
        </w:tc>
        <w:tc>
          <w:tcPr>
            <w:tcW w:w="2642" w:type="pct"/>
            <w:noWrap w:val="0"/>
            <w:vAlign w:val="center"/>
          </w:tcPr>
          <w:p w14:paraId="5B24843E">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1.食品库房、烹饪间、分装间等场所专人管理、钥匙专管。</w:t>
            </w:r>
          </w:p>
          <w:p w14:paraId="6152709F">
            <w:pPr>
              <w:keepNext w:val="0"/>
              <w:keepLines w:val="0"/>
              <w:suppressLineNumbers w:val="0"/>
              <w:spacing w:before="0" w:beforeAutospacing="0" w:after="0" w:afterAutospacing="0" w:line="360" w:lineRule="auto"/>
              <w:ind w:left="0" w:right="0"/>
              <w:jc w:val="left"/>
              <w:rPr>
                <w:rFonts w:hint="default" w:ascii="宋体" w:hAnsi="宋体" w:eastAsia="宋体" w:cs="Times New Roman"/>
                <w:sz w:val="24"/>
                <w:szCs w:val="20"/>
                <w:lang w:bidi="ar"/>
              </w:rPr>
            </w:pPr>
            <w:r>
              <w:rPr>
                <w:rFonts w:hint="eastAsia" w:ascii="宋体" w:hAnsi="宋体" w:eastAsia="宋体" w:cs="Times New Roman"/>
                <w:sz w:val="24"/>
                <w:szCs w:val="20"/>
                <w:lang w:bidi="ar"/>
              </w:rPr>
              <w:t>2.</w:t>
            </w:r>
            <w:r>
              <w:rPr>
                <w:rFonts w:hint="default" w:ascii="宋体" w:hAnsi="宋体" w:eastAsia="宋体" w:cs="Times New Roman"/>
                <w:sz w:val="24"/>
                <w:szCs w:val="20"/>
                <w:lang w:bidi="ar"/>
              </w:rPr>
              <w:t>餐具消毒清洗有流程、方法和责任人。</w:t>
            </w:r>
          </w:p>
          <w:p w14:paraId="034C2B42">
            <w:pPr>
              <w:keepNext w:val="0"/>
              <w:keepLines w:val="0"/>
              <w:suppressLineNumbers w:val="0"/>
              <w:spacing w:before="0" w:beforeAutospacing="0" w:after="0" w:afterAutospacing="0" w:line="360" w:lineRule="auto"/>
              <w:ind w:left="0" w:right="0"/>
              <w:jc w:val="left"/>
              <w:rPr>
                <w:rFonts w:hint="default" w:ascii="宋体" w:hAnsi="宋体" w:eastAsia="宋体" w:cs="Times New Roman"/>
                <w:sz w:val="24"/>
                <w:szCs w:val="20"/>
                <w:lang w:bidi="ar"/>
              </w:rPr>
            </w:pPr>
            <w:r>
              <w:rPr>
                <w:rFonts w:hint="eastAsia" w:ascii="宋体" w:hAnsi="宋体" w:eastAsia="宋体" w:cs="Times New Roman"/>
                <w:sz w:val="24"/>
                <w:szCs w:val="20"/>
                <w:lang w:bidi="ar"/>
              </w:rPr>
              <w:t>3</w:t>
            </w:r>
            <w:r>
              <w:rPr>
                <w:rFonts w:hint="default" w:ascii="宋体" w:hAnsi="宋体" w:eastAsia="宋体" w:cs="Times New Roman"/>
                <w:sz w:val="24"/>
                <w:szCs w:val="20"/>
                <w:lang w:bidi="ar"/>
              </w:rPr>
              <w:t>.食堂人员会使用灭火器，有预防措施和安全责任人。</w:t>
            </w:r>
          </w:p>
          <w:p w14:paraId="708E5DE6">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lang w:eastAsia="zh-CN" w:bidi="ar"/>
              </w:rPr>
            </w:pPr>
            <w:r>
              <w:rPr>
                <w:rFonts w:hint="eastAsia" w:ascii="宋体" w:hAnsi="宋体" w:eastAsia="宋体" w:cs="Times New Roman"/>
                <w:sz w:val="24"/>
                <w:szCs w:val="20"/>
                <w:lang w:val="en-US" w:bidi="ar"/>
              </w:rPr>
              <w:t>4.加工经营场所的内外环境情况。（</w:t>
            </w:r>
            <w:r>
              <w:rPr>
                <w:rFonts w:hint="eastAsia" w:ascii="宋体" w:hAnsi="宋体" w:eastAsia="宋体" w:cs="Times New Roman"/>
                <w:sz w:val="24"/>
                <w:szCs w:val="20"/>
                <w:lang w:bidi="ar"/>
              </w:rPr>
              <w:t>如：</w:t>
            </w:r>
            <w:r>
              <w:rPr>
                <w:rFonts w:hint="default" w:ascii="宋体" w:hAnsi="宋体" w:eastAsia="宋体" w:cs="Times New Roman"/>
                <w:kern w:val="2"/>
                <w:sz w:val="24"/>
                <w:szCs w:val="20"/>
                <w:lang w:val="en-US" w:eastAsia="zh-CN" w:bidi="ar"/>
              </w:rPr>
              <w:t>墙壁、天花板、门窗是否清洁，是否有蜘蛛网、霉斑或其它明显积垢；地面是否洁净，是否有积水和油污，排水沟渠是否通畅；垃圾和废弃物是否及时清理，存放设施是否密闭，外观是否清洁；是否有昆虫鼠害</w:t>
            </w:r>
            <w:r>
              <w:rPr>
                <w:rFonts w:hint="eastAsia" w:ascii="宋体" w:hAnsi="宋体" w:eastAsia="宋体" w:cs="Times New Roman"/>
                <w:kern w:val="2"/>
                <w:sz w:val="24"/>
                <w:szCs w:val="20"/>
                <w:lang w:eastAsia="zh-CN" w:bidi="ar"/>
              </w:rPr>
              <w:t>等情况。）</w:t>
            </w:r>
          </w:p>
          <w:p w14:paraId="43F96526">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lang w:eastAsia="zh-CN" w:bidi="ar"/>
              </w:rPr>
            </w:pPr>
            <w:r>
              <w:rPr>
                <w:rFonts w:hint="eastAsia" w:ascii="宋体" w:hAnsi="宋体" w:eastAsia="宋体" w:cs="Times New Roman"/>
                <w:kern w:val="2"/>
                <w:sz w:val="24"/>
                <w:szCs w:val="20"/>
                <w:lang w:eastAsia="zh-CN" w:bidi="ar"/>
              </w:rPr>
              <w:t>5.其他不符合食品卫生管理及操作的行为或违反食品安全管理的行为。</w:t>
            </w:r>
          </w:p>
        </w:tc>
        <w:tc>
          <w:tcPr>
            <w:tcW w:w="933" w:type="pct"/>
            <w:noWrap w:val="0"/>
            <w:vAlign w:val="center"/>
          </w:tcPr>
          <w:p w14:paraId="522E8C19">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现场随机抽查，每发现一处不规范扣3-5分。</w:t>
            </w:r>
          </w:p>
        </w:tc>
        <w:tc>
          <w:tcPr>
            <w:tcW w:w="543" w:type="pct"/>
            <w:noWrap w:val="0"/>
            <w:vAlign w:val="center"/>
          </w:tcPr>
          <w:p w14:paraId="1E691497">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600E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80" w:type="pct"/>
            <w:noWrap w:val="0"/>
            <w:vAlign w:val="center"/>
          </w:tcPr>
          <w:p w14:paraId="2DA10ACC">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食品来源及出品留样管理</w:t>
            </w:r>
          </w:p>
          <w:p w14:paraId="586268C8">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（10分）</w:t>
            </w:r>
          </w:p>
        </w:tc>
        <w:tc>
          <w:tcPr>
            <w:tcW w:w="2642" w:type="pct"/>
            <w:noWrap w:val="0"/>
            <w:vAlign w:val="center"/>
          </w:tcPr>
          <w:p w14:paraId="350281B4">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1.是否定期提供原料进价单。</w:t>
            </w:r>
            <w:r>
              <w:rPr>
                <w:rFonts w:hint="eastAsia" w:ascii="宋体" w:hAnsi="宋体" w:eastAsia="宋体" w:cs="Times New Roman"/>
                <w:sz w:val="24"/>
                <w:szCs w:val="20"/>
              </w:rPr>
              <w:t>2</w:t>
            </w:r>
            <w:r>
              <w:rPr>
                <w:rFonts w:hint="eastAsia" w:ascii="宋体" w:hAnsi="宋体" w:eastAsia="宋体" w:cs="Times New Roman"/>
                <w:sz w:val="24"/>
                <w:szCs w:val="20"/>
                <w:lang w:bidi="ar"/>
              </w:rPr>
              <w:t>.成品、半成品、调料必须有厂商、生产日期、合格证。3.烹饪加工品质控制有指定的专业责任人。4.有预防农药残留制度，操作流程和检测责任人。</w:t>
            </w:r>
            <w:r>
              <w:rPr>
                <w:rFonts w:hint="eastAsia" w:ascii="宋体" w:hAnsi="宋体" w:eastAsia="宋体" w:cs="Times New Roman"/>
                <w:sz w:val="24"/>
                <w:szCs w:val="20"/>
              </w:rPr>
              <w:t xml:space="preserve"> 5</w:t>
            </w:r>
            <w:r>
              <w:rPr>
                <w:rFonts w:hint="eastAsia" w:ascii="宋体" w:hAnsi="宋体" w:eastAsia="宋体" w:cs="Times New Roman"/>
                <w:sz w:val="24"/>
                <w:szCs w:val="20"/>
                <w:lang w:bidi="ar"/>
              </w:rPr>
              <w:t>.餐样留存48小时，有食物中毒预案。</w:t>
            </w:r>
          </w:p>
        </w:tc>
        <w:tc>
          <w:tcPr>
            <w:tcW w:w="933" w:type="pct"/>
            <w:noWrap w:val="0"/>
            <w:vAlign w:val="center"/>
          </w:tcPr>
          <w:p w14:paraId="4A5620AD">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现场随机抽查，违反一项扣2分。</w:t>
            </w:r>
          </w:p>
        </w:tc>
        <w:tc>
          <w:tcPr>
            <w:tcW w:w="543" w:type="pct"/>
            <w:noWrap w:val="0"/>
            <w:vAlign w:val="center"/>
          </w:tcPr>
          <w:p w14:paraId="5298B782">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16ED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80" w:type="pct"/>
            <w:noWrap w:val="0"/>
            <w:vAlign w:val="center"/>
          </w:tcPr>
          <w:p w14:paraId="68049235">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供餐质量管理</w:t>
            </w:r>
          </w:p>
          <w:p w14:paraId="05304D74">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（20分）</w:t>
            </w:r>
          </w:p>
        </w:tc>
        <w:tc>
          <w:tcPr>
            <w:tcW w:w="2642" w:type="pct"/>
            <w:noWrap w:val="0"/>
            <w:vAlign w:val="center"/>
          </w:tcPr>
          <w:p w14:paraId="2AAC5A46">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1.食材新鲜，没有变质、老化的果蔬食品入餐，肉类按相关要求保存，确保无变质。2.餐品无异味、无异物。3.每周对菜品种搭配变化调整。4.各类食品按公布的克重供应。</w:t>
            </w:r>
          </w:p>
        </w:tc>
        <w:tc>
          <w:tcPr>
            <w:tcW w:w="933" w:type="pct"/>
            <w:noWrap w:val="0"/>
            <w:vAlign w:val="center"/>
          </w:tcPr>
          <w:p w14:paraId="2C0D5EF4">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现场随机抽查，违反一项/次扣3分。</w:t>
            </w:r>
          </w:p>
        </w:tc>
        <w:tc>
          <w:tcPr>
            <w:tcW w:w="543" w:type="pct"/>
            <w:noWrap w:val="0"/>
            <w:vAlign w:val="center"/>
          </w:tcPr>
          <w:p w14:paraId="4443C5FB">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2679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880" w:type="pct"/>
            <w:noWrap w:val="0"/>
            <w:vAlign w:val="center"/>
          </w:tcPr>
          <w:p w14:paraId="12B46D2A">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从业人员健康管理及个人要求</w:t>
            </w:r>
          </w:p>
          <w:p w14:paraId="07F9E1DB">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（10分）</w:t>
            </w:r>
          </w:p>
        </w:tc>
        <w:tc>
          <w:tcPr>
            <w:tcW w:w="2642" w:type="pct"/>
            <w:noWrap w:val="0"/>
            <w:vAlign w:val="center"/>
          </w:tcPr>
          <w:p w14:paraId="794B4B61">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1.从业人员是否均取得有效健康合格证明。</w:t>
            </w:r>
          </w:p>
          <w:p w14:paraId="612238E4">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2.工作人员的服务态度良好，无投诉。</w:t>
            </w:r>
          </w:p>
          <w:p w14:paraId="0B1D95CA">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3.分餐及餐后收拾整洁。</w:t>
            </w:r>
          </w:p>
          <w:p w14:paraId="554D0450">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4.按时定点送餐，无发生迟送漏送事件。</w:t>
            </w:r>
          </w:p>
          <w:p w14:paraId="7002489C">
            <w:pPr>
              <w:keepNext w:val="0"/>
              <w:keepLines w:val="0"/>
              <w:suppressLineNumbers w:val="0"/>
              <w:spacing w:before="0" w:beforeAutospacing="0" w:after="0" w:afterAutospacing="0" w:line="360" w:lineRule="auto"/>
              <w:ind w:left="0" w:right="0"/>
              <w:rPr>
                <w:rFonts w:hint="eastAsia" w:ascii="宋体" w:hAnsi="宋体" w:eastAsia="宋体" w:cs="Times New Roman"/>
                <w:sz w:val="24"/>
                <w:szCs w:val="20"/>
                <w:lang w:bidi="ar"/>
              </w:rPr>
            </w:pPr>
            <w:r>
              <w:rPr>
                <w:rFonts w:hint="eastAsia" w:ascii="宋体" w:hAnsi="宋体" w:eastAsia="宋体" w:cs="Times New Roman"/>
                <w:sz w:val="24"/>
                <w:szCs w:val="20"/>
                <w:lang w:bidi="ar"/>
              </w:rPr>
              <w:t>5.紧急事情的上报、处理及时，无不良影响。</w:t>
            </w:r>
          </w:p>
          <w:p w14:paraId="47E330B3">
            <w:pPr>
              <w:keepNext w:val="0"/>
              <w:keepLines w:val="0"/>
              <w:suppressLineNumbers w:val="0"/>
              <w:spacing w:before="0" w:beforeAutospacing="0" w:after="0" w:afterAutospacing="0" w:line="360" w:lineRule="auto"/>
              <w:ind w:left="0" w:right="0"/>
              <w:rPr>
                <w:rFonts w:hint="eastAsia" w:ascii="宋体" w:hAnsi="宋体" w:eastAsia="宋体" w:cs="Times New Roman"/>
                <w:kern w:val="2"/>
                <w:sz w:val="24"/>
                <w:szCs w:val="20"/>
              </w:rPr>
            </w:pPr>
            <w:r>
              <w:rPr>
                <w:rFonts w:hint="eastAsia" w:ascii="宋体" w:hAnsi="宋体" w:eastAsia="宋体" w:cs="Times New Roman"/>
                <w:sz w:val="24"/>
                <w:szCs w:val="20"/>
                <w:lang w:bidi="ar"/>
              </w:rPr>
              <w:t>6.管理记录完善</w:t>
            </w:r>
          </w:p>
        </w:tc>
        <w:tc>
          <w:tcPr>
            <w:tcW w:w="933" w:type="pct"/>
            <w:noWrap w:val="0"/>
            <w:vAlign w:val="center"/>
          </w:tcPr>
          <w:p w14:paraId="60E9C429">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1.无证上岗扣3分/人，过期扣2分/人。</w:t>
            </w:r>
          </w:p>
          <w:p w14:paraId="09E9EBDA">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2.现场随机抽查，违反一项扣2分。</w:t>
            </w:r>
          </w:p>
        </w:tc>
        <w:tc>
          <w:tcPr>
            <w:tcW w:w="543" w:type="pct"/>
            <w:noWrap w:val="0"/>
            <w:vAlign w:val="center"/>
          </w:tcPr>
          <w:p w14:paraId="24685F34">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4528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80" w:type="pct"/>
            <w:noWrap w:val="0"/>
            <w:vAlign w:val="top"/>
          </w:tcPr>
          <w:p w14:paraId="1A83E78B">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lang w:val="en-US" w:eastAsia="zh-CN" w:bidi="ar"/>
              </w:rPr>
            </w:pPr>
            <w:r>
              <w:rPr>
                <w:rFonts w:hint="eastAsia" w:ascii="宋体" w:hAnsi="宋体" w:eastAsia="宋体" w:cs="Times New Roman"/>
                <w:kern w:val="2"/>
                <w:sz w:val="24"/>
                <w:szCs w:val="20"/>
                <w:lang w:val="en-US" w:eastAsia="zh-CN" w:bidi="ar"/>
              </w:rPr>
              <w:t>配送车辆卫生清洁</w:t>
            </w:r>
          </w:p>
          <w:p w14:paraId="7DE54A75">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lang w:bidi="ar"/>
              </w:rPr>
            </w:pPr>
            <w:r>
              <w:rPr>
                <w:rFonts w:hint="eastAsia" w:ascii="宋体" w:hAnsi="宋体" w:eastAsia="宋体" w:cs="Times New Roman"/>
                <w:kern w:val="2"/>
                <w:sz w:val="24"/>
                <w:szCs w:val="20"/>
              </w:rPr>
              <w:t>（5分）</w:t>
            </w:r>
          </w:p>
        </w:tc>
        <w:tc>
          <w:tcPr>
            <w:tcW w:w="2642" w:type="pct"/>
            <w:noWrap w:val="0"/>
            <w:vAlign w:val="top"/>
          </w:tcPr>
          <w:p w14:paraId="333C5EA8">
            <w:pPr>
              <w:keepNext w:val="0"/>
              <w:keepLines w:val="0"/>
              <w:suppressLineNumbers w:val="0"/>
              <w:spacing w:before="0" w:beforeAutospacing="0" w:after="0" w:afterAutospacing="0" w:line="360" w:lineRule="auto"/>
              <w:ind w:left="0" w:right="0"/>
              <w:rPr>
                <w:rFonts w:hint="default" w:ascii="宋体" w:hAnsi="宋体" w:eastAsia="宋体" w:cs="Times New Roman"/>
                <w:sz w:val="24"/>
                <w:szCs w:val="20"/>
                <w:lang w:bidi="ar"/>
              </w:rPr>
            </w:pPr>
            <w:r>
              <w:rPr>
                <w:rFonts w:hint="eastAsia" w:ascii="宋体" w:hAnsi="宋体" w:eastAsia="宋体" w:cs="Times New Roman"/>
                <w:kern w:val="2"/>
                <w:sz w:val="24"/>
                <w:szCs w:val="20"/>
                <w:lang w:val="en-US" w:eastAsia="zh-CN" w:bidi="ar"/>
              </w:rPr>
              <w:t>配送车辆</w:t>
            </w:r>
            <w:r>
              <w:rPr>
                <w:rFonts w:hint="eastAsia" w:ascii="宋体" w:hAnsi="宋体" w:eastAsia="宋体" w:cs="Times New Roman"/>
                <w:kern w:val="2"/>
                <w:sz w:val="24"/>
                <w:szCs w:val="20"/>
                <w:lang w:eastAsia="zh-CN" w:bidi="ar"/>
              </w:rPr>
              <w:t>符合要求</w:t>
            </w:r>
            <w:r>
              <w:rPr>
                <w:rFonts w:hint="eastAsia" w:ascii="宋体" w:hAnsi="宋体" w:eastAsia="宋体" w:cs="Times New Roman"/>
                <w:kern w:val="2"/>
                <w:sz w:val="24"/>
                <w:szCs w:val="20"/>
                <w:lang w:val="en-US" w:eastAsia="zh-CN" w:bidi="ar"/>
              </w:rPr>
              <w:t>；车厢内无不良气体和异味；食品堆放无不科学不合理现象，未造成食品的交叉污染</w:t>
            </w:r>
            <w:r>
              <w:rPr>
                <w:rFonts w:hint="eastAsia" w:ascii="宋体" w:hAnsi="宋体" w:eastAsia="宋体" w:cs="Times New Roman"/>
                <w:kern w:val="2"/>
                <w:sz w:val="24"/>
                <w:szCs w:val="20"/>
                <w:lang w:eastAsia="zh-CN" w:bidi="ar"/>
              </w:rPr>
              <w:t>。</w:t>
            </w:r>
          </w:p>
        </w:tc>
        <w:tc>
          <w:tcPr>
            <w:tcW w:w="933" w:type="pct"/>
            <w:noWrap w:val="0"/>
            <w:vAlign w:val="center"/>
          </w:tcPr>
          <w:p w14:paraId="042CB3E0">
            <w:pPr>
              <w:keepNext w:val="0"/>
              <w:keepLines w:val="0"/>
              <w:suppressLineNumbers w:val="0"/>
              <w:spacing w:before="0" w:beforeAutospacing="0" w:after="0" w:afterAutospacing="0" w:line="360" w:lineRule="auto"/>
              <w:ind w:left="0" w:right="0"/>
              <w:jc w:val="left"/>
              <w:rPr>
                <w:rFonts w:hint="default" w:ascii="宋体" w:hAnsi="宋体" w:eastAsia="宋体" w:cs="Times New Roman"/>
                <w:sz w:val="24"/>
                <w:szCs w:val="20"/>
                <w:lang w:bidi="ar"/>
              </w:rPr>
            </w:pPr>
            <w:r>
              <w:rPr>
                <w:rFonts w:hint="eastAsia" w:ascii="宋体" w:hAnsi="宋体" w:eastAsia="宋体" w:cs="Times New Roman"/>
                <w:sz w:val="24"/>
                <w:szCs w:val="20"/>
                <w:lang w:bidi="ar"/>
              </w:rPr>
              <w:t>每发现一处不符合扣</w:t>
            </w:r>
            <w:r>
              <w:rPr>
                <w:rFonts w:hint="eastAsia" w:ascii="宋体" w:hAnsi="宋体" w:eastAsia="宋体" w:cs="Times New Roman"/>
                <w:kern w:val="2"/>
                <w:sz w:val="24"/>
                <w:szCs w:val="20"/>
                <w:lang w:bidi="ar"/>
              </w:rPr>
              <w:t>2</w:t>
            </w:r>
            <w:r>
              <w:rPr>
                <w:rFonts w:hint="eastAsia" w:ascii="宋体" w:hAnsi="宋体" w:eastAsia="宋体" w:cs="Times New Roman"/>
                <w:sz w:val="24"/>
                <w:szCs w:val="20"/>
                <w:lang w:bidi="ar"/>
              </w:rPr>
              <w:t>分</w:t>
            </w:r>
            <w:r>
              <w:rPr>
                <w:rFonts w:hint="eastAsia" w:ascii="宋体" w:hAnsi="宋体" w:eastAsia="宋体" w:cs="Times New Roman"/>
                <w:kern w:val="2"/>
                <w:sz w:val="24"/>
                <w:szCs w:val="20"/>
                <w:lang w:bidi="ar"/>
              </w:rPr>
              <w:t>。</w:t>
            </w:r>
          </w:p>
        </w:tc>
        <w:tc>
          <w:tcPr>
            <w:tcW w:w="543" w:type="pct"/>
            <w:noWrap w:val="0"/>
            <w:vAlign w:val="center"/>
          </w:tcPr>
          <w:p w14:paraId="59BC0504">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51F3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80" w:type="pct"/>
            <w:noWrap w:val="0"/>
            <w:vAlign w:val="center"/>
          </w:tcPr>
          <w:p w14:paraId="2F5A6B2A">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价格执行情况（5分）</w:t>
            </w:r>
          </w:p>
        </w:tc>
        <w:tc>
          <w:tcPr>
            <w:tcW w:w="2642" w:type="pct"/>
            <w:noWrap w:val="0"/>
            <w:vAlign w:val="center"/>
          </w:tcPr>
          <w:p w14:paraId="31578445">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1.按公示的餐品进行定价。2.平台不存在多扣、诱导消费等情况。</w:t>
            </w:r>
          </w:p>
        </w:tc>
        <w:tc>
          <w:tcPr>
            <w:tcW w:w="933" w:type="pct"/>
            <w:noWrap w:val="0"/>
            <w:vAlign w:val="center"/>
          </w:tcPr>
          <w:p w14:paraId="6E75E0DA">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r>
              <w:rPr>
                <w:rFonts w:hint="eastAsia" w:ascii="宋体" w:hAnsi="宋体" w:eastAsia="宋体" w:cs="Times New Roman"/>
                <w:sz w:val="24"/>
                <w:szCs w:val="20"/>
                <w:lang w:bidi="ar"/>
              </w:rPr>
              <w:t>现场随机抽查，违反一项扣2分。</w:t>
            </w:r>
          </w:p>
        </w:tc>
        <w:tc>
          <w:tcPr>
            <w:tcW w:w="543" w:type="pct"/>
            <w:noWrap w:val="0"/>
            <w:vAlign w:val="center"/>
          </w:tcPr>
          <w:p w14:paraId="0DE83D75">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48DE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80" w:type="pct"/>
            <w:noWrap w:val="0"/>
            <w:vAlign w:val="center"/>
          </w:tcPr>
          <w:p w14:paraId="725AFA28">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其他</w:t>
            </w:r>
          </w:p>
          <w:p w14:paraId="23ADA4D1">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w:t>
            </w:r>
            <w:r>
              <w:rPr>
                <w:rFonts w:hint="default" w:ascii="宋体" w:hAnsi="宋体" w:eastAsia="宋体" w:cs="Times New Roman"/>
                <w:kern w:val="2"/>
                <w:sz w:val="24"/>
                <w:szCs w:val="20"/>
              </w:rPr>
              <w:t>10</w:t>
            </w:r>
            <w:r>
              <w:rPr>
                <w:rFonts w:hint="eastAsia" w:ascii="宋体" w:hAnsi="宋体" w:eastAsia="宋体" w:cs="Times New Roman"/>
                <w:kern w:val="2"/>
                <w:sz w:val="24"/>
                <w:szCs w:val="20"/>
              </w:rPr>
              <w:t>分）</w:t>
            </w:r>
          </w:p>
        </w:tc>
        <w:tc>
          <w:tcPr>
            <w:tcW w:w="2642" w:type="pct"/>
            <w:noWrap w:val="0"/>
            <w:vAlign w:val="center"/>
          </w:tcPr>
          <w:p w14:paraId="1EBAA8A2">
            <w:pPr>
              <w:keepNext w:val="0"/>
              <w:keepLines w:val="0"/>
              <w:suppressLineNumbers w:val="0"/>
              <w:spacing w:before="0" w:beforeAutospacing="0" w:after="0" w:afterAutospacing="0" w:line="360" w:lineRule="auto"/>
              <w:ind w:left="0" w:right="0"/>
              <w:jc w:val="left"/>
              <w:rPr>
                <w:rFonts w:hint="default" w:ascii="宋体" w:hAnsi="宋体" w:eastAsia="宋体" w:cs="Times New Roman"/>
                <w:sz w:val="24"/>
                <w:szCs w:val="20"/>
                <w:lang w:bidi="ar"/>
              </w:rPr>
            </w:pPr>
            <w:r>
              <w:rPr>
                <w:rFonts w:hint="default" w:ascii="宋体" w:hAnsi="宋体" w:eastAsia="宋体" w:cs="Times New Roman"/>
                <w:sz w:val="24"/>
                <w:szCs w:val="20"/>
                <w:lang w:bidi="ar"/>
              </w:rPr>
              <w:t>发现问题/投诉/不良事件等情况，</w:t>
            </w:r>
            <w:r>
              <w:rPr>
                <w:rFonts w:hint="eastAsia" w:ascii="宋体" w:hAnsi="宋体" w:eastAsia="宋体" w:cs="Times New Roman"/>
                <w:sz w:val="24"/>
                <w:szCs w:val="20"/>
                <w:lang w:bidi="ar"/>
              </w:rPr>
              <w:t>未按规定时间进行整改或整改后仍未达到要求</w:t>
            </w:r>
            <w:r>
              <w:rPr>
                <w:rFonts w:hint="default" w:ascii="宋体" w:hAnsi="宋体" w:eastAsia="宋体" w:cs="Times New Roman"/>
                <w:sz w:val="24"/>
                <w:szCs w:val="20"/>
                <w:lang w:bidi="ar"/>
              </w:rPr>
              <w:t>的。</w:t>
            </w:r>
          </w:p>
        </w:tc>
        <w:tc>
          <w:tcPr>
            <w:tcW w:w="933" w:type="pct"/>
            <w:noWrap w:val="0"/>
            <w:vAlign w:val="center"/>
          </w:tcPr>
          <w:p w14:paraId="327A8C10">
            <w:pPr>
              <w:keepNext w:val="0"/>
              <w:keepLines w:val="0"/>
              <w:suppressLineNumbers w:val="0"/>
              <w:spacing w:before="0" w:beforeAutospacing="0" w:after="0" w:afterAutospacing="0" w:line="360" w:lineRule="auto"/>
              <w:ind w:left="0" w:right="0"/>
              <w:jc w:val="left"/>
              <w:rPr>
                <w:rFonts w:hint="eastAsia" w:ascii="宋体" w:hAnsi="宋体" w:eastAsia="宋体" w:cs="Times New Roman"/>
                <w:sz w:val="24"/>
                <w:szCs w:val="20"/>
                <w:lang w:bidi="ar"/>
              </w:rPr>
            </w:pPr>
            <w:r>
              <w:rPr>
                <w:rFonts w:hint="eastAsia" w:ascii="宋体" w:hAnsi="宋体" w:eastAsia="宋体" w:cs="Times New Roman"/>
                <w:sz w:val="24"/>
                <w:szCs w:val="20"/>
                <w:lang w:bidi="ar"/>
              </w:rPr>
              <w:t>扣3分/宗</w:t>
            </w:r>
          </w:p>
        </w:tc>
        <w:tc>
          <w:tcPr>
            <w:tcW w:w="543" w:type="pct"/>
            <w:noWrap w:val="0"/>
            <w:vAlign w:val="center"/>
          </w:tcPr>
          <w:p w14:paraId="3B295755">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r w14:paraId="6119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80" w:type="pct"/>
            <w:noWrap w:val="0"/>
            <w:vAlign w:val="center"/>
          </w:tcPr>
          <w:p w14:paraId="51293E5A">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4"/>
                <w:szCs w:val="20"/>
              </w:rPr>
            </w:pPr>
            <w:r>
              <w:rPr>
                <w:rFonts w:hint="eastAsia" w:ascii="宋体" w:hAnsi="宋体" w:eastAsia="宋体" w:cs="Times New Roman"/>
                <w:kern w:val="2"/>
                <w:sz w:val="24"/>
                <w:szCs w:val="20"/>
              </w:rPr>
              <w:t>合计总分</w:t>
            </w:r>
          </w:p>
        </w:tc>
        <w:tc>
          <w:tcPr>
            <w:tcW w:w="4119" w:type="pct"/>
            <w:gridSpan w:val="3"/>
            <w:noWrap w:val="0"/>
            <w:vAlign w:val="center"/>
          </w:tcPr>
          <w:p w14:paraId="0489CE33">
            <w:pPr>
              <w:keepNext w:val="0"/>
              <w:keepLines w:val="0"/>
              <w:suppressLineNumbers w:val="0"/>
              <w:spacing w:before="0" w:beforeAutospacing="0" w:after="0" w:afterAutospacing="0" w:line="360" w:lineRule="auto"/>
              <w:ind w:left="0" w:right="0"/>
              <w:jc w:val="left"/>
              <w:rPr>
                <w:rFonts w:hint="eastAsia" w:ascii="宋体" w:hAnsi="宋体" w:eastAsia="宋体" w:cs="Times New Roman"/>
                <w:kern w:val="2"/>
                <w:sz w:val="24"/>
                <w:szCs w:val="20"/>
              </w:rPr>
            </w:pPr>
          </w:p>
        </w:tc>
      </w:tr>
    </w:tbl>
    <w:p w14:paraId="5E8D9146">
      <w:pPr>
        <w:widowControl/>
        <w:jc w:val="left"/>
        <w:rPr>
          <w:rFonts w:ascii="宋体" w:hAnsi="宋体"/>
          <w:sz w:val="24"/>
        </w:rPr>
      </w:pPr>
      <w:r>
        <w:rPr>
          <w:rFonts w:hint="eastAsia" w:ascii="宋体" w:hAnsi="宋体"/>
          <w:sz w:val="24"/>
        </w:rPr>
        <w:t>注：</w:t>
      </w:r>
    </w:p>
    <w:p w14:paraId="5F4C883F">
      <w:pPr>
        <w:spacing w:line="360" w:lineRule="auto"/>
        <w:rPr>
          <w:rFonts w:hint="eastAsia" w:ascii="宋体" w:hAnsi="宋体"/>
          <w:sz w:val="24"/>
        </w:rPr>
      </w:pPr>
      <w:r>
        <w:rPr>
          <w:rFonts w:hint="default" w:ascii="宋体" w:hAnsi="宋体"/>
          <w:sz w:val="24"/>
        </w:rPr>
        <w:t>1</w:t>
      </w:r>
      <w:r>
        <w:rPr>
          <w:rFonts w:hint="eastAsia" w:ascii="宋体" w:hAnsi="宋体"/>
          <w:sz w:val="24"/>
        </w:rPr>
        <w:t>、月度考评分≧80分为合格，﹤80分时，每下降1分扣罚1000元。连续3个月考评低于80分采购人有权终止合同。</w:t>
      </w:r>
    </w:p>
    <w:p w14:paraId="719704D6">
      <w:pPr>
        <w:pStyle w:val="5"/>
        <w:rPr>
          <w:rFonts w:ascii="宋体" w:hAnsi="宋体"/>
          <w:sz w:val="24"/>
        </w:rPr>
      </w:pPr>
    </w:p>
    <w:p w14:paraId="523C1821">
      <w:pPr>
        <w:pStyle w:val="5"/>
        <w:ind w:firstLine="0"/>
        <w:jc w:val="left"/>
        <w:rPr>
          <w:rFonts w:ascii="宋体" w:hAnsi="宋体" w:eastAsia="宋体"/>
          <w:sz w:val="24"/>
        </w:rPr>
      </w:pPr>
      <w:r>
        <w:rPr>
          <w:rFonts w:hint="eastAsia" w:ascii="宋体" w:hAnsi="宋体" w:eastAsia="宋体"/>
          <w:sz w:val="24"/>
        </w:rPr>
        <w:t xml:space="preserve">考评人签名： </w:t>
      </w:r>
      <w:r>
        <w:rPr>
          <w:rFonts w:ascii="宋体" w:hAnsi="宋体" w:eastAsia="宋体"/>
          <w:sz w:val="24"/>
        </w:rPr>
        <w:t xml:space="preserve">                                           </w:t>
      </w:r>
      <w:r>
        <w:rPr>
          <w:rFonts w:hint="eastAsia" w:ascii="宋体" w:hAnsi="宋体" w:eastAsia="宋体"/>
          <w:sz w:val="24"/>
        </w:rPr>
        <w:t>公司确认签名：</w:t>
      </w:r>
    </w:p>
    <w:p w14:paraId="252ED6C8">
      <w:pPr>
        <w:pStyle w:val="5"/>
        <w:ind w:firstLine="0"/>
        <w:jc w:val="left"/>
        <w:rPr>
          <w:rFonts w:ascii="宋体" w:hAnsi="宋体" w:eastAsia="宋体"/>
          <w:sz w:val="24"/>
        </w:rPr>
      </w:pPr>
    </w:p>
    <w:p w14:paraId="65920490">
      <w:pPr>
        <w:pStyle w:val="5"/>
        <w:ind w:firstLine="0"/>
        <w:jc w:val="left"/>
        <w:rPr>
          <w:rFonts w:ascii="宋体" w:hAnsi="宋体" w:eastAsia="宋体"/>
          <w:sz w:val="24"/>
        </w:rPr>
      </w:pPr>
    </w:p>
    <w:p w14:paraId="019E3905">
      <w:pPr>
        <w:pStyle w:val="5"/>
        <w:ind w:firstLine="0"/>
        <w:jc w:val="left"/>
      </w:pPr>
      <w:r>
        <w:rPr>
          <w:rFonts w:hint="eastAsia" w:ascii="宋体" w:hAnsi="宋体" w:eastAsia="宋体"/>
          <w:sz w:val="24"/>
        </w:rPr>
        <w:t xml:space="preserve">日期： </w:t>
      </w:r>
      <w:r>
        <w:rPr>
          <w:rFonts w:ascii="宋体" w:hAnsi="宋体" w:eastAsia="宋体"/>
          <w:sz w:val="24"/>
        </w:rPr>
        <w:t xml:space="preserve">                                                 </w:t>
      </w:r>
      <w:r>
        <w:rPr>
          <w:rFonts w:hint="eastAsia" w:ascii="宋体" w:hAnsi="宋体" w:eastAsia="宋体"/>
          <w:sz w:val="24"/>
        </w:rPr>
        <w:t>日期：</w:t>
      </w:r>
    </w:p>
    <w:p w14:paraId="32086271">
      <w:pPr>
        <w:pStyle w:val="2"/>
        <w:spacing w:before="0" w:after="0" w:line="360" w:lineRule="auto"/>
        <w:ind w:firstLine="640" w:firstLineChars="200"/>
        <w:jc w:val="center"/>
        <w:rPr>
          <w:rFonts w:asciiTheme="minorEastAsia" w:hAnsiTheme="minorEastAsia" w:eastAsiaTheme="minorEastAsia"/>
          <w:color w:val="000000"/>
          <w:kern w:val="0"/>
          <w:sz w:val="32"/>
          <w:szCs w:val="36"/>
        </w:rPr>
      </w:pPr>
      <w:r>
        <w:rPr>
          <w:rFonts w:hint="eastAsia" w:asciiTheme="minorEastAsia" w:hAnsiTheme="minorEastAsia" w:eastAsiaTheme="minorEastAsia"/>
          <w:sz w:val="32"/>
          <w:szCs w:val="36"/>
        </w:rPr>
        <w:t xml:space="preserve">第六部分  </w:t>
      </w:r>
      <w:r>
        <w:rPr>
          <w:rFonts w:hint="eastAsia" w:asciiTheme="minorEastAsia" w:hAnsiTheme="minorEastAsia" w:eastAsiaTheme="minorEastAsia"/>
          <w:color w:val="000000"/>
          <w:kern w:val="0"/>
          <w:sz w:val="32"/>
          <w:szCs w:val="36"/>
        </w:rPr>
        <w:t>响应文件格式</w:t>
      </w:r>
    </w:p>
    <w:p w14:paraId="323B41E6">
      <w:pPr>
        <w:pStyle w:val="12"/>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请响应供应商严格按照表格内容及要求制作响应文件，所有证书类文件提供复印件且必须在有效期内。</w:t>
      </w:r>
    </w:p>
    <w:p w14:paraId="6EBB2AAF">
      <w:pPr>
        <w:pStyle w:val="12"/>
        <w:spacing w:line="480" w:lineRule="auto"/>
        <w:jc w:val="center"/>
        <w:outlineLvl w:val="1"/>
        <w:rPr>
          <w:rFonts w:asciiTheme="minorEastAsia" w:hAnsiTheme="minorEastAsia" w:eastAsiaTheme="minorEastAsia"/>
          <w:b/>
          <w:sz w:val="28"/>
          <w:szCs w:val="24"/>
        </w:rPr>
      </w:pPr>
      <w:r>
        <w:rPr>
          <w:rFonts w:hint="eastAsia" w:asciiTheme="minorEastAsia" w:hAnsiTheme="minorEastAsia" w:eastAsiaTheme="minorEastAsia"/>
          <w:b/>
          <w:sz w:val="28"/>
          <w:szCs w:val="24"/>
        </w:rPr>
        <w:t>格式1  授权委托书</w:t>
      </w:r>
    </w:p>
    <w:p w14:paraId="00034C04">
      <w:pPr>
        <w:pStyle w:val="12"/>
        <w:spacing w:line="480" w:lineRule="auto"/>
        <w:ind w:firstLine="560" w:firstLineChars="200"/>
        <w:jc w:val="center"/>
        <w:rPr>
          <w:rFonts w:asciiTheme="minorEastAsia" w:hAnsiTheme="minorEastAsia" w:eastAsiaTheme="minorEastAsia"/>
          <w:b/>
          <w:sz w:val="28"/>
          <w:szCs w:val="24"/>
        </w:rPr>
      </w:pPr>
    </w:p>
    <w:p w14:paraId="3428E420">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兹授权（委托代理人姓名）为我方委托代理人，其权限是：办理“</w:t>
      </w:r>
      <w:r>
        <w:rPr>
          <w:rFonts w:hint="eastAsia" w:asciiTheme="minorEastAsia" w:hAnsiTheme="minorEastAsia" w:eastAsiaTheme="minorEastAsia"/>
          <w:bCs/>
          <w:sz w:val="24"/>
          <w:u w:val="single"/>
          <w:lang w:eastAsia="zh-CN"/>
        </w:rPr>
        <w:t>广州市番禺区第七人民医院中央配餐配送服务项目</w:t>
      </w:r>
      <w:r>
        <w:rPr>
          <w:rFonts w:hint="eastAsia" w:asciiTheme="minorEastAsia" w:hAnsiTheme="minorEastAsia" w:eastAsiaTheme="minorEastAsia"/>
          <w:bCs/>
          <w:sz w:val="24"/>
          <w:u w:val="single"/>
        </w:rPr>
        <w:t>（询比编号：CG-XBLX-202602-01）</w:t>
      </w:r>
      <w:r>
        <w:rPr>
          <w:rFonts w:hint="eastAsia" w:asciiTheme="minorEastAsia" w:hAnsiTheme="minorEastAsia" w:eastAsiaTheme="minorEastAsia"/>
          <w:bCs/>
          <w:sz w:val="24"/>
        </w:rPr>
        <w:t>”的询比事宜。本授权书有效期与本公司响应文件中标注的询比有效期相同，自法定代表人签字之日起生效。</w:t>
      </w:r>
    </w:p>
    <w:p w14:paraId="0EF7DF2B">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附：代理人性别：年龄：职务：</w:t>
      </w:r>
    </w:p>
    <w:p w14:paraId="0BB98FB0">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身份证号码：</w:t>
      </w:r>
    </w:p>
    <w:p w14:paraId="339299B6">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（营业执照等）注册号码：</w:t>
      </w:r>
    </w:p>
    <w:p w14:paraId="79BE93AD">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企业类型：</w:t>
      </w:r>
    </w:p>
    <w:p w14:paraId="7AAEEC7F">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经营范围：</w:t>
      </w:r>
    </w:p>
    <w:p w14:paraId="317F399E">
      <w:pPr>
        <w:pStyle w:val="64"/>
        <w:spacing w:line="360" w:lineRule="auto"/>
        <w:ind w:firstLine="480" w:firstLineChars="200"/>
        <w:rPr>
          <w:rFonts w:cs="Courier New" w:asciiTheme="minorEastAsia" w:hAnsiTheme="minorEastAsia" w:eastAsiaTheme="minorEastAsia"/>
          <w:kern w:val="0"/>
          <w:sz w:val="24"/>
          <w:szCs w:val="24"/>
          <w:u w:val="single"/>
        </w:rPr>
      </w:pPr>
      <w:r>
        <w:rPr>
          <w:rFonts w:hint="eastAsia" w:cs="Courier New" w:asciiTheme="minorEastAsia" w:hAnsiTheme="minorEastAsia" w:eastAsiaTheme="minorEastAsia"/>
          <w:kern w:val="0"/>
          <w:sz w:val="24"/>
          <w:szCs w:val="24"/>
        </w:rPr>
        <w:t>　　　　　　　</w:t>
      </w:r>
    </w:p>
    <w:p w14:paraId="430A98AA">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w:t>
      </w:r>
    </w:p>
    <w:p w14:paraId="5E500CCB">
      <w:pPr>
        <w:pStyle w:val="17"/>
        <w:spacing w:line="360" w:lineRule="auto"/>
        <w:rPr>
          <w:rFonts w:asciiTheme="minorEastAsia" w:hAnsiTheme="minorEastAsia" w:eastAsiaTheme="minorEastAsia"/>
          <w:sz w:val="24"/>
          <w:szCs w:val="24"/>
          <w:u w:val="single"/>
        </w:rPr>
      </w:pPr>
    </w:p>
    <w:p w14:paraId="2DAF1592">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法定代表人（负责人）：（签名）</w:t>
      </w:r>
    </w:p>
    <w:p w14:paraId="37C62D44">
      <w:pPr>
        <w:pStyle w:val="17"/>
        <w:spacing w:line="360" w:lineRule="auto"/>
        <w:ind w:left="3399" w:leftChars="1619"/>
        <w:rPr>
          <w:rFonts w:asciiTheme="minorEastAsia" w:hAnsiTheme="minorEastAsia" w:eastAsiaTheme="minorEastAsia"/>
          <w:sz w:val="24"/>
          <w:szCs w:val="24"/>
        </w:rPr>
      </w:pPr>
    </w:p>
    <w:p w14:paraId="12513392">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授权单位（单位公章）：</w:t>
      </w:r>
    </w:p>
    <w:p w14:paraId="0A0C387F">
      <w:pPr>
        <w:pStyle w:val="17"/>
        <w:spacing w:line="360" w:lineRule="auto"/>
        <w:ind w:right="480"/>
        <w:rPr>
          <w:rFonts w:asciiTheme="minorEastAsia" w:hAnsiTheme="minorEastAsia" w:eastAsiaTheme="minorEastAsia"/>
          <w:sz w:val="24"/>
          <w:szCs w:val="24"/>
        </w:rPr>
      </w:pPr>
    </w:p>
    <w:p w14:paraId="75420D85">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委托代理人</w:t>
      </w:r>
      <w:r>
        <w:rPr>
          <w:rFonts w:hint="eastAsia" w:asciiTheme="minorEastAsia" w:hAnsiTheme="minorEastAsia" w:eastAsiaTheme="minorEastAsia"/>
          <w:bCs/>
          <w:sz w:val="24"/>
          <w:szCs w:val="24"/>
        </w:rPr>
        <w:t>：</w:t>
      </w:r>
      <w:r>
        <w:rPr>
          <w:rFonts w:hint="eastAsia" w:asciiTheme="minorEastAsia" w:hAnsiTheme="minorEastAsia" w:eastAsiaTheme="minorEastAsia"/>
          <w:sz w:val="24"/>
          <w:szCs w:val="24"/>
        </w:rPr>
        <w:t>（签名）</w:t>
      </w:r>
    </w:p>
    <w:p w14:paraId="3A0ADAE3">
      <w:pPr>
        <w:pStyle w:val="17"/>
        <w:wordWrap w:val="0"/>
        <w:spacing w:line="360" w:lineRule="auto"/>
        <w:ind w:left="3399" w:leftChars="1619"/>
        <w:jc w:val="right"/>
        <w:rPr>
          <w:rFonts w:asciiTheme="minorEastAsia" w:hAnsiTheme="minorEastAsia" w:eastAsiaTheme="minorEastAsia"/>
          <w:sz w:val="24"/>
          <w:szCs w:val="24"/>
        </w:rPr>
      </w:pPr>
      <w:r>
        <w:rPr>
          <w:rFonts w:hint="eastAsia" w:cs="Arial" w:asciiTheme="minorEastAsia" w:hAnsiTheme="minorEastAsia" w:eastAsiaTheme="minorEastAsia"/>
          <w:sz w:val="24"/>
          <w:szCs w:val="24"/>
        </w:rPr>
        <w:t>X</w:t>
      </w:r>
      <w:r>
        <w:rPr>
          <w:rFonts w:cs="Arial" w:asciiTheme="minorEastAsia" w:hAnsiTheme="minorEastAsia" w:eastAsiaTheme="minorEastAsia"/>
          <w:sz w:val="24"/>
          <w:szCs w:val="24"/>
        </w:rPr>
        <w:t>XXX</w:t>
      </w:r>
      <w:r>
        <w:rPr>
          <w:rFonts w:hint="eastAsia" w:cs="Arial" w:asciiTheme="minorEastAsia" w:hAnsiTheme="minorEastAsia" w:eastAsiaTheme="minorEastAsia"/>
          <w:sz w:val="24"/>
          <w:szCs w:val="24"/>
        </w:rPr>
        <w:t>年XX月XX日</w:t>
      </w:r>
    </w:p>
    <w:p w14:paraId="2678A2AE">
      <w:pPr>
        <w:pStyle w:val="17"/>
        <w:ind w:left="720" w:hanging="720" w:hangingChars="300"/>
        <w:rPr>
          <w:rFonts w:cs="仿宋_GB2312" w:asciiTheme="minorEastAsia" w:hAnsiTheme="minorEastAsia" w:eastAsiaTheme="minorEastAsia"/>
          <w:sz w:val="24"/>
          <w:szCs w:val="24"/>
        </w:rPr>
      </w:pPr>
    </w:p>
    <w:p w14:paraId="6BDDEB18">
      <w:pPr>
        <w:pStyle w:val="17"/>
        <w:ind w:left="720" w:hanging="720" w:hangingChars="30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说明：</w:t>
      </w:r>
    </w:p>
    <w:p w14:paraId="6C152670">
      <w:pPr>
        <w:pStyle w:val="17"/>
        <w:widowControl/>
        <w:numPr>
          <w:ilvl w:val="0"/>
          <w:numId w:val="23"/>
        </w:numPr>
        <w:tabs>
          <w:tab w:val="left" w:pos="360"/>
          <w:tab w:val="clear" w:pos="1264"/>
        </w:tabs>
        <w:ind w:left="360" w:hanging="360"/>
        <w:rPr>
          <w:rFonts w:cs="仿宋_GB2312" w:asciiTheme="minorEastAsia" w:hAnsiTheme="minorEastAsia" w:eastAsiaTheme="minorEastAsia"/>
          <w:b/>
          <w:sz w:val="24"/>
          <w:szCs w:val="24"/>
          <w:lang w:val="zh-CN"/>
        </w:rPr>
      </w:pPr>
      <w:r>
        <w:rPr>
          <w:rFonts w:cs="仿宋_GB2312" w:asciiTheme="minorEastAsia" w:hAnsiTheme="minorEastAsia" w:eastAsiaTheme="minorEastAsia"/>
          <w:b/>
          <w:sz w:val="24"/>
          <w:szCs w:val="24"/>
          <w:lang w:val="zh-CN"/>
        </w:rPr>
        <w:t>法定代表人亲自</w:t>
      </w:r>
      <w:r>
        <w:rPr>
          <w:rFonts w:hint="eastAsia" w:cs="仿宋_GB2312" w:asciiTheme="minorEastAsia" w:hAnsiTheme="minorEastAsia" w:eastAsiaTheme="minorEastAsia"/>
          <w:b/>
          <w:sz w:val="24"/>
          <w:szCs w:val="24"/>
          <w:lang w:val="zh-CN"/>
        </w:rPr>
        <w:t>参加开标并</w:t>
      </w:r>
      <w:r>
        <w:rPr>
          <w:rFonts w:cs="仿宋_GB2312" w:asciiTheme="minorEastAsia" w:hAnsiTheme="minorEastAsia" w:eastAsiaTheme="minorEastAsia"/>
          <w:b/>
          <w:sz w:val="24"/>
          <w:szCs w:val="24"/>
          <w:lang w:val="zh-CN"/>
        </w:rPr>
        <w:t>签署</w:t>
      </w:r>
      <w:r>
        <w:rPr>
          <w:rFonts w:hint="eastAsia" w:cs="仿宋_GB2312" w:asciiTheme="minorEastAsia" w:hAnsiTheme="minorEastAsia" w:eastAsiaTheme="minorEastAsia"/>
          <w:b/>
          <w:sz w:val="24"/>
          <w:szCs w:val="24"/>
          <w:lang w:val="zh-CN"/>
        </w:rPr>
        <w:t>“响应廉洁承诺书”</w:t>
      </w:r>
      <w:r>
        <w:rPr>
          <w:rFonts w:cs="仿宋_GB2312" w:asciiTheme="minorEastAsia" w:hAnsiTheme="minorEastAsia" w:eastAsiaTheme="minorEastAsia"/>
          <w:b/>
          <w:sz w:val="24"/>
          <w:szCs w:val="24"/>
          <w:lang w:val="zh-CN"/>
        </w:rPr>
        <w:t>的，则无需提交本表</w:t>
      </w:r>
      <w:r>
        <w:rPr>
          <w:rFonts w:hint="eastAsia" w:cs="仿宋_GB2312" w:asciiTheme="minorEastAsia" w:hAnsiTheme="minorEastAsia" w:eastAsiaTheme="minorEastAsia"/>
          <w:b/>
          <w:sz w:val="24"/>
          <w:szCs w:val="24"/>
          <w:lang w:val="zh-CN"/>
        </w:rPr>
        <w:t>，但须提交法人身份证复印件。</w:t>
      </w:r>
    </w:p>
    <w:p w14:paraId="6728B6D1">
      <w:pPr>
        <w:pStyle w:val="17"/>
        <w:widowControl/>
        <w:numPr>
          <w:ilvl w:val="0"/>
          <w:numId w:val="23"/>
        </w:numPr>
        <w:tabs>
          <w:tab w:val="left" w:pos="360"/>
          <w:tab w:val="clear" w:pos="1264"/>
        </w:tabs>
        <w:ind w:left="360" w:hanging="36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“响应廉洁承诺书”</w:t>
      </w:r>
      <w:r>
        <w:rPr>
          <w:rFonts w:cs="仿宋_GB2312" w:asciiTheme="minorEastAsia" w:hAnsiTheme="minorEastAsia" w:eastAsiaTheme="minorEastAsia"/>
          <w:sz w:val="24"/>
          <w:szCs w:val="24"/>
          <w:lang w:val="zh-CN"/>
        </w:rPr>
        <w:t>由委托代理人签署的，则须提交有单位公章、法定代表人的亲笔签名或盖章、委托代理人的亲笔签名或盖章的本文件，三者缺一不可。</w:t>
      </w:r>
    </w:p>
    <w:p w14:paraId="46E0E05E">
      <w:pPr>
        <w:pStyle w:val="17"/>
        <w:widowControl/>
        <w:numPr>
          <w:ilvl w:val="0"/>
          <w:numId w:val="23"/>
        </w:numPr>
        <w:tabs>
          <w:tab w:val="left" w:pos="360"/>
          <w:tab w:val="clear" w:pos="1264"/>
        </w:tabs>
        <w:ind w:left="360" w:hanging="360"/>
        <w:rPr>
          <w:rFonts w:cs="仿宋_GB2312" w:asciiTheme="minorEastAsia" w:hAnsiTheme="minorEastAsia" w:eastAsiaTheme="minorEastAsia"/>
          <w:sz w:val="24"/>
          <w:szCs w:val="24"/>
          <w:lang w:val="zh-CN"/>
        </w:rPr>
      </w:pPr>
      <w:r>
        <w:rPr>
          <w:rFonts w:cs="仿宋_GB2312" w:asciiTheme="minorEastAsia" w:hAnsiTheme="minorEastAsia" w:eastAsiaTheme="minorEastAsia"/>
          <w:sz w:val="24"/>
          <w:szCs w:val="24"/>
          <w:lang w:val="zh-CN"/>
        </w:rPr>
        <w:t>非法人</w:t>
      </w:r>
      <w:r>
        <w:rPr>
          <w:rFonts w:hint="eastAsia" w:cs="仿宋_GB2312" w:asciiTheme="minorEastAsia" w:hAnsiTheme="minorEastAsia" w:eastAsiaTheme="minorEastAsia"/>
          <w:sz w:val="24"/>
          <w:szCs w:val="24"/>
          <w:lang w:val="zh-CN"/>
        </w:rPr>
        <w:t>响应</w:t>
      </w:r>
      <w:r>
        <w:rPr>
          <w:rFonts w:cs="仿宋_GB2312" w:asciiTheme="minorEastAsia" w:hAnsiTheme="minorEastAsia" w:eastAsiaTheme="minorEastAsia"/>
          <w:sz w:val="24"/>
          <w:szCs w:val="24"/>
          <w:lang w:val="zh-CN"/>
        </w:rPr>
        <w:t>的，负责人指《营业执照》上载明的负责人。</w:t>
      </w:r>
    </w:p>
    <w:p w14:paraId="43BC20D4">
      <w:pPr>
        <w:pStyle w:val="12"/>
        <w:spacing w:line="480" w:lineRule="auto"/>
        <w:jc w:val="both"/>
        <w:outlineLvl w:val="1"/>
        <w:rPr>
          <w:rFonts w:asciiTheme="minorEastAsia" w:hAnsiTheme="minorEastAsia" w:eastAsiaTheme="minorEastAsia"/>
          <w:b/>
          <w:sz w:val="28"/>
          <w:szCs w:val="28"/>
        </w:rPr>
      </w:pPr>
      <w:r>
        <w:rPr>
          <w:rFonts w:asciiTheme="minorEastAsia" w:hAnsiTheme="minorEastAsia" w:eastAsiaTheme="minorEastAsia"/>
          <w:b/>
          <w:sz w:val="24"/>
          <w:szCs w:val="24"/>
        </w:rPr>
        <w:br w:type="page"/>
      </w:r>
      <w:r>
        <w:rPr>
          <w:rFonts w:hint="eastAsia" w:asciiTheme="minorEastAsia" w:hAnsiTheme="minorEastAsia" w:eastAsiaTheme="minorEastAsia"/>
          <w:b/>
          <w:sz w:val="28"/>
          <w:szCs w:val="28"/>
        </w:rPr>
        <w:t>格式2  响应廉洁承诺书（响应供应商）</w:t>
      </w:r>
    </w:p>
    <w:p w14:paraId="7614CD1B">
      <w:pPr>
        <w:pStyle w:val="12"/>
        <w:ind w:firstLine="560" w:firstLineChars="200"/>
        <w:jc w:val="center"/>
        <w:rPr>
          <w:rFonts w:asciiTheme="minorEastAsia" w:hAnsiTheme="minorEastAsia" w:eastAsiaTheme="minorEastAsia"/>
          <w:b/>
          <w:sz w:val="28"/>
          <w:szCs w:val="28"/>
        </w:rPr>
      </w:pPr>
    </w:p>
    <w:p w14:paraId="7F75F738">
      <w:pPr>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按照国家卫计委“九不准”工作要求，为进一步加强医院廉洁文化建设，提高反腐倡廉自觉性，规范采购工作，充分体现公平、公正、公开原则根据国家有关法律、法规，按照番禺区中心医院廉洁建设责任制规定，本供应商郑重作出如下承诺：</w:t>
      </w:r>
    </w:p>
    <w:p w14:paraId="49FB6EE5">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将遵循公开、公平、公正和诚实信用的原则参加询比活动。</w:t>
      </w:r>
    </w:p>
    <w:p w14:paraId="7CA3C964">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所提供的一切材料都是真实、有效、合法的。</w:t>
      </w:r>
    </w:p>
    <w:p w14:paraId="66136C55">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不得通过租借等方式从其他单位获取资格或者资质证书响应。</w:t>
      </w:r>
    </w:p>
    <w:p w14:paraId="51396DFB">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不得出现在自己编制的响应文件由其他单位加盖印章和由其他单位负责人签字问题。</w:t>
      </w:r>
    </w:p>
    <w:p w14:paraId="36763002">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不得与采购人、采购代理机构及其他供应商私下串通协商，进行围标、串标、抬标，控制响应价格。</w:t>
      </w:r>
    </w:p>
    <w:p w14:paraId="11B515F4">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不得通过挂靠其他企业方式，一家企业以多家企业的名义去参加同一标的响应。</w:t>
      </w:r>
    </w:p>
    <w:p w14:paraId="7A65A82C">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不得转让、出租、出借资</w:t>
      </w:r>
      <w:r>
        <w:rPr>
          <w:rFonts w:hint="eastAsia" w:asciiTheme="minorEastAsia" w:hAnsiTheme="minorEastAsia" w:eastAsiaTheme="minorEastAsia"/>
          <w:sz w:val="24"/>
          <w:lang w:val="en-US" w:eastAsia="zh-CN"/>
        </w:rPr>
        <w:t>质</w:t>
      </w:r>
      <w:r>
        <w:rPr>
          <w:rFonts w:hint="eastAsia" w:asciiTheme="minorEastAsia" w:hAnsiTheme="minorEastAsia" w:eastAsiaTheme="minorEastAsia"/>
          <w:sz w:val="24"/>
        </w:rPr>
        <w:t>证书、人员岗位证书或以其他方式允许他人以本企业名义响应。</w:t>
      </w:r>
    </w:p>
    <w:p w14:paraId="3FFCFFA0">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不得向采购人或者评审小组成员行贿以牟取成交。</w:t>
      </w:r>
    </w:p>
    <w:p w14:paraId="51F4F4A4">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不得扰乱医院采购活动的正常秩序。</w:t>
      </w:r>
    </w:p>
    <w:p w14:paraId="2EB764CD">
      <w:pPr>
        <w:numPr>
          <w:ilvl w:val="0"/>
          <w:numId w:val="24"/>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不得在开标后进行虚假恶意投诉。</w:t>
      </w:r>
    </w:p>
    <w:p w14:paraId="4F2524F3">
      <w:pPr>
        <w:tabs>
          <w:tab w:val="left" w:pos="5040"/>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上述承诺事项均为本企业真实意见表达，愿承担一切责任。若有任何弄虚作假、违反本承诺内容的行为，自愿接受取消响应资格等有关处理，并承担法律责任；如已成交的，自动放弃成交资格；给采购人造成损失的，依法承担赔偿责任。</w:t>
      </w:r>
    </w:p>
    <w:p w14:paraId="1EE51F3C">
      <w:pPr>
        <w:tabs>
          <w:tab w:val="left" w:pos="5040"/>
        </w:tabs>
        <w:adjustRightInd w:val="0"/>
        <w:snapToGrid w:val="0"/>
        <w:spacing w:line="460" w:lineRule="exact"/>
        <w:rPr>
          <w:rFonts w:asciiTheme="minorEastAsia" w:hAnsiTheme="minorEastAsia" w:eastAsiaTheme="minorEastAsia"/>
          <w:b/>
          <w:sz w:val="24"/>
        </w:rPr>
      </w:pPr>
    </w:p>
    <w:p w14:paraId="6D1807A2">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询比项目：</w:t>
      </w:r>
      <w:r>
        <w:rPr>
          <w:rFonts w:hint="eastAsia" w:asciiTheme="minorEastAsia" w:hAnsiTheme="minorEastAsia" w:eastAsiaTheme="minorEastAsia"/>
          <w:b/>
          <w:sz w:val="24"/>
          <w:lang w:eastAsia="zh-CN"/>
        </w:rPr>
        <w:t>广州市番禺区第七人民医院中央配餐配送服务项目</w:t>
      </w:r>
      <w:r>
        <w:rPr>
          <w:rFonts w:hint="eastAsia" w:asciiTheme="minorEastAsia" w:hAnsiTheme="minorEastAsia" w:eastAsiaTheme="minorEastAsia"/>
          <w:b/>
          <w:sz w:val="24"/>
        </w:rPr>
        <w:t>（询比编号：CG-XBLX-202602-01）</w:t>
      </w:r>
    </w:p>
    <w:p w14:paraId="063E34D1">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响应供应商（盖章）：</w:t>
      </w:r>
    </w:p>
    <w:p w14:paraId="4F5E8D52">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法定代表人或授权委托人：</w:t>
      </w:r>
    </w:p>
    <w:p w14:paraId="16767DF0">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（授权委托人需持有效授权委托书）</w:t>
      </w:r>
    </w:p>
    <w:p w14:paraId="41154EB1">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日期：</w:t>
      </w:r>
    </w:p>
    <w:p w14:paraId="4DA7F2A5">
      <w:pPr>
        <w:spacing w:line="480" w:lineRule="auto"/>
        <w:jc w:val="both"/>
        <w:outlineLvl w:val="1"/>
        <w:rPr>
          <w:rFonts w:hint="eastAsia"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br w:type="page"/>
      </w:r>
    </w:p>
    <w:p w14:paraId="6CB085A7">
      <w:pPr>
        <w:pStyle w:val="12"/>
        <w:spacing w:line="480" w:lineRule="auto"/>
        <w:jc w:val="center"/>
        <w:outlineLvl w:val="1"/>
      </w:pPr>
      <w:r>
        <w:rPr>
          <w:rFonts w:hint="eastAsia" w:asciiTheme="minorEastAsia" w:hAnsiTheme="minorEastAsia" w:eastAsiaTheme="minorEastAsia"/>
          <w:b/>
          <w:sz w:val="28"/>
          <w:szCs w:val="28"/>
          <w:lang w:val="en-GB"/>
        </w:rPr>
        <w:t>格式3  报价</w:t>
      </w:r>
      <w:r>
        <w:rPr>
          <w:rFonts w:hint="eastAsia" w:asciiTheme="minorEastAsia" w:hAnsiTheme="minorEastAsia" w:eastAsiaTheme="minorEastAsia"/>
          <w:b/>
          <w:sz w:val="28"/>
          <w:szCs w:val="28"/>
        </w:rPr>
        <w:t>一览表</w:t>
      </w:r>
    </w:p>
    <w:p w14:paraId="08AB738B">
      <w:pPr>
        <w:spacing w:line="360" w:lineRule="auto"/>
        <w:ind w:firstLine="440" w:firstLineChars="200"/>
        <w:rPr>
          <w:rFonts w:asciiTheme="minorEastAsia" w:hAnsiTheme="minorEastAsia" w:eastAsiaTheme="minorEastAsia"/>
          <w:sz w:val="22"/>
          <w:szCs w:val="22"/>
        </w:rPr>
      </w:pPr>
      <w:r>
        <w:rPr>
          <w:rFonts w:hint="eastAsia" w:asciiTheme="minorEastAsia" w:hAnsiTheme="minorEastAsia" w:eastAsiaTheme="minorEastAsia"/>
          <w:sz w:val="22"/>
          <w:szCs w:val="22"/>
        </w:rPr>
        <w:t>项目名称：</w:t>
      </w:r>
      <w:r>
        <w:rPr>
          <w:rFonts w:hint="eastAsia" w:asciiTheme="minorEastAsia" w:hAnsiTheme="minorEastAsia" w:eastAsiaTheme="minorEastAsia"/>
          <w:sz w:val="22"/>
          <w:szCs w:val="22"/>
          <w:u w:val="single"/>
          <w:lang w:eastAsia="zh-CN"/>
        </w:rPr>
        <w:t>广州市番禺区第七人民医院中央配餐配送服务项目</w:t>
      </w:r>
      <w:r>
        <w:rPr>
          <w:rFonts w:hint="eastAsia" w:asciiTheme="minorEastAsia" w:hAnsiTheme="minorEastAsia" w:eastAsiaTheme="minorEastAsia"/>
          <w:sz w:val="22"/>
          <w:szCs w:val="22"/>
          <w:u w:val="single"/>
        </w:rPr>
        <w:t>（询比编号：CG-XBLX-202602-01）</w:t>
      </w:r>
    </w:p>
    <w:p w14:paraId="1BD8D5B7">
      <w:pPr>
        <w:spacing w:line="360" w:lineRule="auto"/>
        <w:ind w:firstLine="440" w:firstLineChars="200"/>
        <w:rPr>
          <w:rFonts w:asciiTheme="minorEastAsia" w:hAnsiTheme="minorEastAsia" w:eastAsiaTheme="minorEastAsia"/>
          <w:b/>
          <w:sz w:val="22"/>
          <w:szCs w:val="22"/>
        </w:rPr>
      </w:pPr>
      <w:r>
        <w:rPr>
          <w:rFonts w:hint="eastAsia" w:asciiTheme="minorEastAsia" w:hAnsiTheme="minorEastAsia" w:eastAsiaTheme="minorEastAsia"/>
          <w:sz w:val="22"/>
          <w:szCs w:val="22"/>
        </w:rPr>
        <w:t>响应供应商名称：</w:t>
      </w:r>
    </w:p>
    <w:p w14:paraId="7ACD7362">
      <w:pPr>
        <w:pStyle w:val="17"/>
        <w:spacing w:line="360" w:lineRule="auto"/>
        <w:jc w:val="right"/>
        <w:rPr>
          <w:rFonts w:hint="eastAsia" w:asciiTheme="minorEastAsia" w:hAnsiTheme="minorEastAsia" w:eastAsiaTheme="minorEastAsia"/>
          <w:sz w:val="22"/>
          <w:szCs w:val="22"/>
        </w:rPr>
      </w:pPr>
      <w:r>
        <w:rPr>
          <w:rFonts w:hint="eastAsia" w:asciiTheme="minorEastAsia" w:hAnsiTheme="minorEastAsia" w:eastAsiaTheme="minorEastAsia"/>
          <w:sz w:val="22"/>
          <w:szCs w:val="22"/>
        </w:rPr>
        <w:t>[货币单位：人民币元]</w:t>
      </w:r>
    </w:p>
    <w:tbl>
      <w:tblPr>
        <w:tblStyle w:val="38"/>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275"/>
        <w:gridCol w:w="5529"/>
        <w:gridCol w:w="1984"/>
      </w:tblGrid>
      <w:tr w14:paraId="16E8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gridSpan w:val="2"/>
            <w:vAlign w:val="center"/>
          </w:tcPr>
          <w:p w14:paraId="49AD9C09">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eastAsia" w:ascii="宋体" w:hAnsi="宋体"/>
                <w:kern w:val="0"/>
                <w:sz w:val="22"/>
                <w:szCs w:val="20"/>
              </w:rPr>
              <w:t>套餐</w:t>
            </w:r>
          </w:p>
        </w:tc>
        <w:tc>
          <w:tcPr>
            <w:tcW w:w="5529" w:type="dxa"/>
            <w:vAlign w:val="center"/>
          </w:tcPr>
          <w:p w14:paraId="3C03D3D5">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eastAsia" w:ascii="宋体" w:hAnsi="宋体"/>
                <w:kern w:val="0"/>
                <w:sz w:val="22"/>
                <w:szCs w:val="20"/>
              </w:rPr>
              <w:t>餐饮标准</w:t>
            </w:r>
          </w:p>
        </w:tc>
        <w:tc>
          <w:tcPr>
            <w:tcW w:w="1984" w:type="dxa"/>
            <w:vAlign w:val="center"/>
          </w:tcPr>
          <w:p w14:paraId="515443B2">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eastAsia" w:asciiTheme="minorEastAsia" w:hAnsiTheme="minorEastAsia" w:eastAsiaTheme="minorEastAsia"/>
                <w:b/>
                <w:sz w:val="22"/>
                <w:szCs w:val="22"/>
              </w:rPr>
              <w:t>响应报价单价（元</w:t>
            </w:r>
            <w:r>
              <w:rPr>
                <w:rFonts w:hint="eastAsia" w:asciiTheme="minorEastAsia" w:hAnsiTheme="minorEastAsia" w:eastAsiaTheme="minorEastAsia"/>
                <w:b/>
                <w:sz w:val="22"/>
                <w:szCs w:val="22"/>
                <w:lang w:val="en-US" w:eastAsia="zh-CN"/>
              </w:rPr>
              <w:t>/份</w:t>
            </w:r>
            <w:r>
              <w:rPr>
                <w:rFonts w:hint="eastAsia" w:asciiTheme="minorEastAsia" w:hAnsiTheme="minorEastAsia" w:eastAsiaTheme="minorEastAsia"/>
                <w:b/>
                <w:sz w:val="22"/>
                <w:szCs w:val="22"/>
              </w:rPr>
              <w:t>）</w:t>
            </w:r>
          </w:p>
        </w:tc>
      </w:tr>
      <w:tr w14:paraId="10E5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vAlign w:val="center"/>
          </w:tcPr>
          <w:p w14:paraId="626524AB">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套餐一</w:t>
            </w:r>
          </w:p>
        </w:tc>
        <w:tc>
          <w:tcPr>
            <w:tcW w:w="1275" w:type="dxa"/>
            <w:vAlign w:val="center"/>
          </w:tcPr>
          <w:p w14:paraId="3732D36C">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eastAsia" w:ascii="宋体" w:hAnsi="宋体"/>
                <w:kern w:val="0"/>
                <w:sz w:val="22"/>
                <w:szCs w:val="20"/>
              </w:rPr>
              <w:t>早餐</w:t>
            </w:r>
          </w:p>
        </w:tc>
        <w:tc>
          <w:tcPr>
            <w:tcW w:w="5529" w:type="dxa"/>
            <w:vAlign w:val="center"/>
          </w:tcPr>
          <w:p w14:paraId="2AC3CCE3">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一份粥</w:t>
            </w:r>
            <w:r>
              <w:rPr>
                <w:rFonts w:hint="default" w:ascii="宋体" w:hAnsi="宋体"/>
                <w:kern w:val="0"/>
                <w:sz w:val="22"/>
                <w:szCs w:val="20"/>
              </w:rPr>
              <w:t>/豆浆/牛奶+一份粉/面/点心</w:t>
            </w:r>
          </w:p>
        </w:tc>
        <w:tc>
          <w:tcPr>
            <w:tcW w:w="1984" w:type="dxa"/>
            <w:vAlign w:val="center"/>
          </w:tcPr>
          <w:p w14:paraId="6DF00C7F">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p>
        </w:tc>
      </w:tr>
      <w:tr w14:paraId="315E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988" w:type="dxa"/>
            <w:vMerge w:val="continue"/>
            <w:vAlign w:val="center"/>
          </w:tcPr>
          <w:p w14:paraId="5BC85137">
            <w:pPr>
              <w:keepNext w:val="0"/>
              <w:keepLines w:val="0"/>
              <w:suppressLineNumbers w:val="0"/>
              <w:spacing w:before="0" w:beforeAutospacing="0" w:after="0" w:afterAutospacing="0" w:line="360" w:lineRule="auto"/>
              <w:ind w:left="0" w:right="0"/>
              <w:rPr>
                <w:rFonts w:hint="default" w:ascii="宋体" w:hAnsi="宋体"/>
                <w:kern w:val="0"/>
                <w:sz w:val="22"/>
                <w:szCs w:val="20"/>
              </w:rPr>
            </w:pPr>
          </w:p>
        </w:tc>
        <w:tc>
          <w:tcPr>
            <w:tcW w:w="1275" w:type="dxa"/>
            <w:vAlign w:val="center"/>
          </w:tcPr>
          <w:p w14:paraId="021171E9">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eastAsia" w:ascii="宋体" w:hAnsi="宋体"/>
                <w:kern w:val="0"/>
                <w:sz w:val="22"/>
                <w:szCs w:val="20"/>
              </w:rPr>
              <w:t>午、晚餐</w:t>
            </w:r>
          </w:p>
        </w:tc>
        <w:tc>
          <w:tcPr>
            <w:tcW w:w="5529" w:type="dxa"/>
            <w:vAlign w:val="center"/>
          </w:tcPr>
          <w:p w14:paraId="277F3578">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一份肉（肉＞</w:t>
            </w:r>
            <w:r>
              <w:rPr>
                <w:rFonts w:hint="default" w:ascii="宋体" w:hAnsi="宋体"/>
                <w:kern w:val="0"/>
                <w:sz w:val="22"/>
                <w:szCs w:val="20"/>
              </w:rPr>
              <w:t>150g/份</w:t>
            </w:r>
            <w:r>
              <w:rPr>
                <w:rFonts w:hint="eastAsia" w:ascii="宋体" w:hAnsi="宋体"/>
                <w:kern w:val="0"/>
                <w:sz w:val="22"/>
                <w:szCs w:val="20"/>
              </w:rPr>
              <w:t>）、</w:t>
            </w:r>
          </w:p>
          <w:p w14:paraId="2A380F40">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一份小炒（肉＞</w:t>
            </w:r>
            <w:r>
              <w:rPr>
                <w:rFonts w:hint="default" w:ascii="宋体" w:hAnsi="宋体"/>
                <w:kern w:val="0"/>
                <w:sz w:val="22"/>
                <w:szCs w:val="20"/>
              </w:rPr>
              <w:t>50g+</w:t>
            </w:r>
            <w:r>
              <w:rPr>
                <w:rFonts w:hint="eastAsia" w:ascii="宋体" w:hAnsi="宋体"/>
                <w:kern w:val="0"/>
                <w:sz w:val="22"/>
                <w:szCs w:val="20"/>
              </w:rPr>
              <w:t>菜＞</w:t>
            </w:r>
            <w:r>
              <w:rPr>
                <w:rFonts w:hint="default" w:ascii="宋体" w:hAnsi="宋体"/>
                <w:kern w:val="0"/>
                <w:sz w:val="22"/>
                <w:szCs w:val="20"/>
              </w:rPr>
              <w:t>100g/份</w:t>
            </w:r>
            <w:r>
              <w:rPr>
                <w:rFonts w:hint="eastAsia" w:ascii="宋体" w:hAnsi="宋体"/>
                <w:kern w:val="0"/>
                <w:sz w:val="22"/>
                <w:szCs w:val="20"/>
              </w:rPr>
              <w:t>）、</w:t>
            </w:r>
          </w:p>
          <w:p w14:paraId="5743FE08">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一份青菜（＞</w:t>
            </w:r>
            <w:r>
              <w:rPr>
                <w:rFonts w:hint="default" w:ascii="宋体" w:hAnsi="宋体"/>
                <w:kern w:val="0"/>
                <w:sz w:val="22"/>
                <w:szCs w:val="20"/>
              </w:rPr>
              <w:t>150g/份</w:t>
            </w:r>
            <w:r>
              <w:rPr>
                <w:rFonts w:hint="eastAsia" w:ascii="宋体" w:hAnsi="宋体"/>
                <w:kern w:val="0"/>
                <w:sz w:val="22"/>
                <w:szCs w:val="20"/>
              </w:rPr>
              <w:t>）</w:t>
            </w:r>
          </w:p>
          <w:p w14:paraId="08032E7D">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一份米饭（＞</w:t>
            </w:r>
            <w:r>
              <w:rPr>
                <w:rFonts w:hint="default" w:ascii="宋体" w:hAnsi="宋体"/>
                <w:kern w:val="0"/>
                <w:sz w:val="22"/>
                <w:szCs w:val="20"/>
              </w:rPr>
              <w:t>200g/份</w:t>
            </w:r>
            <w:r>
              <w:rPr>
                <w:rFonts w:hint="eastAsia" w:ascii="宋体" w:hAnsi="宋体"/>
                <w:kern w:val="0"/>
                <w:sz w:val="22"/>
                <w:szCs w:val="20"/>
              </w:rPr>
              <w:t>）</w:t>
            </w:r>
          </w:p>
        </w:tc>
        <w:tc>
          <w:tcPr>
            <w:tcW w:w="1984" w:type="dxa"/>
            <w:vAlign w:val="center"/>
          </w:tcPr>
          <w:p w14:paraId="02C7E641">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p>
        </w:tc>
      </w:tr>
      <w:tr w14:paraId="392D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vAlign w:val="center"/>
          </w:tcPr>
          <w:p w14:paraId="7CF36CD0">
            <w:pPr>
              <w:keepNext w:val="0"/>
              <w:keepLines w:val="0"/>
              <w:suppressLineNumbers w:val="0"/>
              <w:spacing w:before="0" w:beforeAutospacing="0" w:after="0" w:afterAutospacing="0" w:line="360" w:lineRule="auto"/>
              <w:ind w:left="0" w:right="0"/>
              <w:rPr>
                <w:rFonts w:hint="default" w:ascii="宋体" w:hAnsi="宋体"/>
                <w:kern w:val="0"/>
                <w:sz w:val="22"/>
                <w:szCs w:val="20"/>
              </w:rPr>
            </w:pPr>
          </w:p>
        </w:tc>
        <w:tc>
          <w:tcPr>
            <w:tcW w:w="6804" w:type="dxa"/>
            <w:gridSpan w:val="2"/>
            <w:vAlign w:val="center"/>
          </w:tcPr>
          <w:p w14:paraId="13907FD6">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default" w:ascii="宋体" w:hAnsi="宋体"/>
                <w:kern w:val="0"/>
                <w:sz w:val="22"/>
                <w:szCs w:val="20"/>
              </w:rPr>
              <w:t>合计</w:t>
            </w:r>
          </w:p>
        </w:tc>
        <w:tc>
          <w:tcPr>
            <w:tcW w:w="1984" w:type="dxa"/>
            <w:vAlign w:val="center"/>
          </w:tcPr>
          <w:p w14:paraId="2A57B0EE">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p>
        </w:tc>
      </w:tr>
      <w:tr w14:paraId="7CC1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vAlign w:val="center"/>
          </w:tcPr>
          <w:p w14:paraId="0AF25EDE">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套餐二</w:t>
            </w:r>
          </w:p>
        </w:tc>
        <w:tc>
          <w:tcPr>
            <w:tcW w:w="1275" w:type="dxa"/>
            <w:vAlign w:val="center"/>
          </w:tcPr>
          <w:p w14:paraId="039A88C8">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eastAsia" w:ascii="宋体" w:hAnsi="宋体"/>
                <w:kern w:val="0"/>
                <w:sz w:val="22"/>
                <w:szCs w:val="20"/>
              </w:rPr>
              <w:t>早餐</w:t>
            </w:r>
          </w:p>
        </w:tc>
        <w:tc>
          <w:tcPr>
            <w:tcW w:w="5529" w:type="dxa"/>
            <w:vAlign w:val="center"/>
          </w:tcPr>
          <w:p w14:paraId="3BF1AC7E">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一份粥</w:t>
            </w:r>
            <w:r>
              <w:rPr>
                <w:rFonts w:hint="default" w:ascii="宋体" w:hAnsi="宋体"/>
                <w:kern w:val="0"/>
                <w:sz w:val="22"/>
                <w:szCs w:val="20"/>
              </w:rPr>
              <w:t>/豆浆/牛奶+一份粉/面/点心</w:t>
            </w:r>
          </w:p>
        </w:tc>
        <w:tc>
          <w:tcPr>
            <w:tcW w:w="1984" w:type="dxa"/>
            <w:vAlign w:val="center"/>
          </w:tcPr>
          <w:p w14:paraId="760C7197">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p>
        </w:tc>
      </w:tr>
      <w:tr w14:paraId="28C9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vAlign w:val="center"/>
          </w:tcPr>
          <w:p w14:paraId="60DE1611">
            <w:pPr>
              <w:keepNext w:val="0"/>
              <w:keepLines w:val="0"/>
              <w:suppressLineNumbers w:val="0"/>
              <w:spacing w:before="0" w:beforeAutospacing="0" w:after="0" w:afterAutospacing="0" w:line="360" w:lineRule="auto"/>
              <w:ind w:left="0" w:right="0"/>
              <w:rPr>
                <w:rFonts w:hint="default" w:ascii="宋体" w:hAnsi="宋体"/>
                <w:kern w:val="0"/>
                <w:sz w:val="22"/>
                <w:szCs w:val="20"/>
              </w:rPr>
            </w:pPr>
          </w:p>
        </w:tc>
        <w:tc>
          <w:tcPr>
            <w:tcW w:w="1275" w:type="dxa"/>
            <w:vAlign w:val="center"/>
          </w:tcPr>
          <w:p w14:paraId="74C797C3">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eastAsia" w:ascii="宋体" w:hAnsi="宋体"/>
                <w:kern w:val="0"/>
                <w:sz w:val="22"/>
                <w:szCs w:val="20"/>
              </w:rPr>
              <w:t>午、晚餐</w:t>
            </w:r>
          </w:p>
        </w:tc>
        <w:tc>
          <w:tcPr>
            <w:tcW w:w="5529" w:type="dxa"/>
            <w:vAlign w:val="center"/>
          </w:tcPr>
          <w:p w14:paraId="70706625">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一份肉（肉＞</w:t>
            </w:r>
            <w:r>
              <w:rPr>
                <w:rFonts w:hint="default" w:ascii="宋体" w:hAnsi="宋体"/>
                <w:kern w:val="0"/>
                <w:sz w:val="22"/>
                <w:szCs w:val="20"/>
              </w:rPr>
              <w:t>150g/份</w:t>
            </w:r>
            <w:r>
              <w:rPr>
                <w:rFonts w:hint="eastAsia" w:ascii="宋体" w:hAnsi="宋体"/>
                <w:kern w:val="0"/>
                <w:sz w:val="22"/>
                <w:szCs w:val="20"/>
              </w:rPr>
              <w:t>）、</w:t>
            </w:r>
          </w:p>
          <w:p w14:paraId="6EE3997C">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二份小炒（肉＞</w:t>
            </w:r>
            <w:r>
              <w:rPr>
                <w:rFonts w:hint="default" w:ascii="宋体" w:hAnsi="宋体"/>
                <w:kern w:val="0"/>
                <w:sz w:val="22"/>
                <w:szCs w:val="20"/>
              </w:rPr>
              <w:t>50g+</w:t>
            </w:r>
            <w:r>
              <w:rPr>
                <w:rFonts w:hint="eastAsia" w:ascii="宋体" w:hAnsi="宋体"/>
                <w:kern w:val="0"/>
                <w:sz w:val="22"/>
                <w:szCs w:val="20"/>
              </w:rPr>
              <w:t>菜＞</w:t>
            </w:r>
            <w:r>
              <w:rPr>
                <w:rFonts w:hint="default" w:ascii="宋体" w:hAnsi="宋体"/>
                <w:kern w:val="0"/>
                <w:sz w:val="22"/>
                <w:szCs w:val="20"/>
              </w:rPr>
              <w:t>100g/份</w:t>
            </w:r>
            <w:r>
              <w:rPr>
                <w:rFonts w:hint="eastAsia" w:ascii="宋体" w:hAnsi="宋体"/>
                <w:kern w:val="0"/>
                <w:sz w:val="22"/>
                <w:szCs w:val="20"/>
              </w:rPr>
              <w:t>）、</w:t>
            </w:r>
          </w:p>
          <w:p w14:paraId="3A1D6DBB">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一份青菜（＞</w:t>
            </w:r>
            <w:r>
              <w:rPr>
                <w:rFonts w:hint="default" w:ascii="宋体" w:hAnsi="宋体"/>
                <w:kern w:val="0"/>
                <w:sz w:val="22"/>
                <w:szCs w:val="20"/>
              </w:rPr>
              <w:t>150g/份</w:t>
            </w:r>
            <w:r>
              <w:rPr>
                <w:rFonts w:hint="eastAsia" w:ascii="宋体" w:hAnsi="宋体"/>
                <w:kern w:val="0"/>
                <w:sz w:val="22"/>
                <w:szCs w:val="20"/>
              </w:rPr>
              <w:t>）、</w:t>
            </w:r>
          </w:p>
          <w:p w14:paraId="4254DD10">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一份米饭（＞</w:t>
            </w:r>
            <w:r>
              <w:rPr>
                <w:rFonts w:hint="default" w:ascii="宋体" w:hAnsi="宋体"/>
                <w:kern w:val="0"/>
                <w:sz w:val="22"/>
                <w:szCs w:val="20"/>
              </w:rPr>
              <w:t>200g/份</w:t>
            </w:r>
            <w:r>
              <w:rPr>
                <w:rFonts w:hint="eastAsia" w:ascii="宋体" w:hAnsi="宋体"/>
                <w:kern w:val="0"/>
                <w:sz w:val="22"/>
                <w:szCs w:val="20"/>
              </w:rPr>
              <w:t>）</w:t>
            </w:r>
          </w:p>
        </w:tc>
        <w:tc>
          <w:tcPr>
            <w:tcW w:w="1984" w:type="dxa"/>
            <w:vAlign w:val="center"/>
          </w:tcPr>
          <w:p w14:paraId="0A6CAC02">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p>
        </w:tc>
      </w:tr>
      <w:tr w14:paraId="72C7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vAlign w:val="center"/>
          </w:tcPr>
          <w:p w14:paraId="4A552DBD">
            <w:pPr>
              <w:keepNext w:val="0"/>
              <w:keepLines w:val="0"/>
              <w:suppressLineNumbers w:val="0"/>
              <w:spacing w:before="0" w:beforeAutospacing="0" w:after="0" w:afterAutospacing="0" w:line="360" w:lineRule="auto"/>
              <w:ind w:left="0" w:right="0"/>
              <w:rPr>
                <w:rFonts w:hint="default" w:ascii="宋体" w:hAnsi="宋体"/>
                <w:kern w:val="0"/>
                <w:sz w:val="22"/>
                <w:szCs w:val="20"/>
              </w:rPr>
            </w:pPr>
          </w:p>
        </w:tc>
        <w:tc>
          <w:tcPr>
            <w:tcW w:w="6804" w:type="dxa"/>
            <w:gridSpan w:val="2"/>
            <w:vAlign w:val="center"/>
          </w:tcPr>
          <w:p w14:paraId="3E9FABEC">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default" w:ascii="宋体" w:hAnsi="宋体"/>
                <w:kern w:val="0"/>
                <w:sz w:val="22"/>
                <w:szCs w:val="20"/>
              </w:rPr>
              <w:t>合计</w:t>
            </w:r>
          </w:p>
        </w:tc>
        <w:tc>
          <w:tcPr>
            <w:tcW w:w="1984" w:type="dxa"/>
            <w:vAlign w:val="center"/>
          </w:tcPr>
          <w:p w14:paraId="11B172E5">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p>
        </w:tc>
      </w:tr>
      <w:tr w14:paraId="0FDE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988" w:type="dxa"/>
            <w:vMerge w:val="restart"/>
            <w:vAlign w:val="center"/>
          </w:tcPr>
          <w:p w14:paraId="609EEC45">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套餐三</w:t>
            </w:r>
          </w:p>
        </w:tc>
        <w:tc>
          <w:tcPr>
            <w:tcW w:w="1275" w:type="dxa"/>
            <w:vAlign w:val="center"/>
          </w:tcPr>
          <w:p w14:paraId="417E02E5">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eastAsia" w:ascii="宋体" w:hAnsi="宋体"/>
                <w:kern w:val="0"/>
                <w:sz w:val="22"/>
                <w:szCs w:val="20"/>
              </w:rPr>
              <w:t>早餐</w:t>
            </w:r>
          </w:p>
        </w:tc>
        <w:tc>
          <w:tcPr>
            <w:tcW w:w="5529" w:type="dxa"/>
            <w:vAlign w:val="center"/>
          </w:tcPr>
          <w:p w14:paraId="3B7E2B50">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一份粥</w:t>
            </w:r>
            <w:r>
              <w:rPr>
                <w:rFonts w:hint="default" w:ascii="宋体" w:hAnsi="宋体"/>
                <w:kern w:val="0"/>
                <w:sz w:val="22"/>
                <w:szCs w:val="20"/>
              </w:rPr>
              <w:t>/豆浆/牛奶+一份粉/面/点心</w:t>
            </w:r>
          </w:p>
        </w:tc>
        <w:tc>
          <w:tcPr>
            <w:tcW w:w="1984" w:type="dxa"/>
            <w:vAlign w:val="center"/>
          </w:tcPr>
          <w:p w14:paraId="0426FF8F">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p>
        </w:tc>
      </w:tr>
      <w:tr w14:paraId="21AA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988" w:type="dxa"/>
            <w:vMerge w:val="continue"/>
            <w:vAlign w:val="center"/>
          </w:tcPr>
          <w:p w14:paraId="3D7C23F8">
            <w:pPr>
              <w:keepNext w:val="0"/>
              <w:keepLines w:val="0"/>
              <w:suppressLineNumbers w:val="0"/>
              <w:spacing w:before="0" w:beforeAutospacing="0" w:after="0" w:afterAutospacing="0" w:line="360" w:lineRule="auto"/>
              <w:ind w:left="0" w:right="0"/>
              <w:rPr>
                <w:rFonts w:hint="default" w:ascii="宋体" w:hAnsi="宋体"/>
                <w:kern w:val="0"/>
                <w:sz w:val="22"/>
                <w:szCs w:val="20"/>
              </w:rPr>
            </w:pPr>
          </w:p>
        </w:tc>
        <w:tc>
          <w:tcPr>
            <w:tcW w:w="1275" w:type="dxa"/>
            <w:vAlign w:val="center"/>
          </w:tcPr>
          <w:p w14:paraId="2C40E026">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eastAsia" w:ascii="宋体" w:hAnsi="宋体"/>
                <w:kern w:val="0"/>
                <w:sz w:val="22"/>
                <w:szCs w:val="20"/>
              </w:rPr>
              <w:t>午、晚餐</w:t>
            </w:r>
          </w:p>
        </w:tc>
        <w:tc>
          <w:tcPr>
            <w:tcW w:w="5529" w:type="dxa"/>
            <w:vAlign w:val="center"/>
          </w:tcPr>
          <w:p w14:paraId="432299AB">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二份肉（肉＞</w:t>
            </w:r>
            <w:r>
              <w:rPr>
                <w:rFonts w:hint="default" w:ascii="宋体" w:hAnsi="宋体"/>
                <w:kern w:val="0"/>
                <w:sz w:val="22"/>
                <w:szCs w:val="20"/>
              </w:rPr>
              <w:t>150g/份</w:t>
            </w:r>
            <w:r>
              <w:rPr>
                <w:rFonts w:hint="eastAsia" w:ascii="宋体" w:hAnsi="宋体"/>
                <w:kern w:val="0"/>
                <w:sz w:val="22"/>
                <w:szCs w:val="20"/>
              </w:rPr>
              <w:t>）、</w:t>
            </w:r>
          </w:p>
          <w:p w14:paraId="73966448">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一份小炒（肉＞</w:t>
            </w:r>
            <w:r>
              <w:rPr>
                <w:rFonts w:hint="default" w:ascii="宋体" w:hAnsi="宋体"/>
                <w:kern w:val="0"/>
                <w:sz w:val="22"/>
                <w:szCs w:val="20"/>
              </w:rPr>
              <w:t>50g +</w:t>
            </w:r>
            <w:r>
              <w:rPr>
                <w:rFonts w:hint="eastAsia" w:ascii="宋体" w:hAnsi="宋体"/>
                <w:kern w:val="0"/>
                <w:sz w:val="22"/>
                <w:szCs w:val="20"/>
              </w:rPr>
              <w:t>菜＞</w:t>
            </w:r>
            <w:r>
              <w:rPr>
                <w:rFonts w:hint="default" w:ascii="宋体" w:hAnsi="宋体"/>
                <w:kern w:val="0"/>
                <w:sz w:val="22"/>
                <w:szCs w:val="20"/>
              </w:rPr>
              <w:t>100g/份</w:t>
            </w:r>
            <w:r>
              <w:rPr>
                <w:rFonts w:hint="eastAsia" w:ascii="宋体" w:hAnsi="宋体"/>
                <w:kern w:val="0"/>
                <w:sz w:val="22"/>
                <w:szCs w:val="20"/>
              </w:rPr>
              <w:t>）、</w:t>
            </w:r>
          </w:p>
          <w:p w14:paraId="63D303BC">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一份青菜（＞</w:t>
            </w:r>
            <w:r>
              <w:rPr>
                <w:rFonts w:hint="default" w:ascii="宋体" w:hAnsi="宋体"/>
                <w:kern w:val="0"/>
                <w:sz w:val="22"/>
                <w:szCs w:val="20"/>
              </w:rPr>
              <w:t>150g/份</w:t>
            </w:r>
            <w:r>
              <w:rPr>
                <w:rFonts w:hint="eastAsia" w:ascii="宋体" w:hAnsi="宋体"/>
                <w:kern w:val="0"/>
                <w:sz w:val="22"/>
                <w:szCs w:val="20"/>
              </w:rPr>
              <w:t>）</w:t>
            </w:r>
          </w:p>
          <w:p w14:paraId="5CDAE5F8">
            <w:pPr>
              <w:keepNext w:val="0"/>
              <w:keepLines w:val="0"/>
              <w:suppressLineNumbers w:val="0"/>
              <w:spacing w:before="0" w:beforeAutospacing="0" w:after="0" w:afterAutospacing="0" w:line="360" w:lineRule="auto"/>
              <w:ind w:left="0" w:right="0"/>
              <w:rPr>
                <w:rFonts w:hint="default" w:ascii="宋体" w:hAnsi="宋体"/>
                <w:kern w:val="0"/>
                <w:sz w:val="22"/>
                <w:szCs w:val="20"/>
              </w:rPr>
            </w:pPr>
            <w:r>
              <w:rPr>
                <w:rFonts w:hint="eastAsia" w:ascii="宋体" w:hAnsi="宋体"/>
                <w:kern w:val="0"/>
                <w:sz w:val="22"/>
                <w:szCs w:val="20"/>
              </w:rPr>
              <w:t>一份米饭（＞</w:t>
            </w:r>
            <w:r>
              <w:rPr>
                <w:rFonts w:hint="default" w:ascii="宋体" w:hAnsi="宋体"/>
                <w:kern w:val="0"/>
                <w:sz w:val="22"/>
                <w:szCs w:val="20"/>
              </w:rPr>
              <w:t>200g/份</w:t>
            </w:r>
            <w:r>
              <w:rPr>
                <w:rFonts w:hint="eastAsia" w:ascii="宋体" w:hAnsi="宋体"/>
                <w:kern w:val="0"/>
                <w:sz w:val="22"/>
                <w:szCs w:val="20"/>
              </w:rPr>
              <w:t>）</w:t>
            </w:r>
          </w:p>
        </w:tc>
        <w:tc>
          <w:tcPr>
            <w:tcW w:w="1984" w:type="dxa"/>
            <w:vAlign w:val="center"/>
          </w:tcPr>
          <w:p w14:paraId="468EA0FC">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p>
        </w:tc>
      </w:tr>
      <w:tr w14:paraId="6737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vAlign w:val="center"/>
          </w:tcPr>
          <w:p w14:paraId="098B2B5C">
            <w:pPr>
              <w:keepNext w:val="0"/>
              <w:keepLines w:val="0"/>
              <w:suppressLineNumbers w:val="0"/>
              <w:spacing w:before="0" w:beforeAutospacing="0" w:after="0" w:afterAutospacing="0" w:line="360" w:lineRule="auto"/>
              <w:ind w:left="0" w:right="0"/>
              <w:rPr>
                <w:rFonts w:hint="default" w:ascii="宋体" w:hAnsi="宋体"/>
                <w:kern w:val="0"/>
                <w:sz w:val="22"/>
                <w:szCs w:val="20"/>
              </w:rPr>
            </w:pPr>
          </w:p>
        </w:tc>
        <w:tc>
          <w:tcPr>
            <w:tcW w:w="6804" w:type="dxa"/>
            <w:gridSpan w:val="2"/>
            <w:vAlign w:val="center"/>
          </w:tcPr>
          <w:p w14:paraId="2B8E51EB">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r>
              <w:rPr>
                <w:rFonts w:hint="default" w:ascii="宋体" w:hAnsi="宋体"/>
                <w:kern w:val="0"/>
                <w:sz w:val="22"/>
                <w:szCs w:val="20"/>
              </w:rPr>
              <w:t>合计</w:t>
            </w:r>
          </w:p>
        </w:tc>
        <w:tc>
          <w:tcPr>
            <w:tcW w:w="1984" w:type="dxa"/>
            <w:vAlign w:val="center"/>
          </w:tcPr>
          <w:p w14:paraId="25353961">
            <w:pPr>
              <w:keepNext w:val="0"/>
              <w:keepLines w:val="0"/>
              <w:suppressLineNumbers w:val="0"/>
              <w:spacing w:before="0" w:beforeAutospacing="0" w:after="0" w:afterAutospacing="0" w:line="360" w:lineRule="auto"/>
              <w:ind w:left="0" w:right="0"/>
              <w:jc w:val="center"/>
              <w:rPr>
                <w:rFonts w:hint="default" w:ascii="宋体" w:hAnsi="宋体"/>
                <w:kern w:val="0"/>
                <w:sz w:val="22"/>
                <w:szCs w:val="20"/>
              </w:rPr>
            </w:pPr>
          </w:p>
        </w:tc>
      </w:tr>
    </w:tbl>
    <w:p w14:paraId="569DCEEB">
      <w:pPr>
        <w:spacing w:line="360" w:lineRule="auto"/>
        <w:jc w:val="left"/>
        <w:rPr>
          <w:rFonts w:asciiTheme="minorEastAsia" w:hAnsiTheme="minorEastAsia" w:eastAsiaTheme="minorEastAsia"/>
          <w:sz w:val="20"/>
          <w:szCs w:val="15"/>
        </w:rPr>
      </w:pPr>
      <w:r>
        <w:rPr>
          <w:rFonts w:hint="eastAsia" w:asciiTheme="minorEastAsia" w:hAnsiTheme="minorEastAsia" w:eastAsiaTheme="minorEastAsia"/>
          <w:sz w:val="20"/>
          <w:szCs w:val="20"/>
        </w:rPr>
        <w:t>注</w:t>
      </w:r>
      <w:r>
        <w:rPr>
          <w:rFonts w:asciiTheme="minorEastAsia" w:hAnsiTheme="minorEastAsia" w:eastAsiaTheme="minorEastAsia"/>
          <w:sz w:val="20"/>
          <w:szCs w:val="20"/>
        </w:rPr>
        <w:t>：</w:t>
      </w:r>
      <w:r>
        <w:rPr>
          <w:rFonts w:hint="eastAsia" w:asciiTheme="minorEastAsia" w:hAnsiTheme="minorEastAsia" w:eastAsiaTheme="minorEastAsia"/>
          <w:sz w:val="20"/>
          <w:szCs w:val="20"/>
        </w:rPr>
        <w:t>1.响应供应商须按要求填写所有信息，不得随意更改本表格式</w:t>
      </w:r>
      <w:r>
        <w:rPr>
          <w:rFonts w:hint="eastAsia" w:asciiTheme="minorEastAsia" w:hAnsiTheme="minorEastAsia" w:eastAsiaTheme="minorEastAsia"/>
          <w:sz w:val="20"/>
          <w:szCs w:val="20"/>
          <w:lang w:eastAsia="zh-CN"/>
        </w:rPr>
        <w:t>；</w:t>
      </w:r>
      <w:r>
        <w:rPr>
          <w:rFonts w:hint="eastAsia" w:asciiTheme="minorEastAsia" w:hAnsiTheme="minorEastAsia" w:eastAsiaTheme="minorEastAsia"/>
          <w:sz w:val="20"/>
          <w:szCs w:val="20"/>
        </w:rPr>
        <w:t>2.响应报价包含的内容及要求见第三部分用户需求书的“报价要求”</w:t>
      </w:r>
      <w:r>
        <w:rPr>
          <w:rFonts w:hint="eastAsia" w:asciiTheme="minorEastAsia" w:hAnsiTheme="minorEastAsia" w:eastAsiaTheme="minorEastAsia"/>
          <w:sz w:val="20"/>
          <w:szCs w:val="20"/>
          <w:lang w:eastAsia="zh-CN"/>
        </w:rPr>
        <w:t>；</w:t>
      </w:r>
      <w:r>
        <w:rPr>
          <w:rFonts w:hint="eastAsia" w:asciiTheme="minorEastAsia" w:hAnsiTheme="minorEastAsia" w:eastAsiaTheme="minorEastAsia"/>
          <w:sz w:val="20"/>
          <w:szCs w:val="20"/>
        </w:rPr>
        <w:t>3.以人民币报价</w:t>
      </w:r>
      <w:r>
        <w:rPr>
          <w:rFonts w:hint="eastAsia" w:asciiTheme="minorEastAsia" w:hAnsiTheme="minorEastAsia" w:eastAsiaTheme="minorEastAsia"/>
          <w:sz w:val="20"/>
          <w:szCs w:val="20"/>
          <w:lang w:eastAsia="zh-CN"/>
        </w:rPr>
        <w:t>；</w:t>
      </w:r>
      <w:r>
        <w:rPr>
          <w:rFonts w:hint="eastAsia" w:asciiTheme="minorEastAsia" w:hAnsiTheme="minorEastAsia" w:eastAsiaTheme="minorEastAsia"/>
          <w:sz w:val="20"/>
          <w:szCs w:val="20"/>
        </w:rPr>
        <w:t>4.请务必检查响应报价的单位、小数点位、数值与分项汇总是否一致。</w:t>
      </w:r>
    </w:p>
    <w:p w14:paraId="69B8D2D8">
      <w:pPr>
        <w:spacing w:line="360" w:lineRule="auto"/>
        <w:ind w:left="4252" w:leftChars="2025" w:firstLine="1800" w:firstLineChars="900"/>
        <w:rPr>
          <w:rFonts w:asciiTheme="minorEastAsia" w:hAnsiTheme="minorEastAsia" w:eastAsiaTheme="minorEastAsia"/>
          <w:sz w:val="20"/>
          <w:szCs w:val="20"/>
        </w:rPr>
      </w:pPr>
      <w:r>
        <w:rPr>
          <w:rFonts w:hint="eastAsia" w:asciiTheme="minorEastAsia" w:hAnsiTheme="minorEastAsia" w:eastAsiaTheme="minorEastAsia"/>
          <w:sz w:val="20"/>
          <w:szCs w:val="20"/>
        </w:rPr>
        <w:t>响应供应商（单位公章）：</w:t>
      </w:r>
    </w:p>
    <w:p w14:paraId="4A287006">
      <w:pPr>
        <w:spacing w:line="360" w:lineRule="auto"/>
        <w:ind w:left="4252" w:leftChars="2025"/>
        <w:jc w:val="right"/>
        <w:rPr>
          <w:rFonts w:asciiTheme="minorEastAsia" w:hAnsiTheme="minorEastAsia" w:eastAsiaTheme="minorEastAsia"/>
          <w:sz w:val="20"/>
          <w:szCs w:val="20"/>
        </w:rPr>
      </w:pPr>
    </w:p>
    <w:p w14:paraId="5B8D60A5">
      <w:pPr>
        <w:spacing w:line="360" w:lineRule="auto"/>
        <w:ind w:left="4252" w:leftChars="2025"/>
        <w:jc w:val="right"/>
        <w:rPr>
          <w:rFonts w:cs="Arial" w:asciiTheme="minorEastAsia" w:hAnsiTheme="minorEastAsia" w:eastAsiaTheme="minorEastAsia"/>
          <w:sz w:val="20"/>
          <w:szCs w:val="20"/>
        </w:rPr>
      </w:pPr>
      <w:r>
        <w:rPr>
          <w:rFonts w:hint="eastAsia" w:asciiTheme="minorEastAsia" w:hAnsiTheme="minorEastAsia" w:eastAsiaTheme="minorEastAsia"/>
          <w:sz w:val="20"/>
          <w:szCs w:val="20"/>
        </w:rPr>
        <w:t>日期：</w:t>
      </w:r>
      <w:r>
        <w:rPr>
          <w:rFonts w:hint="eastAsia" w:cs="Arial" w:asciiTheme="minorEastAsia" w:hAnsiTheme="minorEastAsia" w:eastAsiaTheme="minorEastAsia"/>
          <w:sz w:val="20"/>
          <w:szCs w:val="20"/>
        </w:rPr>
        <w:t>X</w:t>
      </w:r>
      <w:r>
        <w:rPr>
          <w:rFonts w:cs="Arial" w:asciiTheme="minorEastAsia" w:hAnsiTheme="minorEastAsia" w:eastAsiaTheme="minorEastAsia"/>
          <w:sz w:val="20"/>
          <w:szCs w:val="20"/>
        </w:rPr>
        <w:t>XXX</w:t>
      </w:r>
      <w:r>
        <w:rPr>
          <w:rFonts w:hint="eastAsia" w:cs="Arial" w:asciiTheme="minorEastAsia" w:hAnsiTheme="minorEastAsia" w:eastAsiaTheme="minorEastAsia"/>
          <w:sz w:val="20"/>
          <w:szCs w:val="20"/>
        </w:rPr>
        <w:t>年</w:t>
      </w:r>
      <w:r>
        <w:rPr>
          <w:rFonts w:cs="Arial" w:asciiTheme="minorEastAsia" w:hAnsiTheme="minorEastAsia" w:eastAsiaTheme="minorEastAsia"/>
          <w:sz w:val="20"/>
          <w:szCs w:val="20"/>
        </w:rPr>
        <w:t>XX</w:t>
      </w:r>
      <w:r>
        <w:rPr>
          <w:rFonts w:hint="eastAsia" w:cs="Arial" w:asciiTheme="minorEastAsia" w:hAnsiTheme="minorEastAsia" w:eastAsiaTheme="minorEastAsia"/>
          <w:sz w:val="20"/>
          <w:szCs w:val="20"/>
        </w:rPr>
        <w:t>月</w:t>
      </w:r>
      <w:r>
        <w:rPr>
          <w:rFonts w:cs="Arial" w:asciiTheme="minorEastAsia" w:hAnsiTheme="minorEastAsia" w:eastAsiaTheme="minorEastAsia"/>
          <w:sz w:val="20"/>
          <w:szCs w:val="20"/>
        </w:rPr>
        <w:t>XX</w:t>
      </w:r>
      <w:r>
        <w:rPr>
          <w:rFonts w:hint="eastAsia" w:cs="Arial" w:asciiTheme="minorEastAsia" w:hAnsiTheme="minorEastAsia" w:eastAsiaTheme="minorEastAsia"/>
          <w:sz w:val="20"/>
          <w:szCs w:val="20"/>
        </w:rPr>
        <w:t>日</w:t>
      </w:r>
    </w:p>
    <w:p w14:paraId="0B404483">
      <w:pPr>
        <w:spacing w:line="360" w:lineRule="auto"/>
        <w:jc w:val="both"/>
        <w:rPr>
          <w:rFonts w:hint="eastAsia"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br w:type="page"/>
      </w:r>
    </w:p>
    <w:p w14:paraId="14C8B0D3">
      <w:pPr>
        <w:pStyle w:val="12"/>
        <w:spacing w:line="480" w:lineRule="auto"/>
        <w:jc w:val="center"/>
        <w:outlineLvl w:val="1"/>
        <w:rPr>
          <w:rFonts w:hint="default" w:asciiTheme="minorEastAsia" w:hAnsiTheme="minorEastAsia" w:eastAsiaTheme="minorEastAsia"/>
          <w:b/>
          <w:sz w:val="28"/>
          <w:szCs w:val="28"/>
        </w:rPr>
      </w:pPr>
      <w:r>
        <w:rPr>
          <w:rFonts w:hint="eastAsia" w:asciiTheme="minorEastAsia" w:hAnsiTheme="minorEastAsia" w:eastAsiaTheme="minorEastAsia"/>
          <w:b/>
          <w:sz w:val="28"/>
          <w:szCs w:val="28"/>
          <w:lang w:val="en-GB"/>
        </w:rPr>
        <w:t xml:space="preserve">格式4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法人营业执照副本复印件</w:t>
      </w:r>
      <w:r>
        <w:rPr>
          <w:rFonts w:hint="default" w:asciiTheme="minorEastAsia" w:hAnsiTheme="minorEastAsia" w:eastAsiaTheme="minorEastAsia"/>
          <w:b/>
          <w:sz w:val="28"/>
          <w:szCs w:val="28"/>
        </w:rPr>
        <w:t>、食品经营许可证复印件</w:t>
      </w:r>
    </w:p>
    <w:p w14:paraId="5473F751">
      <w:pPr>
        <w:jc w:val="center"/>
        <w:rPr>
          <w:rFonts w:asciiTheme="minorEastAsia" w:hAnsiTheme="minorEastAsia" w:eastAsiaTheme="minorEastAsia"/>
          <w:b/>
          <w:sz w:val="28"/>
          <w:szCs w:val="28"/>
          <w:lang w:val="en-GB"/>
        </w:rPr>
      </w:pPr>
    </w:p>
    <w:p w14:paraId="415D5C0D">
      <w:pPr>
        <w:pStyle w:val="13"/>
        <w:spacing w:line="360" w:lineRule="auto"/>
        <w:rPr>
          <w:rFonts w:asciiTheme="minorEastAsia" w:hAnsiTheme="minorEastAsia" w:eastAsiaTheme="minorEastAsia"/>
          <w:b/>
          <w:sz w:val="28"/>
          <w:szCs w:val="28"/>
          <w:lang w:val="en-GB"/>
        </w:rPr>
      </w:pPr>
    </w:p>
    <w:p w14:paraId="761A7A70">
      <w:pPr>
        <w:pStyle w:val="13"/>
        <w:spacing w:line="360" w:lineRule="auto"/>
        <w:rPr>
          <w:rFonts w:asciiTheme="minorEastAsia" w:hAnsiTheme="minorEastAsia" w:eastAsiaTheme="minorEastAsia"/>
          <w:b/>
          <w:sz w:val="28"/>
          <w:szCs w:val="28"/>
          <w:lang w:val="en-GB"/>
        </w:rPr>
      </w:pPr>
    </w:p>
    <w:p w14:paraId="601869B1">
      <w:pPr>
        <w:pStyle w:val="13"/>
        <w:spacing w:line="360" w:lineRule="auto"/>
        <w:rPr>
          <w:rFonts w:asciiTheme="minorEastAsia" w:hAnsiTheme="minorEastAsia" w:eastAsiaTheme="minorEastAsia"/>
          <w:b/>
          <w:sz w:val="28"/>
          <w:szCs w:val="28"/>
          <w:lang w:val="en-GB"/>
        </w:rPr>
      </w:pPr>
    </w:p>
    <w:p w14:paraId="3FEA91B4">
      <w:pPr>
        <w:pStyle w:val="13"/>
        <w:spacing w:line="360" w:lineRule="auto"/>
        <w:rPr>
          <w:rFonts w:asciiTheme="minorEastAsia" w:hAnsiTheme="minorEastAsia" w:eastAsiaTheme="minorEastAsia"/>
          <w:b/>
          <w:sz w:val="28"/>
          <w:szCs w:val="28"/>
          <w:lang w:val="en-GB"/>
        </w:rPr>
      </w:pPr>
    </w:p>
    <w:p w14:paraId="0D09D829">
      <w:pPr>
        <w:pStyle w:val="13"/>
        <w:spacing w:line="360" w:lineRule="auto"/>
        <w:rPr>
          <w:rFonts w:asciiTheme="minorEastAsia" w:hAnsiTheme="minorEastAsia" w:eastAsiaTheme="minorEastAsia"/>
          <w:b/>
          <w:sz w:val="28"/>
          <w:szCs w:val="28"/>
          <w:lang w:val="en-GB"/>
        </w:rPr>
      </w:pPr>
    </w:p>
    <w:p w14:paraId="1AF7F0ED">
      <w:pPr>
        <w:pStyle w:val="13"/>
        <w:spacing w:line="360" w:lineRule="auto"/>
        <w:rPr>
          <w:rFonts w:asciiTheme="minorEastAsia" w:hAnsiTheme="minorEastAsia" w:eastAsiaTheme="minorEastAsia"/>
          <w:b/>
          <w:sz w:val="28"/>
          <w:szCs w:val="28"/>
          <w:lang w:val="en-GB"/>
        </w:rPr>
      </w:pPr>
    </w:p>
    <w:p w14:paraId="51EB1CAA">
      <w:pPr>
        <w:pStyle w:val="13"/>
        <w:spacing w:line="360" w:lineRule="auto"/>
        <w:rPr>
          <w:rFonts w:asciiTheme="minorEastAsia" w:hAnsiTheme="minorEastAsia" w:eastAsiaTheme="minorEastAsia"/>
          <w:b/>
          <w:sz w:val="28"/>
          <w:szCs w:val="28"/>
          <w:lang w:val="en-GB"/>
        </w:rPr>
      </w:pPr>
    </w:p>
    <w:p w14:paraId="099ED21F">
      <w:pPr>
        <w:pStyle w:val="13"/>
        <w:spacing w:line="360" w:lineRule="auto"/>
        <w:rPr>
          <w:rFonts w:asciiTheme="minorEastAsia" w:hAnsiTheme="minorEastAsia" w:eastAsiaTheme="minorEastAsia"/>
          <w:b/>
          <w:sz w:val="28"/>
          <w:szCs w:val="28"/>
          <w:lang w:val="en-GB"/>
        </w:rPr>
      </w:pPr>
    </w:p>
    <w:p w14:paraId="5B5BF79E">
      <w:pPr>
        <w:pStyle w:val="13"/>
        <w:spacing w:line="360" w:lineRule="auto"/>
        <w:rPr>
          <w:rFonts w:asciiTheme="minorEastAsia" w:hAnsiTheme="minorEastAsia" w:eastAsiaTheme="minorEastAsia"/>
          <w:b/>
          <w:sz w:val="28"/>
          <w:szCs w:val="28"/>
          <w:lang w:val="en-GB"/>
        </w:rPr>
      </w:pPr>
    </w:p>
    <w:p w14:paraId="4ACCE8D6">
      <w:pPr>
        <w:pStyle w:val="13"/>
        <w:spacing w:line="360" w:lineRule="auto"/>
        <w:rPr>
          <w:rFonts w:asciiTheme="minorEastAsia" w:hAnsiTheme="minorEastAsia" w:eastAsiaTheme="minorEastAsia"/>
          <w:b/>
          <w:sz w:val="28"/>
          <w:szCs w:val="28"/>
          <w:lang w:val="en-GB"/>
        </w:rPr>
      </w:pPr>
    </w:p>
    <w:p w14:paraId="1AF3A4E0">
      <w:pPr>
        <w:pStyle w:val="13"/>
        <w:spacing w:line="360" w:lineRule="auto"/>
        <w:rPr>
          <w:rFonts w:asciiTheme="minorEastAsia" w:hAnsiTheme="minorEastAsia" w:eastAsiaTheme="minorEastAsia"/>
          <w:b/>
          <w:sz w:val="28"/>
          <w:szCs w:val="28"/>
          <w:lang w:val="en-GB"/>
        </w:rPr>
      </w:pPr>
    </w:p>
    <w:p w14:paraId="17EE7F47">
      <w:pPr>
        <w:pStyle w:val="13"/>
        <w:spacing w:line="360" w:lineRule="auto"/>
        <w:rPr>
          <w:rFonts w:asciiTheme="minorEastAsia" w:hAnsiTheme="minorEastAsia" w:eastAsiaTheme="minorEastAsia"/>
          <w:b/>
          <w:sz w:val="28"/>
          <w:szCs w:val="28"/>
          <w:lang w:val="en-GB"/>
        </w:rPr>
      </w:pPr>
    </w:p>
    <w:p w14:paraId="433E209E">
      <w:pPr>
        <w:pStyle w:val="13"/>
        <w:spacing w:line="360" w:lineRule="auto"/>
        <w:rPr>
          <w:rFonts w:asciiTheme="minorEastAsia" w:hAnsiTheme="minorEastAsia" w:eastAsiaTheme="minorEastAsia"/>
          <w:b/>
          <w:sz w:val="28"/>
          <w:szCs w:val="28"/>
          <w:lang w:val="en-GB"/>
        </w:rPr>
      </w:pPr>
    </w:p>
    <w:p w14:paraId="5A729CDA">
      <w:pPr>
        <w:pStyle w:val="13"/>
        <w:spacing w:line="360" w:lineRule="auto"/>
        <w:rPr>
          <w:rFonts w:asciiTheme="minorEastAsia" w:hAnsiTheme="minorEastAsia" w:eastAsiaTheme="minorEastAsia"/>
          <w:b/>
          <w:sz w:val="28"/>
          <w:szCs w:val="28"/>
          <w:lang w:val="en-GB"/>
        </w:rPr>
      </w:pPr>
    </w:p>
    <w:p w14:paraId="1092A398">
      <w:pPr>
        <w:pStyle w:val="13"/>
        <w:spacing w:line="360" w:lineRule="auto"/>
        <w:rPr>
          <w:rFonts w:asciiTheme="minorEastAsia" w:hAnsiTheme="minorEastAsia" w:eastAsiaTheme="minorEastAsia"/>
          <w:b/>
          <w:sz w:val="28"/>
          <w:szCs w:val="28"/>
          <w:lang w:val="en-GB"/>
        </w:rPr>
      </w:pPr>
    </w:p>
    <w:p w14:paraId="5338DE82">
      <w:pPr>
        <w:pStyle w:val="13"/>
        <w:spacing w:line="360" w:lineRule="auto"/>
        <w:rPr>
          <w:rFonts w:asciiTheme="minorEastAsia" w:hAnsiTheme="minorEastAsia" w:eastAsiaTheme="minorEastAsia"/>
          <w:b/>
          <w:sz w:val="28"/>
          <w:szCs w:val="28"/>
          <w:lang w:val="en-GB"/>
        </w:rPr>
      </w:pPr>
    </w:p>
    <w:p w14:paraId="7075D6EF">
      <w:pPr>
        <w:pStyle w:val="13"/>
        <w:spacing w:line="360" w:lineRule="auto"/>
        <w:rPr>
          <w:rFonts w:asciiTheme="minorEastAsia" w:hAnsiTheme="minorEastAsia" w:eastAsiaTheme="minorEastAsia"/>
          <w:b/>
          <w:sz w:val="28"/>
          <w:szCs w:val="28"/>
          <w:lang w:val="en-GB"/>
        </w:rPr>
      </w:pPr>
    </w:p>
    <w:p w14:paraId="5809E6BB">
      <w:pPr>
        <w:pStyle w:val="13"/>
        <w:spacing w:line="360" w:lineRule="auto"/>
        <w:rPr>
          <w:rFonts w:asciiTheme="minorEastAsia" w:hAnsiTheme="minorEastAsia" w:eastAsiaTheme="minorEastAsia"/>
          <w:b/>
          <w:sz w:val="28"/>
          <w:szCs w:val="28"/>
          <w:lang w:val="en-GB"/>
        </w:rPr>
      </w:pPr>
    </w:p>
    <w:p w14:paraId="127D1949">
      <w:pPr>
        <w:pStyle w:val="13"/>
        <w:spacing w:line="360" w:lineRule="auto"/>
        <w:rPr>
          <w:rFonts w:asciiTheme="minorEastAsia" w:hAnsiTheme="minorEastAsia" w:eastAsiaTheme="minorEastAsia"/>
          <w:b/>
          <w:sz w:val="28"/>
          <w:szCs w:val="28"/>
          <w:lang w:val="en-GB"/>
        </w:rPr>
      </w:pPr>
    </w:p>
    <w:p w14:paraId="2B48BE3B">
      <w:pPr>
        <w:pStyle w:val="13"/>
        <w:spacing w:line="360" w:lineRule="auto"/>
        <w:rPr>
          <w:rFonts w:asciiTheme="minorEastAsia" w:hAnsiTheme="minorEastAsia" w:eastAsiaTheme="minorEastAsia"/>
          <w:b/>
          <w:sz w:val="28"/>
          <w:szCs w:val="28"/>
          <w:lang w:val="en-GB"/>
        </w:rPr>
      </w:pPr>
    </w:p>
    <w:p w14:paraId="7874BCB6">
      <w:pPr>
        <w:pStyle w:val="13"/>
        <w:spacing w:line="360" w:lineRule="auto"/>
        <w:rPr>
          <w:rFonts w:asciiTheme="minorEastAsia" w:hAnsiTheme="minorEastAsia" w:eastAsiaTheme="minorEastAsia"/>
          <w:b/>
          <w:sz w:val="28"/>
          <w:szCs w:val="28"/>
          <w:lang w:val="en-GB"/>
        </w:rPr>
      </w:pPr>
    </w:p>
    <w:p w14:paraId="3D9006AF">
      <w:pPr>
        <w:pStyle w:val="12"/>
        <w:spacing w:line="480" w:lineRule="auto"/>
        <w:jc w:val="center"/>
        <w:outlineLvl w:val="1"/>
        <w:rPr>
          <w:rFonts w:asciiTheme="minorEastAsia" w:hAnsiTheme="minorEastAsia" w:eastAsiaTheme="minorEastAsia"/>
          <w:b/>
          <w:sz w:val="28"/>
          <w:szCs w:val="32"/>
        </w:rPr>
      </w:pPr>
      <w:r>
        <w:rPr>
          <w:rFonts w:hint="eastAsia" w:asciiTheme="minorEastAsia" w:hAnsiTheme="minorEastAsia" w:eastAsiaTheme="minorEastAsia"/>
          <w:b/>
          <w:sz w:val="28"/>
          <w:szCs w:val="32"/>
          <w:lang w:val="en-GB"/>
        </w:rPr>
        <w:t>格式</w:t>
      </w:r>
      <w:r>
        <w:rPr>
          <w:rFonts w:hint="eastAsia" w:asciiTheme="minorEastAsia" w:hAnsiTheme="minorEastAsia" w:eastAsiaTheme="minorEastAsia"/>
          <w:b/>
          <w:sz w:val="28"/>
          <w:szCs w:val="32"/>
          <w:lang w:val="en-US" w:eastAsia="zh-CN"/>
        </w:rPr>
        <w:t>5</w:t>
      </w:r>
      <w:r>
        <w:rPr>
          <w:rFonts w:asciiTheme="minorEastAsia" w:hAnsiTheme="minorEastAsia" w:eastAsiaTheme="minorEastAsia"/>
          <w:b/>
          <w:sz w:val="28"/>
          <w:szCs w:val="32"/>
          <w:lang w:val="en-GB"/>
        </w:rPr>
        <w:t xml:space="preserve">  </w:t>
      </w:r>
      <w:r>
        <w:rPr>
          <w:rFonts w:hint="eastAsia" w:asciiTheme="minorEastAsia" w:hAnsiTheme="minorEastAsia" w:eastAsiaTheme="minorEastAsia"/>
          <w:b/>
          <w:sz w:val="28"/>
          <w:szCs w:val="32"/>
        </w:rPr>
        <w:t>用户需求书响应一览表</w:t>
      </w:r>
    </w:p>
    <w:p w14:paraId="4B73B357">
      <w:pPr>
        <w:pStyle w:val="5"/>
      </w:pPr>
    </w:p>
    <w:p w14:paraId="7A54B5C8">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广州市番禺区第七人民医院中央配餐配送服务项目</w:t>
      </w:r>
      <w:r>
        <w:rPr>
          <w:rFonts w:hint="eastAsia" w:asciiTheme="minorEastAsia" w:hAnsiTheme="minorEastAsia" w:eastAsiaTheme="minorEastAsia"/>
          <w:sz w:val="24"/>
          <w:u w:val="single"/>
        </w:rPr>
        <w:t>（询比编号：CG-XBLX-202602-01）</w:t>
      </w:r>
    </w:p>
    <w:tbl>
      <w:tblPr>
        <w:tblStyle w:val="37"/>
        <w:tblW w:w="1051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376"/>
        <w:gridCol w:w="1033"/>
        <w:gridCol w:w="3465"/>
        <w:gridCol w:w="2318"/>
        <w:gridCol w:w="2322"/>
      </w:tblGrid>
      <w:tr w14:paraId="74BADF6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4" w:hRule="atLeast"/>
          <w:jc w:val="center"/>
        </w:trPr>
        <w:tc>
          <w:tcPr>
            <w:tcW w:w="1376" w:type="dxa"/>
            <w:tcBorders>
              <w:top w:val="single" w:color="auto" w:sz="12" w:space="0"/>
              <w:bottom w:val="single" w:color="auto" w:sz="2" w:space="0"/>
            </w:tcBorders>
            <w:vAlign w:val="center"/>
          </w:tcPr>
          <w:p w14:paraId="4FBAD05C">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用户需求</w:t>
            </w:r>
          </w:p>
          <w:p w14:paraId="2A130162">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相应序号</w:t>
            </w:r>
          </w:p>
        </w:tc>
        <w:tc>
          <w:tcPr>
            <w:tcW w:w="1033" w:type="dxa"/>
            <w:tcBorders>
              <w:top w:val="single" w:color="auto" w:sz="12" w:space="0"/>
              <w:bottom w:val="single" w:color="auto" w:sz="2" w:space="0"/>
            </w:tcBorders>
            <w:vAlign w:val="center"/>
          </w:tcPr>
          <w:p w14:paraId="04B91F79">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是否“★”号条款</w:t>
            </w:r>
          </w:p>
        </w:tc>
        <w:tc>
          <w:tcPr>
            <w:tcW w:w="3465" w:type="dxa"/>
            <w:tcBorders>
              <w:top w:val="single" w:color="auto" w:sz="12" w:space="0"/>
              <w:bottom w:val="single" w:color="auto" w:sz="2" w:space="0"/>
            </w:tcBorders>
            <w:vAlign w:val="center"/>
          </w:tcPr>
          <w:p w14:paraId="57933989">
            <w:pPr>
              <w:keepNext w:val="0"/>
              <w:keepLines w:val="0"/>
              <w:suppressLineNumbers w:val="0"/>
              <w:spacing w:before="0" w:beforeAutospacing="0" w:after="0" w:afterAutospacing="0" w:line="360" w:lineRule="auto"/>
              <w:ind w:left="0" w:right="0"/>
              <w:jc w:val="center"/>
              <w:rPr>
                <w:rFonts w:hint="default" w:ascii="宋体" w:hAnsi="宋体" w:cs="宋体"/>
                <w:b/>
                <w:bCs/>
                <w:sz w:val="24"/>
              </w:rPr>
            </w:pPr>
            <w:r>
              <w:rPr>
                <w:rFonts w:hint="eastAsia" w:asciiTheme="minorEastAsia" w:hAnsiTheme="minorEastAsia" w:eastAsiaTheme="minorEastAsia"/>
                <w:b/>
                <w:sz w:val="24"/>
              </w:rPr>
              <w:t>询比文件条款描述</w:t>
            </w:r>
          </w:p>
        </w:tc>
        <w:tc>
          <w:tcPr>
            <w:tcW w:w="2318" w:type="dxa"/>
            <w:tcBorders>
              <w:top w:val="single" w:color="auto" w:sz="12" w:space="0"/>
              <w:bottom w:val="single" w:color="auto" w:sz="2" w:space="0"/>
            </w:tcBorders>
            <w:vAlign w:val="center"/>
          </w:tcPr>
          <w:p w14:paraId="3A6688BD">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响应情况</w:t>
            </w:r>
          </w:p>
        </w:tc>
        <w:tc>
          <w:tcPr>
            <w:tcW w:w="2322" w:type="dxa"/>
            <w:tcBorders>
              <w:top w:val="single" w:color="auto" w:sz="12" w:space="0"/>
              <w:bottom w:val="single" w:color="auto" w:sz="2" w:space="0"/>
            </w:tcBorders>
            <w:vAlign w:val="center"/>
          </w:tcPr>
          <w:p w14:paraId="519FBFB2">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偏离说明</w:t>
            </w:r>
          </w:p>
        </w:tc>
      </w:tr>
      <w:tr w14:paraId="5B3D35F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tcBorders>
              <w:top w:val="single" w:color="auto" w:sz="2" w:space="0"/>
            </w:tcBorders>
            <w:vAlign w:val="center"/>
          </w:tcPr>
          <w:p w14:paraId="14740302">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tcBorders>
              <w:top w:val="single" w:color="auto" w:sz="2" w:space="0"/>
            </w:tcBorders>
            <w:vAlign w:val="center"/>
          </w:tcPr>
          <w:p w14:paraId="481596AE">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tcBorders>
              <w:top w:val="single" w:color="auto" w:sz="2" w:space="0"/>
            </w:tcBorders>
            <w:vAlign w:val="center"/>
          </w:tcPr>
          <w:p w14:paraId="48334383">
            <w:pPr>
              <w:keepNext w:val="0"/>
              <w:keepLines w:val="0"/>
              <w:suppressLineNumbers w:val="0"/>
              <w:tabs>
                <w:tab w:val="left" w:pos="525"/>
                <w:tab w:val="left" w:pos="846"/>
              </w:tabs>
              <w:autoSpaceDE w:val="0"/>
              <w:autoSpaceDN w:val="0"/>
              <w:adjustRightInd w:val="0"/>
              <w:spacing w:before="0" w:beforeAutospacing="0" w:after="0" w:afterAutospacing="0" w:line="400" w:lineRule="exact"/>
              <w:ind w:left="0" w:right="0"/>
              <w:jc w:val="center"/>
              <w:outlineLvl w:val="1"/>
              <w:rPr>
                <w:rFonts w:hint="default" w:ascii="宋体" w:hAnsi="宋体" w:cs="宋体"/>
                <w:bCs/>
                <w:sz w:val="24"/>
              </w:rPr>
            </w:pPr>
          </w:p>
        </w:tc>
        <w:tc>
          <w:tcPr>
            <w:tcW w:w="2318" w:type="dxa"/>
            <w:tcBorders>
              <w:top w:val="single" w:color="auto" w:sz="2" w:space="0"/>
            </w:tcBorders>
            <w:vAlign w:val="center"/>
          </w:tcPr>
          <w:p w14:paraId="3EC874DC">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tcBorders>
              <w:top w:val="single" w:color="auto" w:sz="2" w:space="0"/>
            </w:tcBorders>
            <w:vAlign w:val="center"/>
          </w:tcPr>
          <w:p w14:paraId="379566C1">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14:paraId="6D55C99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0A529141">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14:paraId="45D01B35">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14:paraId="74C3F48D">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14:paraId="07460E72">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14:paraId="14A8B4A9">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14:paraId="6554527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64497D8F">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14:paraId="46E07D2E">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14:paraId="58FA07F5">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14:paraId="286CF930">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14:paraId="023930CA">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14:paraId="665BA59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445802F9">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14:paraId="3CE9B800">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14:paraId="02F25EEA">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14:paraId="5B24B066">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14:paraId="6E119A1E">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14:paraId="28F6D5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0B965A28">
            <w:pPr>
              <w:keepNext w:val="0"/>
              <w:keepLines w:val="0"/>
              <w:suppressLineNumbers w:val="0"/>
              <w:spacing w:before="0" w:beforeAutospacing="0" w:after="0" w:afterAutospacing="0" w:line="400" w:lineRule="exact"/>
              <w:ind w:left="420" w:right="0"/>
              <w:rPr>
                <w:rFonts w:hint="default" w:ascii="宋体" w:hAnsi="宋体" w:cs="宋体"/>
                <w:sz w:val="24"/>
              </w:rPr>
            </w:pPr>
            <w:r>
              <w:rPr>
                <w:rFonts w:hint="default" w:ascii="宋体" w:hAnsi="宋体" w:cs="宋体"/>
                <w:sz w:val="24"/>
              </w:rPr>
              <w:t>……</w:t>
            </w:r>
          </w:p>
        </w:tc>
        <w:tc>
          <w:tcPr>
            <w:tcW w:w="1033" w:type="dxa"/>
            <w:vAlign w:val="center"/>
          </w:tcPr>
          <w:p w14:paraId="148FE302">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14:paraId="6BE8DDE4">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14:paraId="20A26CE1">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14:paraId="629A8260">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bl>
    <w:p w14:paraId="7CC3733B">
      <w:pPr>
        <w:spacing w:line="360" w:lineRule="auto"/>
        <w:rPr>
          <w:rFonts w:ascii="宋体" w:hAnsi="宋体"/>
          <w:sz w:val="24"/>
        </w:rPr>
      </w:pPr>
      <w:r>
        <w:rPr>
          <w:rFonts w:hint="eastAsia" w:ascii="宋体" w:hAnsi="宋体"/>
          <w:sz w:val="24"/>
        </w:rPr>
        <w:t>备注：</w:t>
      </w:r>
      <w:r>
        <w:rPr>
          <w:rFonts w:hint="eastAsia" w:ascii="宋体" w:hAnsi="宋体" w:cs="宋体"/>
          <w:sz w:val="24"/>
        </w:rPr>
        <w:t>本表根据</w:t>
      </w:r>
      <w:r>
        <w:rPr>
          <w:rFonts w:hint="eastAsia" w:ascii="宋体" w:hAnsi="宋体"/>
          <w:sz w:val="24"/>
        </w:rPr>
        <w:t>询比文件</w:t>
      </w:r>
      <w:r>
        <w:rPr>
          <w:rFonts w:hint="eastAsia" w:ascii="宋体" w:hAnsi="宋体" w:cs="宋体"/>
          <w:sz w:val="24"/>
        </w:rPr>
        <w:t>用户需求书要求的内容</w:t>
      </w:r>
      <w:r>
        <w:rPr>
          <w:rFonts w:hint="eastAsia" w:ascii="宋体" w:hAnsi="宋体" w:cs="宋体"/>
          <w:b/>
          <w:sz w:val="24"/>
        </w:rPr>
        <w:t>“</w:t>
      </w:r>
      <w:r>
        <w:rPr>
          <w:rFonts w:hint="eastAsia" w:ascii="宋体" w:hAnsi="宋体" w:cs="宋体"/>
          <w:b/>
          <w:color w:val="FF0000"/>
          <w:sz w:val="24"/>
        </w:rPr>
        <w:t>逐条</w:t>
      </w:r>
      <w:r>
        <w:rPr>
          <w:rFonts w:ascii="宋体" w:hAnsi="宋体" w:cs="宋体"/>
          <w:b/>
          <w:color w:val="FF0000"/>
          <w:sz w:val="24"/>
        </w:rPr>
        <w:t>制作</w:t>
      </w:r>
      <w:r>
        <w:rPr>
          <w:rFonts w:hint="eastAsia" w:ascii="宋体" w:hAnsi="宋体" w:cs="宋体"/>
          <w:b/>
          <w:sz w:val="24"/>
        </w:rPr>
        <w:t>”</w:t>
      </w:r>
      <w:r>
        <w:rPr>
          <w:rFonts w:hint="eastAsia" w:ascii="宋体" w:hAnsi="宋体" w:cs="宋体"/>
          <w:sz w:val="24"/>
        </w:rPr>
        <w:t>，对完全响应的条目在上表“响应情况”列中标注“√”。对有偏离的条目在上表“响应情况”列中标注“×”，并在“偏离说明”填写偏离内容。</w:t>
      </w:r>
    </w:p>
    <w:p w14:paraId="193430A2"/>
    <w:p w14:paraId="07E7D00D">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14:paraId="73355351">
      <w:pPr>
        <w:spacing w:line="360" w:lineRule="auto"/>
        <w:ind w:left="4252" w:leftChars="2025"/>
        <w:jc w:val="right"/>
        <w:rPr>
          <w:rFonts w:asciiTheme="minorEastAsia" w:hAnsiTheme="minorEastAsia" w:eastAsiaTheme="minorEastAsia"/>
          <w:sz w:val="24"/>
        </w:rPr>
      </w:pPr>
    </w:p>
    <w:p w14:paraId="43E678A5">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14:paraId="3B1D07C0">
      <w:pPr>
        <w:pStyle w:val="5"/>
        <w:ind w:firstLine="0"/>
      </w:pPr>
    </w:p>
    <w:p w14:paraId="0A868FA1">
      <w:pPr>
        <w:jc w:val="center"/>
        <w:rPr>
          <w:rFonts w:asciiTheme="minorEastAsia" w:hAnsiTheme="minorEastAsia" w:eastAsiaTheme="minorEastAsia"/>
          <w:b/>
          <w:sz w:val="28"/>
          <w:szCs w:val="28"/>
          <w:lang w:val="en-GB"/>
        </w:rPr>
      </w:pPr>
    </w:p>
    <w:p w14:paraId="240665CC">
      <w:pPr>
        <w:jc w:val="center"/>
        <w:rPr>
          <w:rFonts w:asciiTheme="minorEastAsia" w:hAnsiTheme="minorEastAsia" w:eastAsiaTheme="minorEastAsia"/>
          <w:b/>
          <w:sz w:val="28"/>
          <w:szCs w:val="28"/>
          <w:lang w:val="en-GB"/>
        </w:rPr>
      </w:pPr>
    </w:p>
    <w:p w14:paraId="0E348562">
      <w:pPr>
        <w:jc w:val="center"/>
        <w:rPr>
          <w:rFonts w:asciiTheme="minorEastAsia" w:hAnsiTheme="minorEastAsia" w:eastAsiaTheme="minorEastAsia"/>
          <w:b/>
          <w:sz w:val="28"/>
          <w:szCs w:val="28"/>
          <w:lang w:val="en-GB"/>
        </w:rPr>
      </w:pPr>
    </w:p>
    <w:p w14:paraId="7A81661D">
      <w:pPr>
        <w:jc w:val="center"/>
        <w:rPr>
          <w:rFonts w:asciiTheme="minorEastAsia" w:hAnsiTheme="minorEastAsia" w:eastAsiaTheme="minorEastAsia"/>
          <w:b/>
          <w:sz w:val="28"/>
          <w:szCs w:val="28"/>
          <w:lang w:val="en-GB"/>
        </w:rPr>
      </w:pPr>
    </w:p>
    <w:p w14:paraId="494DD176">
      <w:pPr>
        <w:pStyle w:val="5"/>
        <w:rPr>
          <w:lang w:val="en-GB"/>
        </w:rPr>
      </w:pPr>
    </w:p>
    <w:p w14:paraId="670FAEBA">
      <w:pPr>
        <w:pStyle w:val="5"/>
        <w:ind w:firstLine="0"/>
        <w:rPr>
          <w:lang w:val="en-GB"/>
        </w:rPr>
      </w:pPr>
    </w:p>
    <w:p w14:paraId="0E77FB4E">
      <w:pPr>
        <w:pStyle w:val="12"/>
        <w:spacing w:line="480" w:lineRule="auto"/>
        <w:jc w:val="center"/>
        <w:outlineLvl w:val="1"/>
        <w:rPr>
          <w:rFonts w:asciiTheme="minorEastAsia" w:hAnsiTheme="minorEastAsia" w:eastAsiaTheme="minorEastAsia"/>
          <w:b/>
          <w:bCs/>
          <w:sz w:val="32"/>
          <w:szCs w:val="32"/>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6</w:t>
      </w:r>
      <w:r>
        <w:rPr>
          <w:rFonts w:hint="eastAsia" w:asciiTheme="minorEastAsia" w:hAnsiTheme="minorEastAsia" w:eastAsiaTheme="minorEastAsia"/>
          <w:b/>
          <w:sz w:val="28"/>
          <w:szCs w:val="28"/>
        </w:rPr>
        <w:t xml:space="preserve">  信息化订餐管理平台方案、食品安全事故应急方案、餐饮保障服务方案</w:t>
      </w:r>
    </w:p>
    <w:p w14:paraId="6F2E6EB7">
      <w:pPr>
        <w:pStyle w:val="13"/>
        <w:spacing w:line="360" w:lineRule="auto"/>
        <w:jc w:val="center"/>
        <w:rPr>
          <w:rFonts w:asciiTheme="minorEastAsia" w:hAnsiTheme="minorEastAsia" w:eastAsiaTheme="minorEastAsia"/>
        </w:rPr>
      </w:pPr>
      <w:r>
        <w:rPr>
          <w:rFonts w:hint="eastAsia" w:asciiTheme="minorEastAsia" w:hAnsiTheme="minorEastAsia" w:eastAsiaTheme="minorEastAsia"/>
        </w:rPr>
        <w:t>（格式可自定）</w:t>
      </w:r>
    </w:p>
    <w:p w14:paraId="63818E8E">
      <w:pPr>
        <w:jc w:val="center"/>
        <w:rPr>
          <w:rFonts w:asciiTheme="minorEastAsia" w:hAnsiTheme="minorEastAsia" w:eastAsiaTheme="minorEastAsia"/>
          <w:b/>
          <w:sz w:val="28"/>
          <w:szCs w:val="28"/>
          <w:lang w:val="en-GB"/>
        </w:rPr>
      </w:pPr>
    </w:p>
    <w:p w14:paraId="65392680">
      <w:pPr>
        <w:jc w:val="center"/>
        <w:rPr>
          <w:rFonts w:asciiTheme="minorEastAsia" w:hAnsiTheme="minorEastAsia" w:eastAsiaTheme="minorEastAsia"/>
          <w:b/>
          <w:sz w:val="28"/>
          <w:szCs w:val="28"/>
          <w:lang w:val="en-GB"/>
        </w:rPr>
      </w:pPr>
    </w:p>
    <w:p w14:paraId="448EB079">
      <w:pPr>
        <w:jc w:val="center"/>
        <w:rPr>
          <w:rFonts w:asciiTheme="minorEastAsia" w:hAnsiTheme="minorEastAsia" w:eastAsiaTheme="minorEastAsia"/>
          <w:b/>
          <w:sz w:val="28"/>
          <w:szCs w:val="28"/>
          <w:lang w:val="en-GB"/>
        </w:rPr>
      </w:pPr>
    </w:p>
    <w:p w14:paraId="0A4EB1DD">
      <w:pPr>
        <w:jc w:val="center"/>
        <w:rPr>
          <w:rFonts w:asciiTheme="minorEastAsia" w:hAnsiTheme="minorEastAsia" w:eastAsiaTheme="minorEastAsia"/>
          <w:b/>
          <w:sz w:val="28"/>
          <w:szCs w:val="28"/>
          <w:lang w:val="en-GB"/>
        </w:rPr>
      </w:pPr>
    </w:p>
    <w:p w14:paraId="72D1B5A2">
      <w:pPr>
        <w:jc w:val="center"/>
        <w:rPr>
          <w:rFonts w:asciiTheme="minorEastAsia" w:hAnsiTheme="minorEastAsia" w:eastAsiaTheme="minorEastAsia"/>
          <w:b/>
          <w:sz w:val="28"/>
          <w:szCs w:val="28"/>
          <w:lang w:val="en-GB"/>
        </w:rPr>
      </w:pPr>
    </w:p>
    <w:p w14:paraId="6E103F92">
      <w:pPr>
        <w:jc w:val="center"/>
        <w:rPr>
          <w:rFonts w:asciiTheme="minorEastAsia" w:hAnsiTheme="minorEastAsia" w:eastAsiaTheme="minorEastAsia"/>
          <w:b/>
          <w:sz w:val="28"/>
          <w:szCs w:val="28"/>
          <w:lang w:val="en-GB"/>
        </w:rPr>
      </w:pPr>
    </w:p>
    <w:p w14:paraId="2E0663AE">
      <w:pPr>
        <w:jc w:val="center"/>
        <w:rPr>
          <w:rFonts w:asciiTheme="minorEastAsia" w:hAnsiTheme="minorEastAsia" w:eastAsiaTheme="minorEastAsia"/>
          <w:b/>
          <w:sz w:val="28"/>
          <w:szCs w:val="28"/>
          <w:lang w:val="en-GB"/>
        </w:rPr>
      </w:pPr>
    </w:p>
    <w:p w14:paraId="2FD95488">
      <w:pPr>
        <w:jc w:val="center"/>
        <w:rPr>
          <w:rFonts w:asciiTheme="minorEastAsia" w:hAnsiTheme="minorEastAsia" w:eastAsiaTheme="minorEastAsia"/>
          <w:b/>
          <w:sz w:val="28"/>
          <w:szCs w:val="28"/>
          <w:lang w:val="en-GB"/>
        </w:rPr>
      </w:pPr>
    </w:p>
    <w:p w14:paraId="1E3CA932">
      <w:pPr>
        <w:jc w:val="center"/>
        <w:rPr>
          <w:rFonts w:asciiTheme="minorEastAsia" w:hAnsiTheme="minorEastAsia" w:eastAsiaTheme="minorEastAsia"/>
          <w:b/>
          <w:sz w:val="28"/>
          <w:szCs w:val="28"/>
          <w:lang w:val="en-GB"/>
        </w:rPr>
      </w:pPr>
    </w:p>
    <w:p w14:paraId="1042599A">
      <w:pPr>
        <w:jc w:val="center"/>
        <w:rPr>
          <w:rFonts w:asciiTheme="minorEastAsia" w:hAnsiTheme="minorEastAsia" w:eastAsiaTheme="minorEastAsia"/>
          <w:b/>
          <w:sz w:val="28"/>
          <w:szCs w:val="28"/>
          <w:lang w:val="en-GB"/>
        </w:rPr>
      </w:pPr>
    </w:p>
    <w:p w14:paraId="0EFFFF95">
      <w:pPr>
        <w:pStyle w:val="5"/>
        <w:rPr>
          <w:rFonts w:asciiTheme="minorEastAsia" w:hAnsiTheme="minorEastAsia" w:eastAsiaTheme="minorEastAsia"/>
          <w:lang w:val="en-GB"/>
        </w:rPr>
      </w:pPr>
    </w:p>
    <w:p w14:paraId="35019317">
      <w:pPr>
        <w:pStyle w:val="5"/>
        <w:rPr>
          <w:rFonts w:asciiTheme="minorEastAsia" w:hAnsiTheme="minorEastAsia" w:eastAsiaTheme="minorEastAsia"/>
          <w:lang w:val="en-GB"/>
        </w:rPr>
      </w:pPr>
    </w:p>
    <w:p w14:paraId="51B2801D">
      <w:pPr>
        <w:pStyle w:val="5"/>
        <w:rPr>
          <w:rFonts w:asciiTheme="minorEastAsia" w:hAnsiTheme="minorEastAsia" w:eastAsiaTheme="minorEastAsia"/>
          <w:lang w:val="en-GB"/>
        </w:rPr>
      </w:pPr>
    </w:p>
    <w:p w14:paraId="4943FA00">
      <w:pPr>
        <w:pStyle w:val="5"/>
        <w:rPr>
          <w:rFonts w:asciiTheme="minorEastAsia" w:hAnsiTheme="minorEastAsia" w:eastAsiaTheme="minorEastAsia"/>
          <w:lang w:val="en-GB"/>
        </w:rPr>
      </w:pPr>
    </w:p>
    <w:p w14:paraId="5DC00AB2">
      <w:pPr>
        <w:pStyle w:val="5"/>
        <w:rPr>
          <w:rFonts w:asciiTheme="minorEastAsia" w:hAnsiTheme="minorEastAsia" w:eastAsiaTheme="minorEastAsia"/>
          <w:lang w:val="en-GB"/>
        </w:rPr>
      </w:pPr>
    </w:p>
    <w:p w14:paraId="5041E728">
      <w:pPr>
        <w:pStyle w:val="5"/>
        <w:rPr>
          <w:rFonts w:asciiTheme="minorEastAsia" w:hAnsiTheme="minorEastAsia" w:eastAsiaTheme="minorEastAsia"/>
          <w:lang w:val="en-GB"/>
        </w:rPr>
      </w:pPr>
    </w:p>
    <w:p w14:paraId="7FD1C0DD">
      <w:pPr>
        <w:pStyle w:val="5"/>
        <w:rPr>
          <w:rFonts w:asciiTheme="minorEastAsia" w:hAnsiTheme="minorEastAsia" w:eastAsiaTheme="minorEastAsia"/>
          <w:lang w:val="en-GB"/>
        </w:rPr>
      </w:pPr>
    </w:p>
    <w:p w14:paraId="79C3E0C3">
      <w:pPr>
        <w:pStyle w:val="5"/>
        <w:rPr>
          <w:rFonts w:asciiTheme="minorEastAsia" w:hAnsiTheme="minorEastAsia" w:eastAsiaTheme="minorEastAsia"/>
          <w:lang w:val="en-GB"/>
        </w:rPr>
      </w:pPr>
    </w:p>
    <w:p w14:paraId="5A7C8257">
      <w:pPr>
        <w:pStyle w:val="5"/>
        <w:rPr>
          <w:rFonts w:asciiTheme="minorEastAsia" w:hAnsiTheme="minorEastAsia" w:eastAsiaTheme="minorEastAsia"/>
          <w:lang w:val="en-GB"/>
        </w:rPr>
      </w:pPr>
    </w:p>
    <w:p w14:paraId="20423FE4">
      <w:pPr>
        <w:pStyle w:val="5"/>
        <w:ind w:firstLine="0"/>
        <w:rPr>
          <w:rFonts w:asciiTheme="minorEastAsia" w:hAnsiTheme="minorEastAsia" w:eastAsiaTheme="minorEastAsia"/>
          <w:lang w:val="en-GB"/>
        </w:rPr>
      </w:pPr>
    </w:p>
    <w:p w14:paraId="0B2E54C4">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 xml:space="preserve">格式8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同类项目</w:t>
      </w:r>
      <w:r>
        <w:rPr>
          <w:rFonts w:hint="eastAsia" w:asciiTheme="minorEastAsia" w:hAnsiTheme="minorEastAsia" w:eastAsiaTheme="minorEastAsia"/>
          <w:b/>
          <w:sz w:val="28"/>
          <w:szCs w:val="32"/>
        </w:rPr>
        <w:t>业绩</w:t>
      </w:r>
      <w:r>
        <w:rPr>
          <w:rFonts w:hint="eastAsia" w:asciiTheme="minorEastAsia" w:hAnsiTheme="minorEastAsia" w:eastAsiaTheme="minorEastAsia"/>
          <w:b/>
          <w:sz w:val="28"/>
          <w:szCs w:val="28"/>
          <w:lang w:val="en-GB"/>
        </w:rPr>
        <w:t>一览表</w:t>
      </w:r>
    </w:p>
    <w:p w14:paraId="763E87B8">
      <w:pPr>
        <w:pStyle w:val="5"/>
        <w:rPr>
          <w:lang w:val="en-GB"/>
        </w:rPr>
      </w:pP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2"/>
        <w:gridCol w:w="1445"/>
        <w:gridCol w:w="1717"/>
        <w:gridCol w:w="1209"/>
        <w:gridCol w:w="2155"/>
        <w:gridCol w:w="1924"/>
      </w:tblGrid>
      <w:tr w14:paraId="0623A26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702" w:type="dxa"/>
            <w:tcBorders>
              <w:top w:val="single" w:color="auto" w:sz="12" w:space="0"/>
              <w:bottom w:val="single" w:color="auto" w:sz="2" w:space="0"/>
            </w:tcBorders>
            <w:vAlign w:val="center"/>
          </w:tcPr>
          <w:p w14:paraId="38992118">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序号</w:t>
            </w:r>
          </w:p>
        </w:tc>
        <w:tc>
          <w:tcPr>
            <w:tcW w:w="1445" w:type="dxa"/>
            <w:tcBorders>
              <w:top w:val="single" w:color="auto" w:sz="12" w:space="0"/>
              <w:bottom w:val="single" w:color="auto" w:sz="2" w:space="0"/>
            </w:tcBorders>
            <w:vAlign w:val="center"/>
          </w:tcPr>
          <w:p w14:paraId="69941B04">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采购人名称</w:t>
            </w:r>
          </w:p>
        </w:tc>
        <w:tc>
          <w:tcPr>
            <w:tcW w:w="1717" w:type="dxa"/>
            <w:tcBorders>
              <w:top w:val="single" w:color="auto" w:sz="12" w:space="0"/>
              <w:bottom w:val="single" w:color="auto" w:sz="2" w:space="0"/>
            </w:tcBorders>
            <w:vAlign w:val="center"/>
          </w:tcPr>
          <w:p w14:paraId="152195E0">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项目内容</w:t>
            </w:r>
          </w:p>
        </w:tc>
        <w:tc>
          <w:tcPr>
            <w:tcW w:w="1209" w:type="dxa"/>
            <w:tcBorders>
              <w:top w:val="single" w:color="auto" w:sz="12" w:space="0"/>
              <w:bottom w:val="single" w:color="auto" w:sz="2" w:space="0"/>
            </w:tcBorders>
            <w:vAlign w:val="center"/>
          </w:tcPr>
          <w:p w14:paraId="726FC11A">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合同总价</w:t>
            </w:r>
          </w:p>
        </w:tc>
        <w:tc>
          <w:tcPr>
            <w:tcW w:w="2155" w:type="dxa"/>
            <w:tcBorders>
              <w:top w:val="single" w:color="auto" w:sz="12" w:space="0"/>
              <w:bottom w:val="single" w:color="auto" w:sz="2" w:space="0"/>
            </w:tcBorders>
            <w:vAlign w:val="center"/>
          </w:tcPr>
          <w:p w14:paraId="6DA33ADB">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签约日期及完成时间</w:t>
            </w:r>
          </w:p>
        </w:tc>
        <w:tc>
          <w:tcPr>
            <w:tcW w:w="1924" w:type="dxa"/>
            <w:tcBorders>
              <w:top w:val="single" w:color="auto" w:sz="12" w:space="0"/>
              <w:bottom w:val="single" w:color="auto" w:sz="2" w:space="0"/>
            </w:tcBorders>
            <w:vAlign w:val="center"/>
          </w:tcPr>
          <w:p w14:paraId="17CD963E">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单位联系人及电话</w:t>
            </w:r>
          </w:p>
        </w:tc>
      </w:tr>
      <w:tr w14:paraId="3B92F10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tcBorders>
              <w:top w:val="single" w:color="auto" w:sz="2" w:space="0"/>
            </w:tcBorders>
            <w:vAlign w:val="center"/>
          </w:tcPr>
          <w:p w14:paraId="5A0DF7C5">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tcBorders>
              <w:top w:val="single" w:color="auto" w:sz="2" w:space="0"/>
            </w:tcBorders>
            <w:vAlign w:val="center"/>
          </w:tcPr>
          <w:p w14:paraId="558074A5">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tcBorders>
              <w:top w:val="single" w:color="auto" w:sz="2" w:space="0"/>
            </w:tcBorders>
            <w:vAlign w:val="center"/>
          </w:tcPr>
          <w:p w14:paraId="78338972">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tcBorders>
              <w:top w:val="single" w:color="auto" w:sz="2" w:space="0"/>
            </w:tcBorders>
            <w:vAlign w:val="center"/>
          </w:tcPr>
          <w:p w14:paraId="5C9B34D6">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tcBorders>
              <w:top w:val="single" w:color="auto" w:sz="2" w:space="0"/>
            </w:tcBorders>
            <w:vAlign w:val="center"/>
          </w:tcPr>
          <w:p w14:paraId="30BD972B">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tcBorders>
              <w:top w:val="single" w:color="auto" w:sz="2" w:space="0"/>
            </w:tcBorders>
            <w:vAlign w:val="center"/>
          </w:tcPr>
          <w:p w14:paraId="1E91B8BB">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101DDA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64C02DC4">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6AEA4183">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028F9070">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0CC9C8C1">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27E3F441">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535C5BC2">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62853DB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713ED20E">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07D22732">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101B54ED">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485CC136">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0DFE62C4">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0D5004AE">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66FA817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151DF22A">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32E1EA32">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45EE7FE5">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17D0966A">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3B6E1EA4">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40F6F0F2">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12BF6DB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43F23BBA">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6A7B05F2">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48124ADA">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61982A2D">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7B38EABB">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6ED7F183">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3B8A25D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0A71DA15">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59C691DD">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26B781DF">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506363C4">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219CC4E9">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796EEA5E">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0EF222A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3FD8E107">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0E6A2778">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5D01184E">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1231E2C9">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2B4F90ED">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0B545404">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73C1A50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4BFE4D4A">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5C5C4FE5">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46770527">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1B8D2075">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0F28CBCC">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4C4137AF">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4F9A8C9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1FEDEA8B">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72397592">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168D0B2B">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46BE06A1">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5EE8B1D6">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0A71DF17">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5050B1E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5133D261">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4A26FD59">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2D00D6DE">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60EE5FE0">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56ABC14C">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553EF4B2">
            <w:pPr>
              <w:keepNext w:val="0"/>
              <w:keepLines w:val="0"/>
              <w:suppressLineNumbers w:val="0"/>
              <w:spacing w:before="0" w:beforeAutospacing="0" w:after="0" w:afterAutospacing="0" w:line="360" w:lineRule="auto"/>
              <w:ind w:left="0" w:right="0"/>
              <w:jc w:val="center"/>
              <w:rPr>
                <w:rFonts w:hint="default" w:ascii="宋体" w:hAnsi="宋体" w:cs="宋体"/>
              </w:rPr>
            </w:pPr>
          </w:p>
        </w:tc>
      </w:tr>
      <w:tr w14:paraId="3B98654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421016FD">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14:paraId="69326CC1">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14:paraId="2A99CA71">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14:paraId="22365EE9">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14:paraId="7414CF2E">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14:paraId="387FB8E6">
            <w:pPr>
              <w:keepNext w:val="0"/>
              <w:keepLines w:val="0"/>
              <w:suppressLineNumbers w:val="0"/>
              <w:spacing w:before="0" w:beforeAutospacing="0" w:after="0" w:afterAutospacing="0" w:line="360" w:lineRule="auto"/>
              <w:ind w:left="0" w:right="0"/>
              <w:jc w:val="center"/>
              <w:rPr>
                <w:rFonts w:hint="default" w:ascii="宋体" w:hAnsi="宋体" w:cs="宋体"/>
              </w:rPr>
            </w:pPr>
          </w:p>
        </w:tc>
      </w:tr>
    </w:tbl>
    <w:p w14:paraId="5ACF6679">
      <w:pPr>
        <w:pStyle w:val="5"/>
        <w:ind w:firstLine="0"/>
        <w:rPr>
          <w:lang w:val="en-GB"/>
        </w:rPr>
      </w:pPr>
      <w:r>
        <w:rPr>
          <w:rFonts w:hint="eastAsia" w:asciiTheme="minorEastAsia" w:hAnsiTheme="minorEastAsia" w:eastAsiaTheme="minorEastAsia"/>
          <w:sz w:val="24"/>
          <w:szCs w:val="24"/>
          <w:lang w:val="en-GB"/>
        </w:rPr>
        <w:t>备注：请按评审办法</w:t>
      </w:r>
      <w:r>
        <w:rPr>
          <w:rFonts w:asciiTheme="minorEastAsia" w:hAnsiTheme="minorEastAsia" w:eastAsiaTheme="minorEastAsia"/>
          <w:sz w:val="24"/>
          <w:szCs w:val="24"/>
          <w:lang w:val="en-GB"/>
        </w:rPr>
        <w:t>的</w:t>
      </w:r>
      <w:r>
        <w:rPr>
          <w:rFonts w:hint="eastAsia" w:asciiTheme="minorEastAsia" w:hAnsiTheme="minorEastAsia" w:eastAsiaTheme="minorEastAsia"/>
          <w:sz w:val="24"/>
          <w:szCs w:val="24"/>
          <w:lang w:val="en-GB"/>
        </w:rPr>
        <w:t>要求提供证明文件。</w:t>
      </w:r>
    </w:p>
    <w:p w14:paraId="33CED095">
      <w:pPr>
        <w:pStyle w:val="5"/>
        <w:rPr>
          <w:rFonts w:hint="eastAsia" w:eastAsia="仿宋_GB2312"/>
          <w:lang w:val="en-GB" w:eastAsia="zh-CN"/>
        </w:rPr>
      </w:pPr>
    </w:p>
    <w:p w14:paraId="1992E258">
      <w:pPr>
        <w:pStyle w:val="5"/>
        <w:rPr>
          <w:rFonts w:hint="eastAsia" w:eastAsia="仿宋_GB2312"/>
          <w:lang w:val="en-GB" w:eastAsia="zh-CN"/>
        </w:rPr>
      </w:pPr>
    </w:p>
    <w:p w14:paraId="38056CDF">
      <w:pPr>
        <w:pStyle w:val="5"/>
        <w:rPr>
          <w:rFonts w:hint="eastAsia" w:eastAsia="仿宋_GB2312"/>
          <w:lang w:val="en-GB" w:eastAsia="zh-CN"/>
        </w:rPr>
      </w:pPr>
    </w:p>
    <w:p w14:paraId="07D4E678">
      <w:pPr>
        <w:pStyle w:val="5"/>
        <w:rPr>
          <w:rFonts w:hint="eastAsia" w:eastAsia="仿宋_GB2312"/>
          <w:lang w:val="en-GB" w:eastAsia="zh-CN"/>
        </w:rPr>
      </w:pPr>
    </w:p>
    <w:p w14:paraId="05D14226">
      <w:pPr>
        <w:pStyle w:val="5"/>
        <w:rPr>
          <w:rFonts w:hint="eastAsia" w:eastAsia="仿宋_GB2312"/>
          <w:lang w:val="en-GB" w:eastAsia="zh-CN"/>
        </w:rPr>
      </w:pPr>
    </w:p>
    <w:p w14:paraId="010078A3">
      <w:pPr>
        <w:pStyle w:val="5"/>
        <w:rPr>
          <w:rFonts w:hint="eastAsia" w:eastAsia="仿宋_GB2312"/>
          <w:lang w:val="en-GB" w:eastAsia="zh-CN"/>
        </w:rPr>
      </w:pPr>
    </w:p>
    <w:p w14:paraId="53239CE4">
      <w:pPr>
        <w:pStyle w:val="5"/>
        <w:rPr>
          <w:rFonts w:hint="eastAsia" w:eastAsia="仿宋_GB2312"/>
          <w:lang w:val="en-GB" w:eastAsia="zh-CN"/>
        </w:rPr>
      </w:pPr>
    </w:p>
    <w:p w14:paraId="749EDA5F">
      <w:pPr>
        <w:pStyle w:val="5"/>
        <w:ind w:left="0" w:leftChars="0" w:firstLine="0" w:firstLineChars="0"/>
        <w:rPr>
          <w:rFonts w:hint="eastAsia" w:eastAsia="仿宋_GB2312"/>
          <w:lang w:val="en-GB" w:eastAsia="zh-CN"/>
        </w:rPr>
      </w:pPr>
    </w:p>
    <w:p w14:paraId="63F08DA1">
      <w:pPr>
        <w:pStyle w:val="12"/>
        <w:spacing w:line="480" w:lineRule="auto"/>
        <w:jc w:val="center"/>
        <w:outlineLvl w:val="1"/>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asciiTheme="minorEastAsia" w:hAnsiTheme="minorEastAsia" w:eastAsiaTheme="minorEastAsia"/>
          <w:b/>
          <w:sz w:val="28"/>
          <w:szCs w:val="28"/>
        </w:rPr>
        <w:t xml:space="preserve">9  </w:t>
      </w:r>
      <w:r>
        <w:rPr>
          <w:rFonts w:hint="eastAsia" w:asciiTheme="minorEastAsia" w:hAnsiTheme="minorEastAsia" w:eastAsiaTheme="minorEastAsia"/>
          <w:b/>
          <w:sz w:val="28"/>
          <w:szCs w:val="28"/>
          <w:lang w:val="en-US" w:eastAsia="zh-CN"/>
        </w:rPr>
        <w:t>供应商承诺函（请根据自身情况承诺）</w:t>
      </w:r>
    </w:p>
    <w:p w14:paraId="0D7806E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eastAsia="zh-CN"/>
        </w:rPr>
        <w:t xml:space="preserve">    </w:t>
      </w:r>
      <w:r>
        <w:rPr>
          <w:rFonts w:hint="default" w:asciiTheme="minorEastAsia" w:hAnsiTheme="minorEastAsia" w:eastAsiaTheme="minorEastAsia"/>
          <w:lang w:val="en-US" w:eastAsia="zh-CN"/>
        </w:rPr>
        <w:t>（供应商全称），在此郑重声明并承诺，就</w:t>
      </w:r>
      <w:r>
        <w:rPr>
          <w:rFonts w:hint="eastAsia" w:asciiTheme="minorEastAsia" w:hAnsiTheme="minorEastAsia" w:eastAsiaTheme="minorEastAsia"/>
          <w:lang w:val="en-US" w:eastAsia="zh-CN"/>
        </w:rPr>
        <w:t>广州市番禺区第七人民医院中央配餐配送服务项目</w:t>
      </w:r>
      <w:r>
        <w:rPr>
          <w:rFonts w:hint="default" w:asciiTheme="minorEastAsia" w:hAnsiTheme="minorEastAsia" w:eastAsiaTheme="minorEastAsia"/>
          <w:lang w:val="en-US" w:eastAsia="zh-CN"/>
        </w:rPr>
        <w:t>（询比编号：</w:t>
      </w:r>
      <w:r>
        <w:rPr>
          <w:rFonts w:hint="eastAsia" w:asciiTheme="minorEastAsia" w:hAnsiTheme="minorEastAsia" w:eastAsiaTheme="minorEastAsia"/>
          <w:lang w:val="en-US" w:eastAsia="zh-CN"/>
        </w:rPr>
        <w:t>XXX</w:t>
      </w:r>
      <w:r>
        <w:rPr>
          <w:rFonts w:hint="default" w:asciiTheme="minorEastAsia" w:hAnsiTheme="minorEastAsia" w:eastAsiaTheme="minorEastAsia"/>
          <w:lang w:val="en-US" w:eastAsia="zh-CN"/>
        </w:rPr>
        <w:t>）的询比采购活动，具体承诺如下：</w:t>
      </w:r>
    </w:p>
    <w:p w14:paraId="12BEA6B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一、 我方确认，本项目不接受联合体投标，我方将以独立供应商身份参与响应。</w:t>
      </w:r>
    </w:p>
    <w:p w14:paraId="083C383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outlineLvl w:val="1"/>
        <w:rPr>
          <w:rFonts w:hint="default" w:asciiTheme="minorEastAsia" w:hAnsiTheme="minorEastAsia" w:eastAsiaTheme="minorEastAsia"/>
          <w:b w:val="0"/>
          <w:bCs w:val="0"/>
          <w:sz w:val="21"/>
          <w:szCs w:val="24"/>
          <w:lang w:val="en-US" w:eastAsia="zh-CN"/>
        </w:rPr>
      </w:pPr>
      <w:r>
        <w:rPr>
          <w:rFonts w:hint="eastAsia" w:asciiTheme="minorEastAsia" w:hAnsiTheme="minorEastAsia" w:eastAsiaTheme="minorEastAsia"/>
          <w:b w:val="0"/>
          <w:bCs/>
          <w:sz w:val="24"/>
          <w:szCs w:val="24"/>
          <w:lang w:val="en-US" w:eastAsia="zh-CN"/>
        </w:rPr>
        <w:t>二</w:t>
      </w:r>
      <w:r>
        <w:rPr>
          <w:rFonts w:hint="default" w:asciiTheme="minorEastAsia" w:hAnsiTheme="minorEastAsia" w:eastAsiaTheme="minorEastAsia"/>
          <w:b w:val="0"/>
          <w:bCs w:val="0"/>
          <w:sz w:val="21"/>
          <w:szCs w:val="24"/>
          <w:lang w:val="en-US" w:eastAsia="zh-CN"/>
        </w:rPr>
        <w:t>、我方承诺，绝不将本采购项目所涉及的货物生产、供应及相关服务进行任何形式的分包或转包。我方将独立承担本项目全部责任。</w:t>
      </w:r>
    </w:p>
    <w:p w14:paraId="46D4864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b w:val="0"/>
          <w:bCs w:val="0"/>
          <w:sz w:val="21"/>
          <w:szCs w:val="24"/>
          <w:lang w:val="en-US" w:eastAsia="zh-CN"/>
        </w:rPr>
      </w:pPr>
      <w:r>
        <w:rPr>
          <w:rFonts w:hint="default" w:asciiTheme="minorEastAsia" w:hAnsiTheme="minorEastAsia" w:eastAsiaTheme="minorEastAsia"/>
          <w:b w:val="0"/>
          <w:bCs w:val="0"/>
          <w:sz w:val="21"/>
          <w:szCs w:val="24"/>
          <w:lang w:val="en-US" w:eastAsia="zh-CN"/>
        </w:rPr>
        <w:t>三、我方承诺，绝不将项目内容拆开进行响应，保证所提供的报价方案是针对本项目全部内容的完整、唯一响应。若违反此条，我方接受贵方将我方报价视为非实质性响应的决定。</w:t>
      </w:r>
    </w:p>
    <w:p w14:paraId="140490F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b w:val="0"/>
          <w:bCs w:val="0"/>
          <w:sz w:val="21"/>
          <w:szCs w:val="24"/>
          <w:lang w:val="en-US" w:eastAsia="zh-CN"/>
        </w:rPr>
      </w:pPr>
      <w:r>
        <w:rPr>
          <w:rFonts w:hint="default" w:asciiTheme="minorEastAsia" w:hAnsiTheme="minorEastAsia" w:eastAsiaTheme="minorEastAsia"/>
          <w:b w:val="0"/>
          <w:bCs w:val="0"/>
          <w:sz w:val="21"/>
          <w:szCs w:val="24"/>
          <w:lang w:val="en-US" w:eastAsia="zh-CN"/>
        </w:rPr>
        <w:t>四、我方承诺，对询比采购文件的各项要求给予唯一的、明确的实质性响应，不存在任何选择性、附加性或保留性的响应。否则，我方接受被视为不响应的后果。</w:t>
      </w:r>
    </w:p>
    <w:p w14:paraId="7F478BD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b w:val="0"/>
          <w:bCs w:val="0"/>
          <w:sz w:val="21"/>
          <w:szCs w:val="24"/>
          <w:lang w:val="en-US" w:eastAsia="zh-CN"/>
        </w:rPr>
        <w:t>五、我方</w:t>
      </w:r>
      <w:r>
        <w:rPr>
          <w:rFonts w:hint="default" w:asciiTheme="minorEastAsia" w:hAnsiTheme="minorEastAsia" w:eastAsiaTheme="minorEastAsia"/>
          <w:lang w:val="en-US" w:eastAsia="zh-CN"/>
        </w:rPr>
        <w:t>承诺，★供应商在履约过程中，不得存在转包、分包或挂靠经营行为，一经发现属违约行为，将勒令限期整改，限期结束仍未按采购人要求整改则直接解除合同；或者直接解除合同并责令限期退出；因供应商违约行为而解除合同，不予退还</w:t>
      </w:r>
      <w:r>
        <w:rPr>
          <w:rFonts w:hint="eastAsia" w:asciiTheme="minorEastAsia" w:hAnsiTheme="minorEastAsia" w:eastAsiaTheme="minorEastAsia"/>
          <w:lang w:val="en-US" w:eastAsia="zh-CN"/>
        </w:rPr>
        <w:t>履约保证金</w:t>
      </w:r>
      <w:r>
        <w:rPr>
          <w:rFonts w:hint="default" w:asciiTheme="minorEastAsia" w:hAnsiTheme="minorEastAsia" w:eastAsiaTheme="minorEastAsia"/>
          <w:lang w:val="en-US" w:eastAsia="zh-CN"/>
        </w:rPr>
        <w:t>，同时对供应商已发生的投入，采购人不作任何赔付。</w:t>
      </w:r>
    </w:p>
    <w:p w14:paraId="4B59D4F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六、</w:t>
      </w:r>
      <w:r>
        <w:rPr>
          <w:rFonts w:hint="default" w:asciiTheme="minorEastAsia" w:hAnsiTheme="minorEastAsia" w:eastAsiaTheme="minorEastAsia"/>
          <w:lang w:val="en-US" w:eastAsia="zh-CN"/>
        </w:rPr>
        <w:t>我方承诺，★供应商在获得中标资格后，不得私自转让或委托他人经营送餐，一经发现采购人有权单方面终止合同，并给予经济处罚或诉诸法律。</w:t>
      </w:r>
    </w:p>
    <w:p w14:paraId="614EC10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七、</w:t>
      </w:r>
      <w:r>
        <w:rPr>
          <w:rFonts w:hint="default" w:asciiTheme="minorEastAsia" w:hAnsiTheme="minorEastAsia" w:eastAsiaTheme="minorEastAsia"/>
          <w:lang w:val="en-US" w:eastAsia="zh-CN"/>
        </w:rPr>
        <w:t>★如因供应商原因未按时(超过30分钟)送餐而影响采购人正常诊疗工作或者出现病人投诉事件的须扣除当前餐费;发生3次或以上，采购人有权单方面解除合同，取消供应商供餐资格，且供应商应向采购人支付2万元作为违约金。采购人如临时有应急配餐需求的，经与供应商商议后另行确定配送时间。。</w:t>
      </w:r>
    </w:p>
    <w:p w14:paraId="526224F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八、</w:t>
      </w:r>
      <w:r>
        <w:rPr>
          <w:rFonts w:hint="default" w:asciiTheme="minorEastAsia" w:hAnsiTheme="minorEastAsia" w:eastAsiaTheme="minorEastAsia"/>
          <w:lang w:val="en-US" w:eastAsia="zh-CN"/>
        </w:rPr>
        <w:t xml:space="preserve">★供应商应保证当天所有餐次的出品都是当天制作，如经第三方检测确因供应商的餐品质量和食品安全出现问题，造成采购人食品安全事故的，采购人有权立即解除合同，所有的法律责任和经济损失由供应商承担，且供应商须向采购人支付2万元作为违约金。 </w:t>
      </w:r>
    </w:p>
    <w:p w14:paraId="2A26B51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九、</w:t>
      </w:r>
      <w:r>
        <w:rPr>
          <w:rFonts w:hint="default" w:asciiTheme="minorEastAsia" w:hAnsiTheme="minorEastAsia" w:eastAsiaTheme="minorEastAsia"/>
          <w:lang w:val="en-US" w:eastAsia="zh-CN"/>
        </w:rPr>
        <w:t>★供应商需严格执行供应商的食品安全等各项医院管理制度及工作要求，如违反上述制度或要求经采购人书面警告仍拒不整改或整改不到位的，采购人有权终止合同，且对采购人造成财产或声誉损害的，供应商应承担赔偿责任，且供应商应向采购人支付2万元作为违约金。</w:t>
      </w:r>
    </w:p>
    <w:p w14:paraId="2F4D254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十、</w:t>
      </w:r>
      <w:r>
        <w:rPr>
          <w:rFonts w:hint="default" w:asciiTheme="minorEastAsia" w:hAnsiTheme="minorEastAsia" w:eastAsiaTheme="minorEastAsia"/>
          <w:lang w:val="en-US" w:eastAsia="zh-CN"/>
        </w:rPr>
        <w:t>★配餐车辆要求：供应商在获得中标资格后，必须配备至少1 台专用送餐车辆(车辆尾部为密封车厢，保证食品运送安全）。供应商不得私自转让或委托他人经营送餐，一经发现采购人有权单方面终止合同，并给予经济处罚或诉诸法律，且供应商应向采购人支付2万元作为违约金。。</w:t>
      </w:r>
    </w:p>
    <w:p w14:paraId="4385DD3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十一、</w:t>
      </w:r>
      <w:r>
        <w:rPr>
          <w:rFonts w:hint="default" w:asciiTheme="minorEastAsia" w:hAnsiTheme="minorEastAsia" w:eastAsiaTheme="minorEastAsia"/>
          <w:lang w:val="en-US" w:eastAsia="zh-CN"/>
        </w:rPr>
        <w:t>★采购人成立由食品安全工作小组，定期按照合同中有关评价条款对供餐单位开展考核评价，向供餐单位通报考核评价结果，及时反馈问题并督促其落实整改。供应商对落实食品安全主体责任不到位，存在以下情况的，采购人有权终止合同，供应商应向采购人支付合同价10%作为违约金，报告属地市场监管、行政部门。</w:t>
      </w:r>
    </w:p>
    <w:p w14:paraId="635AD0D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1)食品经营许可证超过有效期的(如国家或当地另有政策规定人适用其执行)。</w:t>
      </w:r>
    </w:p>
    <w:p w14:paraId="6970866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2)发生较大或以上食品安全事故的。</w:t>
      </w:r>
    </w:p>
    <w:p w14:paraId="33E5522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3)因食品安全问题引发较大或以上舆情事件的。</w:t>
      </w:r>
    </w:p>
    <w:p w14:paraId="6C7F386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4)因违反《中华人民共和国食品安全法》及其实施条例等法律法规，一年内累计受到2次或以上行政处罚的。</w:t>
      </w:r>
    </w:p>
    <w:p w14:paraId="5C1DC3F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5)因存在重大食品安全隐患受到市场监管部门或人力资源社会保障通报的。</w:t>
      </w:r>
    </w:p>
    <w:p w14:paraId="1CFEB99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6)发生转包、分包行为，或擅自更换履约人、变更供餐生产地址等其他违反法律法规或供餐服务合同行为的。</w:t>
      </w:r>
    </w:p>
    <w:p w14:paraId="48EBE09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7)出现未按供餐服务合同约定建立相关制度或执行制度不力、经营管理混乱降低供餐质量标准、随意变更供餐食谱等情况，经约谈后拒不整改的。</w:t>
      </w:r>
    </w:p>
    <w:p w14:paraId="66D9024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8)供应商与采购人间有商业贿赂等不正当经营行为的。</w:t>
      </w:r>
    </w:p>
    <w:p w14:paraId="29C3C74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9)存在其他违法、违规、违约等行为，影响恶劣的。</w:t>
      </w:r>
    </w:p>
    <w:p w14:paraId="7D04AA6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十二、</w:t>
      </w:r>
      <w:r>
        <w:rPr>
          <w:rFonts w:hint="default" w:asciiTheme="minorEastAsia" w:hAnsiTheme="minorEastAsia" w:eastAsiaTheme="minorEastAsia"/>
          <w:lang w:val="en-US" w:eastAsia="zh-CN"/>
        </w:rPr>
        <w:t>★供应商须做好院内餐饮保障服务工作，接受采购人监督检查并每月按要求提交食品安全管理资料。采购人按《餐饮管理月度服务质量考评》进行考评，月度考评分≧80分为合格，﹤80分时，每下降1分扣罚1000元。连续3个月考评低于80分采购人有权终止合同。</w:t>
      </w:r>
    </w:p>
    <w:p w14:paraId="3D7B882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十三、</w:t>
      </w:r>
      <w:r>
        <w:rPr>
          <w:rFonts w:hint="default" w:asciiTheme="minorEastAsia" w:hAnsiTheme="minorEastAsia" w:eastAsiaTheme="minorEastAsia"/>
          <w:lang w:val="en-US" w:eastAsia="zh-CN"/>
        </w:rPr>
        <w:t>★未经采购人同意不按食谱规定足额提供配餐的，应当向采购人支付违约金人1万元。出现此类情形两次以上，采购人可以解除合同，取消供应商供餐资格。</w:t>
      </w:r>
    </w:p>
    <w:p w14:paraId="76FCCE1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十四、</w:t>
      </w:r>
      <w:r>
        <w:rPr>
          <w:rFonts w:hint="default" w:asciiTheme="minorEastAsia" w:hAnsiTheme="minorEastAsia" w:eastAsiaTheme="minorEastAsia"/>
          <w:lang w:val="en-US" w:eastAsia="zh-CN"/>
        </w:rPr>
        <w:t>★配送食品出现变质变味等质量问题的，应当全部收回并销毁，立即采取补救措施供应配餐，并向采购人支付违约金人民币2万元，累计出现此类情形两次以上的，采购人有权解除合同，取消供应商供餐资格。</w:t>
      </w:r>
    </w:p>
    <w:p w14:paraId="2DE77A9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十五、</w:t>
      </w:r>
      <w:r>
        <w:rPr>
          <w:rFonts w:hint="default" w:asciiTheme="minorEastAsia" w:hAnsiTheme="minorEastAsia" w:eastAsiaTheme="minorEastAsia"/>
          <w:lang w:val="en-US" w:eastAsia="zh-CN"/>
        </w:rPr>
        <w:t>★供应商不能因停水、停电、停燃气、节假日停工等非经采购人同意的原因而停止供餐，如停止供餐的，采购人有权立即解除合同，取消供应商供餐资格，供应商应向采购人支付合同总价10%作为违约金。</w:t>
      </w:r>
    </w:p>
    <w:p w14:paraId="4140F69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十六、</w:t>
      </w:r>
      <w:r>
        <w:rPr>
          <w:rFonts w:hint="default" w:asciiTheme="minorEastAsia" w:hAnsiTheme="minorEastAsia" w:eastAsiaTheme="minorEastAsia"/>
          <w:lang w:val="en-US" w:eastAsia="zh-CN"/>
        </w:rPr>
        <w:t>★履约保证金：供应商须在签订合同后5个工作日内，向采购人缴交履约保证金3万元（人民币）。运营服务期间，如供应商有违约行为，采购人有权使用履约保证金进行赔偿或处罚，履约保证金被使用后,供应商必须在两个月内补齐。运营服务期满后，供应商如无违约，无食物中毒及其他食品安全问题等民事赔偿，采购人无条件将履约保证金（不计利息）退回供应商。由于供应商原因而提前终止合同的，必须提前两个月通知采购人,否则因此而造成采购人的一切损失由供应商负责,供应商无权要求返还履约保证金。采购人逾期退还履约保证金的，中标供应商可按有关法律规定追缴相应费用，但因中标供应商自身原因导致的除外。</w:t>
      </w:r>
    </w:p>
    <w:p w14:paraId="1306745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特此承诺。</w:t>
      </w:r>
    </w:p>
    <w:p w14:paraId="01913EF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p>
    <w:p w14:paraId="7032F1E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供应商（盖章）：</w:t>
      </w:r>
    </w:p>
    <w:p w14:paraId="702E74C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法定代表人或授权代表（签字）：</w:t>
      </w:r>
    </w:p>
    <w:p w14:paraId="66B6FA7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1"/>
        <w:rPr>
          <w:rFonts w:hint="default" w:asciiTheme="minorEastAsia" w:hAnsiTheme="minorEastAsia" w:eastAsiaTheme="minorEastAsia"/>
          <w:lang w:val="en-US" w:eastAsia="zh-CN"/>
        </w:rPr>
      </w:pPr>
      <w:r>
        <w:rPr>
          <w:rFonts w:hint="default" w:asciiTheme="minorEastAsia" w:hAnsiTheme="minorEastAsia" w:eastAsiaTheme="minorEastAsia"/>
          <w:lang w:val="en-US" w:eastAsia="zh-CN"/>
        </w:rPr>
        <w:t>日期： 年 月 日</w:t>
      </w:r>
    </w:p>
    <w:p w14:paraId="6C1A8B1A">
      <w:pPr>
        <w:spacing w:line="480" w:lineRule="auto"/>
        <w:jc w:val="center"/>
        <w:outlineLvl w:val="1"/>
        <w:rPr>
          <w:rFonts w:hint="eastAsia"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br w:type="page"/>
      </w:r>
    </w:p>
    <w:p w14:paraId="53F14297">
      <w:pPr>
        <w:pStyle w:val="12"/>
        <w:spacing w:line="480" w:lineRule="auto"/>
        <w:jc w:val="center"/>
        <w:outlineLvl w:val="1"/>
        <w:rPr>
          <w:rFonts w:hint="eastAsia"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 xml:space="preserve">10 </w:t>
      </w:r>
      <w:r>
        <w:rPr>
          <w:rFonts w:hint="eastAsia" w:asciiTheme="minorEastAsia" w:hAnsiTheme="minorEastAsia" w:eastAsiaTheme="minorEastAsia"/>
          <w:b/>
          <w:sz w:val="28"/>
          <w:szCs w:val="28"/>
          <w:lang w:val="en-GB"/>
        </w:rPr>
        <w:t>响应供应商认为</w:t>
      </w:r>
      <w:r>
        <w:rPr>
          <w:rFonts w:hint="eastAsia" w:asciiTheme="minorEastAsia" w:hAnsiTheme="minorEastAsia" w:eastAsiaTheme="minorEastAsia"/>
          <w:b/>
          <w:sz w:val="28"/>
          <w:szCs w:val="32"/>
        </w:rPr>
        <w:t>需要</w:t>
      </w:r>
      <w:r>
        <w:rPr>
          <w:rFonts w:hint="eastAsia" w:asciiTheme="minorEastAsia" w:hAnsiTheme="minorEastAsia" w:eastAsiaTheme="minorEastAsia"/>
          <w:b/>
          <w:sz w:val="28"/>
          <w:szCs w:val="28"/>
          <w:lang w:val="en-GB"/>
        </w:rPr>
        <w:t>增加的其他资料</w:t>
      </w:r>
    </w:p>
    <w:p w14:paraId="68919AE9">
      <w:pPr>
        <w:pStyle w:val="12"/>
        <w:spacing w:line="480" w:lineRule="auto"/>
        <w:jc w:val="center"/>
        <w:outlineLvl w:val="1"/>
        <w:rPr>
          <w:rFonts w:hint="eastAsia" w:eastAsia="宋体" w:asciiTheme="minorEastAsia" w:hAnsiTheme="minorEastAsia"/>
          <w:b/>
          <w:sz w:val="28"/>
          <w:szCs w:val="28"/>
          <w:lang w:val="en-GB" w:eastAsia="zh-CN"/>
        </w:rPr>
      </w:pPr>
      <w:r>
        <w:rPr>
          <w:rFonts w:hint="eastAsia" w:asciiTheme="minorEastAsia" w:hAnsiTheme="minorEastAsia" w:eastAsiaTheme="minorEastAsia"/>
          <w:b/>
          <w:sz w:val="28"/>
          <w:szCs w:val="28"/>
          <w:lang w:val="en-GB" w:eastAsia="zh-CN"/>
        </w:rPr>
        <w:t>（如质量管理体系认证证书、环境管理体系认证证书、职业健康安全管理体系认证证书、由具有CMA资格的第三方检测机构出具的原材料检测报告</w:t>
      </w:r>
      <w:r>
        <w:rPr>
          <w:rFonts w:hint="eastAsia" w:asciiTheme="minorEastAsia" w:hAnsiTheme="minorEastAsia" w:eastAsiaTheme="minorEastAsia"/>
          <w:b/>
          <w:sz w:val="28"/>
          <w:szCs w:val="28"/>
          <w:lang w:val="en-US" w:eastAsia="zh-CN"/>
        </w:rPr>
        <w:t>等</w:t>
      </w:r>
      <w:r>
        <w:rPr>
          <w:rFonts w:hint="eastAsia" w:asciiTheme="minorEastAsia" w:hAnsiTheme="minorEastAsia" w:eastAsiaTheme="minorEastAsia"/>
          <w:b/>
          <w:sz w:val="28"/>
          <w:szCs w:val="28"/>
          <w:lang w:val="en-GB" w:eastAsia="zh-CN"/>
        </w:rPr>
        <w:t>）</w:t>
      </w:r>
    </w:p>
    <w:sectPr>
      <w:headerReference r:id="rId5" w:type="first"/>
      <w:footerReference r:id="rId6" w:type="first"/>
      <w:pgSz w:w="11906" w:h="16838"/>
      <w:pgMar w:top="1247" w:right="1247" w:bottom="1134" w:left="1247" w:header="794" w:footer="794"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E802">
    <w:pPr>
      <w:pStyle w:val="22"/>
      <w:framePr w:wrap="around" w:vAnchor="text" w:hAnchor="margin" w:xAlign="center" w:y="1"/>
      <w:rPr>
        <w:rStyle w:val="41"/>
      </w:rPr>
    </w:pPr>
    <w:r>
      <w:fldChar w:fldCharType="begin"/>
    </w:r>
    <w:r>
      <w:rPr>
        <w:rStyle w:val="41"/>
      </w:rPr>
      <w:instrText xml:space="preserve">PAGE  </w:instrText>
    </w:r>
    <w:r>
      <w:fldChar w:fldCharType="end"/>
    </w:r>
  </w:p>
  <w:p w14:paraId="44CAB80B">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29FA6">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2AE26B98">
        <w:pPr>
          <w:pStyle w:val="23"/>
        </w:pPr>
        <w:r>
          <w:fldChar w:fldCharType="begin"/>
        </w:r>
        <w:r>
          <w:instrText xml:space="preserve">PAGE   \* MERGEFORMAT</w:instrText>
        </w:r>
        <w:r>
          <w:fldChar w:fldCharType="separate"/>
        </w:r>
        <w:r>
          <w:rPr>
            <w:lang w:val="zh-CN"/>
          </w:rPr>
          <w:t>18</w:t>
        </w:r>
        <w:r>
          <w:fldChar w:fldCharType="end"/>
        </w:r>
      </w:p>
    </w:sdtContent>
  </w:sdt>
  <w:p w14:paraId="67DD29F8">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B20B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FC2AD"/>
    <w:multiLevelType w:val="multilevel"/>
    <w:tmpl w:val="9EBFC2A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A7AD7316"/>
    <w:multiLevelType w:val="multilevel"/>
    <w:tmpl w:val="A7AD7316"/>
    <w:lvl w:ilvl="0" w:tentative="0">
      <w:start w:val="1"/>
      <w:numFmt w:val="chineseCounting"/>
      <w:pStyle w:val="145"/>
      <w:lvlText w:val="第%1部分  "/>
      <w:lvlJc w:val="left"/>
      <w:pPr>
        <w:ind w:left="1320" w:hanging="1320"/>
      </w:pPr>
      <w:rPr>
        <w:rFonts w:hint="eastAsia" w:ascii="宋体" w:hAnsi="宋体" w:eastAsia="宋体" w:cs="宋体"/>
        <w:b/>
        <w:sz w:val="32"/>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C6BF0D1B"/>
    <w:multiLevelType w:val="multilevel"/>
    <w:tmpl w:val="C6BF0D1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D3DE4566"/>
    <w:multiLevelType w:val="multilevel"/>
    <w:tmpl w:val="D3DE4566"/>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DDDE33EF"/>
    <w:multiLevelType w:val="singleLevel"/>
    <w:tmpl w:val="DDDE33EF"/>
    <w:lvl w:ilvl="0" w:tentative="0">
      <w:start w:val="4"/>
      <w:numFmt w:val="chineseCounting"/>
      <w:suff w:val="nothing"/>
      <w:lvlText w:val="（%1）"/>
      <w:lvlJc w:val="left"/>
      <w:rPr>
        <w:rFonts w:hint="eastAsia"/>
      </w:rPr>
    </w:lvl>
  </w:abstractNum>
  <w:abstractNum w:abstractNumId="5">
    <w:nsid w:val="DDFFA621"/>
    <w:multiLevelType w:val="singleLevel"/>
    <w:tmpl w:val="DDFFA621"/>
    <w:lvl w:ilvl="0" w:tentative="0">
      <w:start w:val="9"/>
      <w:numFmt w:val="chineseCounting"/>
      <w:suff w:val="nothing"/>
      <w:lvlText w:val="%1、"/>
      <w:lvlJc w:val="left"/>
      <w:rPr>
        <w:rFonts w:hint="eastAsia"/>
      </w:rPr>
    </w:lvl>
  </w:abstractNum>
  <w:abstractNum w:abstractNumId="6">
    <w:nsid w:val="E8C47F5C"/>
    <w:multiLevelType w:val="singleLevel"/>
    <w:tmpl w:val="E8C47F5C"/>
    <w:lvl w:ilvl="0" w:tentative="0">
      <w:start w:val="1"/>
      <w:numFmt w:val="decimal"/>
      <w:lvlText w:val="%1."/>
      <w:lvlJc w:val="left"/>
      <w:pPr>
        <w:tabs>
          <w:tab w:val="left" w:pos="312"/>
        </w:tabs>
      </w:pPr>
    </w:lvl>
  </w:abstractNum>
  <w:abstractNum w:abstractNumId="7">
    <w:nsid w:val="F076FF6D"/>
    <w:multiLevelType w:val="multilevel"/>
    <w:tmpl w:val="F076FF6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3F3016E"/>
    <w:multiLevelType w:val="multilevel"/>
    <w:tmpl w:val="13F3016E"/>
    <w:lvl w:ilvl="0" w:tentative="0">
      <w:start w:val="1"/>
      <w:numFmt w:val="decimal"/>
      <w:lvlText w:val="%1."/>
      <w:lvlJc w:val="left"/>
      <w:pPr>
        <w:tabs>
          <w:tab w:val="left" w:pos="1264"/>
        </w:tabs>
        <w:ind w:left="1264"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52C7DBE"/>
    <w:multiLevelType w:val="multilevel"/>
    <w:tmpl w:val="152C7DB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6347A1B"/>
    <w:multiLevelType w:val="multilevel"/>
    <w:tmpl w:val="16347A1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7473A9E"/>
    <w:multiLevelType w:val="singleLevel"/>
    <w:tmpl w:val="17473A9E"/>
    <w:lvl w:ilvl="0" w:tentative="0">
      <w:start w:val="1"/>
      <w:numFmt w:val="decimal"/>
      <w:lvlText w:val="%1."/>
      <w:lvlJc w:val="left"/>
      <w:pPr>
        <w:tabs>
          <w:tab w:val="left" w:pos="312"/>
        </w:tabs>
      </w:pPr>
    </w:lvl>
  </w:abstractNum>
  <w:abstractNum w:abstractNumId="12">
    <w:nsid w:val="1D0E5F95"/>
    <w:multiLevelType w:val="multilevel"/>
    <w:tmpl w:val="1D0E5F95"/>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13">
    <w:nsid w:val="207F59CC"/>
    <w:multiLevelType w:val="multilevel"/>
    <w:tmpl w:val="207F59CC"/>
    <w:lvl w:ilvl="0" w:tentative="0">
      <w:start w:val="1"/>
      <w:numFmt w:val="japaneseCounting"/>
      <w:lvlText w:val="%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432BC94"/>
    <w:multiLevelType w:val="singleLevel"/>
    <w:tmpl w:val="2432BC94"/>
    <w:lvl w:ilvl="0" w:tentative="0">
      <w:start w:val="1"/>
      <w:numFmt w:val="decimal"/>
      <w:suff w:val="space"/>
      <w:lvlText w:val="%1."/>
      <w:lvlJc w:val="left"/>
    </w:lvl>
  </w:abstractNum>
  <w:abstractNum w:abstractNumId="15">
    <w:nsid w:val="2BAD36EB"/>
    <w:multiLevelType w:val="multilevel"/>
    <w:tmpl w:val="2BAD36EB"/>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16">
    <w:nsid w:val="2F034439"/>
    <w:multiLevelType w:val="multilevel"/>
    <w:tmpl w:val="2F034439"/>
    <w:lvl w:ilvl="0" w:tentative="0">
      <w:start w:val="1"/>
      <w:numFmt w:val="chineseCountingThousand"/>
      <w:lvlText w:val="%1、"/>
      <w:lvlJc w:val="left"/>
      <w:pPr>
        <w:ind w:left="425" w:hanging="425"/>
      </w:pPr>
      <w:rPr>
        <w:rFonts w:hint="eastAsia"/>
        <w:color w:val="auto"/>
        <w:sz w:val="24"/>
        <w:szCs w:val="24"/>
      </w:rPr>
    </w:lvl>
    <w:lvl w:ilvl="1" w:tentative="0">
      <w:start w:val="1"/>
      <w:numFmt w:val="chineseCountingThousand"/>
      <w:lvlText w:val="（%2）"/>
      <w:lvlJc w:val="left"/>
      <w:pPr>
        <w:ind w:left="993" w:hanging="567"/>
      </w:pPr>
      <w:rPr>
        <w:rFonts w:hint="eastAsia"/>
        <w:sz w:val="24"/>
        <w:szCs w:val="24"/>
      </w:rPr>
    </w:lvl>
    <w:lvl w:ilvl="2" w:tentative="0">
      <w:start w:val="1"/>
      <w:numFmt w:val="decimal"/>
      <w:lvlText w:val="%3."/>
      <w:lvlJc w:val="left"/>
      <w:pPr>
        <w:ind w:left="1418" w:hanging="567"/>
      </w:pPr>
      <w:rPr>
        <w:rFonts w:hint="eastAsia"/>
        <w:lang w:val="en-US"/>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
    <w:nsid w:val="2F481D87"/>
    <w:multiLevelType w:val="multilevel"/>
    <w:tmpl w:val="2F481D8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31720DFA"/>
    <w:multiLevelType w:val="multilevel"/>
    <w:tmpl w:val="31720DFA"/>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9">
    <w:nsid w:val="34270BE9"/>
    <w:multiLevelType w:val="multilevel"/>
    <w:tmpl w:val="34270BE9"/>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47FB2D96"/>
    <w:multiLevelType w:val="multilevel"/>
    <w:tmpl w:val="47FB2D9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BF92B24"/>
    <w:multiLevelType w:val="multilevel"/>
    <w:tmpl w:val="5BF92B24"/>
    <w:lvl w:ilvl="0" w:tentative="0">
      <w:start w:val="1"/>
      <w:numFmt w:val="decimal"/>
      <w:lvlText w:val="%1."/>
      <w:lvlJc w:val="left"/>
      <w:pPr>
        <w:ind w:left="900" w:hanging="420"/>
      </w:pPr>
      <w:rPr>
        <w:rFonts w:hint="default" w:ascii="Times New Roman" w:hAnsi="Times New Roman" w:cs="Times New Roman"/>
      </w:rPr>
    </w:lvl>
    <w:lvl w:ilvl="1" w:tentative="0">
      <w:start w:val="1"/>
      <w:numFmt w:val="decimal"/>
      <w:lvlText w:val="%2."/>
      <w:lvlJc w:val="left"/>
      <w:pPr>
        <w:ind w:left="1320" w:hanging="420"/>
      </w:pPr>
      <w:rPr>
        <w:rFonts w:hint="default" w:ascii="Times New Roman" w:hAnsi="Times New Roman" w:cs="Times New Roman"/>
      </w:rPr>
    </w:lvl>
    <w:lvl w:ilvl="2" w:tentative="0">
      <w:start w:val="1"/>
      <w:numFmt w:val="lowerRoman"/>
      <w:lvlText w:val="%3."/>
      <w:lvlJc w:val="right"/>
      <w:pPr>
        <w:ind w:left="1740" w:hanging="420"/>
      </w:pPr>
      <w:rPr>
        <w:rFonts w:hint="default" w:ascii="Times New Roman" w:hAnsi="Times New Roman" w:cs="Times New Roman"/>
      </w:rPr>
    </w:lvl>
    <w:lvl w:ilvl="3" w:tentative="0">
      <w:start w:val="1"/>
      <w:numFmt w:val="decimal"/>
      <w:lvlText w:val="%4."/>
      <w:lvlJc w:val="left"/>
      <w:pPr>
        <w:ind w:left="2160" w:hanging="420"/>
      </w:pPr>
      <w:rPr>
        <w:rFonts w:hint="default" w:ascii="Times New Roman" w:hAnsi="Times New Roman" w:cs="Times New Roman"/>
      </w:rPr>
    </w:lvl>
    <w:lvl w:ilvl="4" w:tentative="0">
      <w:start w:val="1"/>
      <w:numFmt w:val="lowerLetter"/>
      <w:lvlText w:val="%5)"/>
      <w:lvlJc w:val="left"/>
      <w:pPr>
        <w:ind w:left="2580" w:hanging="420"/>
      </w:pPr>
      <w:rPr>
        <w:rFonts w:hint="default" w:ascii="Times New Roman" w:hAnsi="Times New Roman" w:cs="Times New Roman"/>
      </w:rPr>
    </w:lvl>
    <w:lvl w:ilvl="5" w:tentative="0">
      <w:start w:val="1"/>
      <w:numFmt w:val="lowerRoman"/>
      <w:lvlText w:val="%6."/>
      <w:lvlJc w:val="right"/>
      <w:pPr>
        <w:ind w:left="3000" w:hanging="420"/>
      </w:pPr>
      <w:rPr>
        <w:rFonts w:hint="default" w:ascii="Times New Roman" w:hAnsi="Times New Roman" w:cs="Times New Roman"/>
      </w:rPr>
    </w:lvl>
    <w:lvl w:ilvl="6" w:tentative="0">
      <w:start w:val="1"/>
      <w:numFmt w:val="decimal"/>
      <w:lvlText w:val="%7."/>
      <w:lvlJc w:val="left"/>
      <w:pPr>
        <w:ind w:left="3420" w:hanging="420"/>
      </w:pPr>
      <w:rPr>
        <w:rFonts w:hint="default" w:ascii="Times New Roman" w:hAnsi="Times New Roman" w:cs="Times New Roman"/>
      </w:rPr>
    </w:lvl>
    <w:lvl w:ilvl="7" w:tentative="0">
      <w:start w:val="1"/>
      <w:numFmt w:val="lowerLetter"/>
      <w:lvlText w:val="%8)"/>
      <w:lvlJc w:val="left"/>
      <w:pPr>
        <w:ind w:left="3840" w:hanging="420"/>
      </w:pPr>
      <w:rPr>
        <w:rFonts w:hint="default" w:ascii="Times New Roman" w:hAnsi="Times New Roman" w:cs="Times New Roman"/>
      </w:rPr>
    </w:lvl>
    <w:lvl w:ilvl="8" w:tentative="0">
      <w:start w:val="1"/>
      <w:numFmt w:val="lowerRoman"/>
      <w:lvlText w:val="%9."/>
      <w:lvlJc w:val="right"/>
      <w:pPr>
        <w:ind w:left="4260" w:hanging="420"/>
      </w:pPr>
      <w:rPr>
        <w:rFonts w:hint="default" w:ascii="Times New Roman" w:hAnsi="Times New Roman" w:cs="Times New Roman"/>
      </w:rPr>
    </w:lvl>
  </w:abstractNum>
  <w:abstractNum w:abstractNumId="22">
    <w:nsid w:val="66B45652"/>
    <w:multiLevelType w:val="multilevel"/>
    <w:tmpl w:val="66B4565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B9E51FE"/>
    <w:multiLevelType w:val="multilevel"/>
    <w:tmpl w:val="6B9E51F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16"/>
  </w:num>
  <w:num w:numId="3">
    <w:abstractNumId w:val="22"/>
  </w:num>
  <w:num w:numId="4">
    <w:abstractNumId w:val="20"/>
  </w:num>
  <w:num w:numId="5">
    <w:abstractNumId w:val="23"/>
  </w:num>
  <w:num w:numId="6">
    <w:abstractNumId w:val="18"/>
  </w:num>
  <w:num w:numId="7">
    <w:abstractNumId w:val="19"/>
  </w:num>
  <w:num w:numId="8">
    <w:abstractNumId w:val="10"/>
  </w:num>
  <w:num w:numId="9">
    <w:abstractNumId w:val="4"/>
  </w:num>
  <w:num w:numId="10">
    <w:abstractNumId w:val="17"/>
  </w:num>
  <w:num w:numId="11">
    <w:abstractNumId w:val="9"/>
  </w:num>
  <w:num w:numId="12">
    <w:abstractNumId w:val="11"/>
  </w:num>
  <w:num w:numId="13">
    <w:abstractNumId w:val="14"/>
  </w:num>
  <w:num w:numId="14">
    <w:abstractNumId w:val="3"/>
  </w:num>
  <w:num w:numId="15">
    <w:abstractNumId w:val="6"/>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
  </w:num>
  <w:num w:numId="21">
    <w:abstractNumId w:val="7"/>
  </w:num>
  <w:num w:numId="22">
    <w:abstractNumId w:val="5"/>
  </w:num>
  <w:num w:numId="23">
    <w:abstractNumId w:val="8"/>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E26"/>
    <w:rsid w:val="00000188"/>
    <w:rsid w:val="00000AB7"/>
    <w:rsid w:val="00001C3A"/>
    <w:rsid w:val="00002063"/>
    <w:rsid w:val="000042A2"/>
    <w:rsid w:val="00004B41"/>
    <w:rsid w:val="00004F59"/>
    <w:rsid w:val="00006826"/>
    <w:rsid w:val="00006D2C"/>
    <w:rsid w:val="00006DFF"/>
    <w:rsid w:val="00006F32"/>
    <w:rsid w:val="00007E7C"/>
    <w:rsid w:val="00013021"/>
    <w:rsid w:val="00013CD1"/>
    <w:rsid w:val="00014649"/>
    <w:rsid w:val="0001505A"/>
    <w:rsid w:val="000150BC"/>
    <w:rsid w:val="000157E7"/>
    <w:rsid w:val="000160A3"/>
    <w:rsid w:val="000160CE"/>
    <w:rsid w:val="0001793F"/>
    <w:rsid w:val="00017E50"/>
    <w:rsid w:val="000209E5"/>
    <w:rsid w:val="000222B0"/>
    <w:rsid w:val="00022C19"/>
    <w:rsid w:val="00024311"/>
    <w:rsid w:val="0002668D"/>
    <w:rsid w:val="000279A0"/>
    <w:rsid w:val="000307E7"/>
    <w:rsid w:val="00030887"/>
    <w:rsid w:val="000315E7"/>
    <w:rsid w:val="000316DF"/>
    <w:rsid w:val="00032B99"/>
    <w:rsid w:val="00032D76"/>
    <w:rsid w:val="00032E2C"/>
    <w:rsid w:val="00033BD1"/>
    <w:rsid w:val="00034C2E"/>
    <w:rsid w:val="00035607"/>
    <w:rsid w:val="000361B4"/>
    <w:rsid w:val="00036B32"/>
    <w:rsid w:val="000408EE"/>
    <w:rsid w:val="000412AC"/>
    <w:rsid w:val="0004198A"/>
    <w:rsid w:val="00042E3D"/>
    <w:rsid w:val="000434EC"/>
    <w:rsid w:val="00043DCD"/>
    <w:rsid w:val="00043E58"/>
    <w:rsid w:val="00043EB5"/>
    <w:rsid w:val="00043F17"/>
    <w:rsid w:val="0004470A"/>
    <w:rsid w:val="00044E00"/>
    <w:rsid w:val="00044E64"/>
    <w:rsid w:val="000450A9"/>
    <w:rsid w:val="0004519C"/>
    <w:rsid w:val="0004523C"/>
    <w:rsid w:val="00046024"/>
    <w:rsid w:val="00046263"/>
    <w:rsid w:val="0004637E"/>
    <w:rsid w:val="0004717F"/>
    <w:rsid w:val="00047AE6"/>
    <w:rsid w:val="00050E36"/>
    <w:rsid w:val="00050EC9"/>
    <w:rsid w:val="0005122E"/>
    <w:rsid w:val="0005150C"/>
    <w:rsid w:val="00052519"/>
    <w:rsid w:val="0005312D"/>
    <w:rsid w:val="00053C25"/>
    <w:rsid w:val="00054D2D"/>
    <w:rsid w:val="00055B3D"/>
    <w:rsid w:val="00055C5F"/>
    <w:rsid w:val="00056148"/>
    <w:rsid w:val="000563B6"/>
    <w:rsid w:val="00056B2E"/>
    <w:rsid w:val="000606BE"/>
    <w:rsid w:val="00060D0C"/>
    <w:rsid w:val="00061C59"/>
    <w:rsid w:val="000623FE"/>
    <w:rsid w:val="000624B3"/>
    <w:rsid w:val="00062D7C"/>
    <w:rsid w:val="000636FA"/>
    <w:rsid w:val="00063DEC"/>
    <w:rsid w:val="00064095"/>
    <w:rsid w:val="000645D4"/>
    <w:rsid w:val="000649F6"/>
    <w:rsid w:val="00064DE4"/>
    <w:rsid w:val="000660B5"/>
    <w:rsid w:val="00066A50"/>
    <w:rsid w:val="00066BB0"/>
    <w:rsid w:val="00066C09"/>
    <w:rsid w:val="00066E7E"/>
    <w:rsid w:val="0006794B"/>
    <w:rsid w:val="000701D5"/>
    <w:rsid w:val="00070B31"/>
    <w:rsid w:val="00070C30"/>
    <w:rsid w:val="00072303"/>
    <w:rsid w:val="0007267C"/>
    <w:rsid w:val="0007356D"/>
    <w:rsid w:val="00074DEA"/>
    <w:rsid w:val="000752E3"/>
    <w:rsid w:val="0007604F"/>
    <w:rsid w:val="000763FF"/>
    <w:rsid w:val="00076D54"/>
    <w:rsid w:val="000772D2"/>
    <w:rsid w:val="000818C3"/>
    <w:rsid w:val="00081DEC"/>
    <w:rsid w:val="0008231C"/>
    <w:rsid w:val="00082A85"/>
    <w:rsid w:val="00082DAB"/>
    <w:rsid w:val="000836A4"/>
    <w:rsid w:val="000845A7"/>
    <w:rsid w:val="00085F8E"/>
    <w:rsid w:val="0008713F"/>
    <w:rsid w:val="00087D5A"/>
    <w:rsid w:val="00091220"/>
    <w:rsid w:val="00091C80"/>
    <w:rsid w:val="00091F1A"/>
    <w:rsid w:val="00094AB9"/>
    <w:rsid w:val="0009532A"/>
    <w:rsid w:val="00096FAB"/>
    <w:rsid w:val="0009737B"/>
    <w:rsid w:val="000A0B82"/>
    <w:rsid w:val="000A2383"/>
    <w:rsid w:val="000A2B27"/>
    <w:rsid w:val="000A3AFE"/>
    <w:rsid w:val="000A4C73"/>
    <w:rsid w:val="000A4FD2"/>
    <w:rsid w:val="000B0E55"/>
    <w:rsid w:val="000B106E"/>
    <w:rsid w:val="000B2917"/>
    <w:rsid w:val="000B324B"/>
    <w:rsid w:val="000B4CB4"/>
    <w:rsid w:val="000B4CE3"/>
    <w:rsid w:val="000B5A62"/>
    <w:rsid w:val="000B60B6"/>
    <w:rsid w:val="000B74E4"/>
    <w:rsid w:val="000B7798"/>
    <w:rsid w:val="000B79EF"/>
    <w:rsid w:val="000B7A18"/>
    <w:rsid w:val="000B7BC0"/>
    <w:rsid w:val="000C1E97"/>
    <w:rsid w:val="000C248C"/>
    <w:rsid w:val="000C391B"/>
    <w:rsid w:val="000C5508"/>
    <w:rsid w:val="000C56B9"/>
    <w:rsid w:val="000C59C7"/>
    <w:rsid w:val="000C749F"/>
    <w:rsid w:val="000D00DC"/>
    <w:rsid w:val="000D0C08"/>
    <w:rsid w:val="000D0C4C"/>
    <w:rsid w:val="000D4B3C"/>
    <w:rsid w:val="000D5E3F"/>
    <w:rsid w:val="000D6400"/>
    <w:rsid w:val="000D7D3D"/>
    <w:rsid w:val="000E0618"/>
    <w:rsid w:val="000E13F2"/>
    <w:rsid w:val="000E26BD"/>
    <w:rsid w:val="000E3D97"/>
    <w:rsid w:val="000E408D"/>
    <w:rsid w:val="000E4E38"/>
    <w:rsid w:val="000E65C7"/>
    <w:rsid w:val="000E6B00"/>
    <w:rsid w:val="000E7E2D"/>
    <w:rsid w:val="000F0E3D"/>
    <w:rsid w:val="000F15E2"/>
    <w:rsid w:val="000F1A2B"/>
    <w:rsid w:val="000F1D3F"/>
    <w:rsid w:val="000F2366"/>
    <w:rsid w:val="000F2A79"/>
    <w:rsid w:val="000F3085"/>
    <w:rsid w:val="000F30EC"/>
    <w:rsid w:val="000F34D8"/>
    <w:rsid w:val="000F369B"/>
    <w:rsid w:val="000F45A6"/>
    <w:rsid w:val="000F4854"/>
    <w:rsid w:val="000F541B"/>
    <w:rsid w:val="000F546B"/>
    <w:rsid w:val="000F6746"/>
    <w:rsid w:val="000F6C5E"/>
    <w:rsid w:val="000F7051"/>
    <w:rsid w:val="000F7336"/>
    <w:rsid w:val="0010139D"/>
    <w:rsid w:val="00102AC3"/>
    <w:rsid w:val="00105193"/>
    <w:rsid w:val="0010554E"/>
    <w:rsid w:val="0010601B"/>
    <w:rsid w:val="00106189"/>
    <w:rsid w:val="001063B6"/>
    <w:rsid w:val="001066D1"/>
    <w:rsid w:val="00107BB4"/>
    <w:rsid w:val="00107CFD"/>
    <w:rsid w:val="00110141"/>
    <w:rsid w:val="001114E7"/>
    <w:rsid w:val="0011218B"/>
    <w:rsid w:val="0011432E"/>
    <w:rsid w:val="001157D5"/>
    <w:rsid w:val="00117221"/>
    <w:rsid w:val="001209B3"/>
    <w:rsid w:val="00120AB5"/>
    <w:rsid w:val="00121952"/>
    <w:rsid w:val="00121D4E"/>
    <w:rsid w:val="00122790"/>
    <w:rsid w:val="0012287B"/>
    <w:rsid w:val="00122884"/>
    <w:rsid w:val="00122B14"/>
    <w:rsid w:val="00122D12"/>
    <w:rsid w:val="0012393F"/>
    <w:rsid w:val="00123A39"/>
    <w:rsid w:val="0012425D"/>
    <w:rsid w:val="00124277"/>
    <w:rsid w:val="001303B1"/>
    <w:rsid w:val="0013160D"/>
    <w:rsid w:val="00133EA0"/>
    <w:rsid w:val="00134487"/>
    <w:rsid w:val="0013496E"/>
    <w:rsid w:val="00134A2E"/>
    <w:rsid w:val="00135D05"/>
    <w:rsid w:val="00135EE7"/>
    <w:rsid w:val="00136168"/>
    <w:rsid w:val="00136AE9"/>
    <w:rsid w:val="00136FBD"/>
    <w:rsid w:val="00137EB4"/>
    <w:rsid w:val="00141B2A"/>
    <w:rsid w:val="00141DBD"/>
    <w:rsid w:val="00141DE6"/>
    <w:rsid w:val="00143312"/>
    <w:rsid w:val="00143365"/>
    <w:rsid w:val="001447D9"/>
    <w:rsid w:val="00146ED7"/>
    <w:rsid w:val="001473A3"/>
    <w:rsid w:val="001514D8"/>
    <w:rsid w:val="001534FA"/>
    <w:rsid w:val="00153545"/>
    <w:rsid w:val="0015358B"/>
    <w:rsid w:val="0015396C"/>
    <w:rsid w:val="001553A9"/>
    <w:rsid w:val="001556C2"/>
    <w:rsid w:val="001565AA"/>
    <w:rsid w:val="00156BA8"/>
    <w:rsid w:val="00157084"/>
    <w:rsid w:val="00157BF7"/>
    <w:rsid w:val="00160C18"/>
    <w:rsid w:val="0016199E"/>
    <w:rsid w:val="00161F3F"/>
    <w:rsid w:val="001628CE"/>
    <w:rsid w:val="001629D1"/>
    <w:rsid w:val="00162B8C"/>
    <w:rsid w:val="00163139"/>
    <w:rsid w:val="00163A92"/>
    <w:rsid w:val="001641E8"/>
    <w:rsid w:val="00164C28"/>
    <w:rsid w:val="001651B4"/>
    <w:rsid w:val="0016631A"/>
    <w:rsid w:val="001673EF"/>
    <w:rsid w:val="0016743E"/>
    <w:rsid w:val="00167A32"/>
    <w:rsid w:val="00167C8F"/>
    <w:rsid w:val="00170BA5"/>
    <w:rsid w:val="0017173F"/>
    <w:rsid w:val="00171C09"/>
    <w:rsid w:val="001734FC"/>
    <w:rsid w:val="00173F4F"/>
    <w:rsid w:val="00174BC5"/>
    <w:rsid w:val="00174D6C"/>
    <w:rsid w:val="001764D3"/>
    <w:rsid w:val="00176D24"/>
    <w:rsid w:val="0017764F"/>
    <w:rsid w:val="00177973"/>
    <w:rsid w:val="00180D91"/>
    <w:rsid w:val="00181E5C"/>
    <w:rsid w:val="00181E6C"/>
    <w:rsid w:val="00181F2E"/>
    <w:rsid w:val="00182375"/>
    <w:rsid w:val="001829D0"/>
    <w:rsid w:val="0018552B"/>
    <w:rsid w:val="0018602B"/>
    <w:rsid w:val="00186701"/>
    <w:rsid w:val="001879DC"/>
    <w:rsid w:val="001903BF"/>
    <w:rsid w:val="00190BFB"/>
    <w:rsid w:val="00190FB6"/>
    <w:rsid w:val="00191C55"/>
    <w:rsid w:val="00192AEB"/>
    <w:rsid w:val="00197727"/>
    <w:rsid w:val="001A1988"/>
    <w:rsid w:val="001A2E5B"/>
    <w:rsid w:val="001A475C"/>
    <w:rsid w:val="001A5C9F"/>
    <w:rsid w:val="001A5FF3"/>
    <w:rsid w:val="001A724C"/>
    <w:rsid w:val="001A74C3"/>
    <w:rsid w:val="001A7B32"/>
    <w:rsid w:val="001A7C28"/>
    <w:rsid w:val="001B01FD"/>
    <w:rsid w:val="001B117F"/>
    <w:rsid w:val="001B2116"/>
    <w:rsid w:val="001B33A6"/>
    <w:rsid w:val="001B4B02"/>
    <w:rsid w:val="001B4FE2"/>
    <w:rsid w:val="001B5470"/>
    <w:rsid w:val="001B54B0"/>
    <w:rsid w:val="001B5E1C"/>
    <w:rsid w:val="001B6C0F"/>
    <w:rsid w:val="001B7BF1"/>
    <w:rsid w:val="001C00C9"/>
    <w:rsid w:val="001C0154"/>
    <w:rsid w:val="001C04B1"/>
    <w:rsid w:val="001C071D"/>
    <w:rsid w:val="001C20C2"/>
    <w:rsid w:val="001C2E30"/>
    <w:rsid w:val="001C3426"/>
    <w:rsid w:val="001C5124"/>
    <w:rsid w:val="001C5E97"/>
    <w:rsid w:val="001C72B8"/>
    <w:rsid w:val="001C72FC"/>
    <w:rsid w:val="001C7979"/>
    <w:rsid w:val="001D0245"/>
    <w:rsid w:val="001D02C1"/>
    <w:rsid w:val="001D0714"/>
    <w:rsid w:val="001D0EC4"/>
    <w:rsid w:val="001D233F"/>
    <w:rsid w:val="001D2EE5"/>
    <w:rsid w:val="001D40B9"/>
    <w:rsid w:val="001D56E6"/>
    <w:rsid w:val="001D570D"/>
    <w:rsid w:val="001D57C0"/>
    <w:rsid w:val="001E00B6"/>
    <w:rsid w:val="001E0E78"/>
    <w:rsid w:val="001E1045"/>
    <w:rsid w:val="001E2505"/>
    <w:rsid w:val="001E3CA9"/>
    <w:rsid w:val="001E3CDC"/>
    <w:rsid w:val="001E40C1"/>
    <w:rsid w:val="001E4EC1"/>
    <w:rsid w:val="001F10D9"/>
    <w:rsid w:val="001F130D"/>
    <w:rsid w:val="001F25E0"/>
    <w:rsid w:val="001F2807"/>
    <w:rsid w:val="001F2B71"/>
    <w:rsid w:val="001F2EAD"/>
    <w:rsid w:val="001F33DF"/>
    <w:rsid w:val="001F45E5"/>
    <w:rsid w:val="001F683B"/>
    <w:rsid w:val="001F7510"/>
    <w:rsid w:val="001F7CE0"/>
    <w:rsid w:val="002005AC"/>
    <w:rsid w:val="002006EA"/>
    <w:rsid w:val="00202BF6"/>
    <w:rsid w:val="00203A70"/>
    <w:rsid w:val="00203A95"/>
    <w:rsid w:val="00203D25"/>
    <w:rsid w:val="002041FA"/>
    <w:rsid w:val="00204A6F"/>
    <w:rsid w:val="00204F2D"/>
    <w:rsid w:val="00206147"/>
    <w:rsid w:val="00206BA5"/>
    <w:rsid w:val="00207EBE"/>
    <w:rsid w:val="0021031B"/>
    <w:rsid w:val="002114DC"/>
    <w:rsid w:val="00212FE6"/>
    <w:rsid w:val="002147AB"/>
    <w:rsid w:val="00214B43"/>
    <w:rsid w:val="00214F41"/>
    <w:rsid w:val="002158EE"/>
    <w:rsid w:val="00216819"/>
    <w:rsid w:val="002172E6"/>
    <w:rsid w:val="00217F2A"/>
    <w:rsid w:val="00221636"/>
    <w:rsid w:val="00221FE1"/>
    <w:rsid w:val="002243DF"/>
    <w:rsid w:val="00224743"/>
    <w:rsid w:val="0022669A"/>
    <w:rsid w:val="00227EBB"/>
    <w:rsid w:val="00230444"/>
    <w:rsid w:val="002310B6"/>
    <w:rsid w:val="00232B77"/>
    <w:rsid w:val="00232DE2"/>
    <w:rsid w:val="002332A4"/>
    <w:rsid w:val="00233A09"/>
    <w:rsid w:val="00233FBD"/>
    <w:rsid w:val="002349A0"/>
    <w:rsid w:val="00234C4F"/>
    <w:rsid w:val="00235D62"/>
    <w:rsid w:val="00236764"/>
    <w:rsid w:val="00236A84"/>
    <w:rsid w:val="00236BB8"/>
    <w:rsid w:val="00237CD1"/>
    <w:rsid w:val="002400F0"/>
    <w:rsid w:val="00240D0A"/>
    <w:rsid w:val="00241CD4"/>
    <w:rsid w:val="0024226C"/>
    <w:rsid w:val="00242632"/>
    <w:rsid w:val="00245516"/>
    <w:rsid w:val="002466F2"/>
    <w:rsid w:val="002467AE"/>
    <w:rsid w:val="00246999"/>
    <w:rsid w:val="00246F1B"/>
    <w:rsid w:val="00247698"/>
    <w:rsid w:val="002478C7"/>
    <w:rsid w:val="00247C0D"/>
    <w:rsid w:val="00252BF7"/>
    <w:rsid w:val="00254419"/>
    <w:rsid w:val="0025492A"/>
    <w:rsid w:val="00256FC6"/>
    <w:rsid w:val="0025799C"/>
    <w:rsid w:val="00260A18"/>
    <w:rsid w:val="00261AF8"/>
    <w:rsid w:val="00263AC2"/>
    <w:rsid w:val="00264DAB"/>
    <w:rsid w:val="00266D0D"/>
    <w:rsid w:val="00267186"/>
    <w:rsid w:val="00267CDD"/>
    <w:rsid w:val="00267EB1"/>
    <w:rsid w:val="00271496"/>
    <w:rsid w:val="00271B97"/>
    <w:rsid w:val="00271D64"/>
    <w:rsid w:val="0027454E"/>
    <w:rsid w:val="00274868"/>
    <w:rsid w:val="00274A0A"/>
    <w:rsid w:val="00274DA0"/>
    <w:rsid w:val="00275830"/>
    <w:rsid w:val="00276015"/>
    <w:rsid w:val="0027679A"/>
    <w:rsid w:val="00276C4F"/>
    <w:rsid w:val="00276CE0"/>
    <w:rsid w:val="00277E0A"/>
    <w:rsid w:val="002807CF"/>
    <w:rsid w:val="0028110F"/>
    <w:rsid w:val="002818A1"/>
    <w:rsid w:val="002825F8"/>
    <w:rsid w:val="00282645"/>
    <w:rsid w:val="00283042"/>
    <w:rsid w:val="002838DE"/>
    <w:rsid w:val="00284896"/>
    <w:rsid w:val="00284CF7"/>
    <w:rsid w:val="00285406"/>
    <w:rsid w:val="0028578C"/>
    <w:rsid w:val="002861AA"/>
    <w:rsid w:val="002864F4"/>
    <w:rsid w:val="002866D8"/>
    <w:rsid w:val="002901F4"/>
    <w:rsid w:val="00290515"/>
    <w:rsid w:val="00290F5E"/>
    <w:rsid w:val="0029211B"/>
    <w:rsid w:val="00292143"/>
    <w:rsid w:val="00292BC2"/>
    <w:rsid w:val="00292DDE"/>
    <w:rsid w:val="00294A7C"/>
    <w:rsid w:val="002955EC"/>
    <w:rsid w:val="00297DC2"/>
    <w:rsid w:val="00297F37"/>
    <w:rsid w:val="002A14FF"/>
    <w:rsid w:val="002A2766"/>
    <w:rsid w:val="002A3743"/>
    <w:rsid w:val="002A3750"/>
    <w:rsid w:val="002A39F7"/>
    <w:rsid w:val="002A3C07"/>
    <w:rsid w:val="002A499B"/>
    <w:rsid w:val="002A59C7"/>
    <w:rsid w:val="002A5FA1"/>
    <w:rsid w:val="002A6D9F"/>
    <w:rsid w:val="002A6EFF"/>
    <w:rsid w:val="002A77F3"/>
    <w:rsid w:val="002B0243"/>
    <w:rsid w:val="002B0632"/>
    <w:rsid w:val="002B172E"/>
    <w:rsid w:val="002B2F62"/>
    <w:rsid w:val="002B35BC"/>
    <w:rsid w:val="002B39C3"/>
    <w:rsid w:val="002B3FB9"/>
    <w:rsid w:val="002B5945"/>
    <w:rsid w:val="002B6BA0"/>
    <w:rsid w:val="002B7BDE"/>
    <w:rsid w:val="002C0372"/>
    <w:rsid w:val="002C0E31"/>
    <w:rsid w:val="002C189B"/>
    <w:rsid w:val="002C250D"/>
    <w:rsid w:val="002C2FD0"/>
    <w:rsid w:val="002C39BA"/>
    <w:rsid w:val="002C457B"/>
    <w:rsid w:val="002C50BE"/>
    <w:rsid w:val="002C5141"/>
    <w:rsid w:val="002C584E"/>
    <w:rsid w:val="002C6340"/>
    <w:rsid w:val="002D042C"/>
    <w:rsid w:val="002D126E"/>
    <w:rsid w:val="002D1683"/>
    <w:rsid w:val="002D2775"/>
    <w:rsid w:val="002D2B06"/>
    <w:rsid w:val="002D2BB4"/>
    <w:rsid w:val="002D2C3A"/>
    <w:rsid w:val="002D3C12"/>
    <w:rsid w:val="002D4290"/>
    <w:rsid w:val="002D45E1"/>
    <w:rsid w:val="002D484B"/>
    <w:rsid w:val="002D4D88"/>
    <w:rsid w:val="002D5069"/>
    <w:rsid w:val="002D5ACA"/>
    <w:rsid w:val="002D5DC9"/>
    <w:rsid w:val="002D6572"/>
    <w:rsid w:val="002D7581"/>
    <w:rsid w:val="002D758F"/>
    <w:rsid w:val="002D7728"/>
    <w:rsid w:val="002D7C22"/>
    <w:rsid w:val="002E0FAB"/>
    <w:rsid w:val="002E11A6"/>
    <w:rsid w:val="002E139E"/>
    <w:rsid w:val="002E1D97"/>
    <w:rsid w:val="002E2243"/>
    <w:rsid w:val="002E2476"/>
    <w:rsid w:val="002E2726"/>
    <w:rsid w:val="002E2F4C"/>
    <w:rsid w:val="002E39A0"/>
    <w:rsid w:val="002E4159"/>
    <w:rsid w:val="002E4FEE"/>
    <w:rsid w:val="002E59E1"/>
    <w:rsid w:val="002E5C8A"/>
    <w:rsid w:val="002E6362"/>
    <w:rsid w:val="002E6F81"/>
    <w:rsid w:val="002E6FD4"/>
    <w:rsid w:val="002E7898"/>
    <w:rsid w:val="002F0079"/>
    <w:rsid w:val="002F00FD"/>
    <w:rsid w:val="002F0C74"/>
    <w:rsid w:val="002F0D77"/>
    <w:rsid w:val="002F0FDD"/>
    <w:rsid w:val="002F18F9"/>
    <w:rsid w:val="002F2AA9"/>
    <w:rsid w:val="002F4263"/>
    <w:rsid w:val="002F4355"/>
    <w:rsid w:val="002F610A"/>
    <w:rsid w:val="002F6452"/>
    <w:rsid w:val="002F6E35"/>
    <w:rsid w:val="002F7754"/>
    <w:rsid w:val="00300327"/>
    <w:rsid w:val="00300B2D"/>
    <w:rsid w:val="00300F3F"/>
    <w:rsid w:val="0030127D"/>
    <w:rsid w:val="0030474E"/>
    <w:rsid w:val="00304B45"/>
    <w:rsid w:val="00304D00"/>
    <w:rsid w:val="00305568"/>
    <w:rsid w:val="00305779"/>
    <w:rsid w:val="00305D7E"/>
    <w:rsid w:val="00307C1B"/>
    <w:rsid w:val="003107D5"/>
    <w:rsid w:val="00310839"/>
    <w:rsid w:val="003112C2"/>
    <w:rsid w:val="003119C0"/>
    <w:rsid w:val="003119F1"/>
    <w:rsid w:val="00311A78"/>
    <w:rsid w:val="00311A8C"/>
    <w:rsid w:val="00311DDF"/>
    <w:rsid w:val="00311ED4"/>
    <w:rsid w:val="003123DF"/>
    <w:rsid w:val="003138F3"/>
    <w:rsid w:val="003160F4"/>
    <w:rsid w:val="003178B2"/>
    <w:rsid w:val="00321984"/>
    <w:rsid w:val="003219F5"/>
    <w:rsid w:val="00321B3A"/>
    <w:rsid w:val="00322595"/>
    <w:rsid w:val="003225BB"/>
    <w:rsid w:val="00322808"/>
    <w:rsid w:val="003228A2"/>
    <w:rsid w:val="00322961"/>
    <w:rsid w:val="00322B0E"/>
    <w:rsid w:val="00323AEF"/>
    <w:rsid w:val="00323DF5"/>
    <w:rsid w:val="00323E63"/>
    <w:rsid w:val="00324C6F"/>
    <w:rsid w:val="00326131"/>
    <w:rsid w:val="00327C10"/>
    <w:rsid w:val="00327DEE"/>
    <w:rsid w:val="00327E87"/>
    <w:rsid w:val="003302C3"/>
    <w:rsid w:val="00330A1E"/>
    <w:rsid w:val="00330E52"/>
    <w:rsid w:val="0033312C"/>
    <w:rsid w:val="003332C1"/>
    <w:rsid w:val="003339E0"/>
    <w:rsid w:val="00335305"/>
    <w:rsid w:val="00335313"/>
    <w:rsid w:val="00336EB4"/>
    <w:rsid w:val="003377B0"/>
    <w:rsid w:val="00337A61"/>
    <w:rsid w:val="00337CD1"/>
    <w:rsid w:val="00337E8C"/>
    <w:rsid w:val="00340391"/>
    <w:rsid w:val="003407C5"/>
    <w:rsid w:val="003419F0"/>
    <w:rsid w:val="00344A21"/>
    <w:rsid w:val="00346A26"/>
    <w:rsid w:val="00347042"/>
    <w:rsid w:val="00347505"/>
    <w:rsid w:val="00347F99"/>
    <w:rsid w:val="00351420"/>
    <w:rsid w:val="003525E2"/>
    <w:rsid w:val="00352C67"/>
    <w:rsid w:val="00353435"/>
    <w:rsid w:val="00353CB1"/>
    <w:rsid w:val="00354B5D"/>
    <w:rsid w:val="00354EBD"/>
    <w:rsid w:val="003562E3"/>
    <w:rsid w:val="00357643"/>
    <w:rsid w:val="0036057E"/>
    <w:rsid w:val="0036089E"/>
    <w:rsid w:val="003608EA"/>
    <w:rsid w:val="00360D6F"/>
    <w:rsid w:val="00360E27"/>
    <w:rsid w:val="0036187F"/>
    <w:rsid w:val="00362842"/>
    <w:rsid w:val="003629B2"/>
    <w:rsid w:val="00362BB2"/>
    <w:rsid w:val="00362FDC"/>
    <w:rsid w:val="00363343"/>
    <w:rsid w:val="00363E76"/>
    <w:rsid w:val="0036514D"/>
    <w:rsid w:val="00365D75"/>
    <w:rsid w:val="00367E04"/>
    <w:rsid w:val="00367E67"/>
    <w:rsid w:val="00371121"/>
    <w:rsid w:val="0037154E"/>
    <w:rsid w:val="0037254D"/>
    <w:rsid w:val="00373966"/>
    <w:rsid w:val="00374B8A"/>
    <w:rsid w:val="00374C4A"/>
    <w:rsid w:val="003752F5"/>
    <w:rsid w:val="00375904"/>
    <w:rsid w:val="00375CD4"/>
    <w:rsid w:val="00376D44"/>
    <w:rsid w:val="00377CC9"/>
    <w:rsid w:val="00377DEE"/>
    <w:rsid w:val="00377EA4"/>
    <w:rsid w:val="0038007B"/>
    <w:rsid w:val="00381550"/>
    <w:rsid w:val="00381567"/>
    <w:rsid w:val="003837A5"/>
    <w:rsid w:val="00383804"/>
    <w:rsid w:val="00383C2E"/>
    <w:rsid w:val="00383E61"/>
    <w:rsid w:val="0038400D"/>
    <w:rsid w:val="00384A74"/>
    <w:rsid w:val="003862D6"/>
    <w:rsid w:val="00386832"/>
    <w:rsid w:val="00390345"/>
    <w:rsid w:val="00392B14"/>
    <w:rsid w:val="003935C9"/>
    <w:rsid w:val="00393613"/>
    <w:rsid w:val="0039446B"/>
    <w:rsid w:val="003963CF"/>
    <w:rsid w:val="00396844"/>
    <w:rsid w:val="00397548"/>
    <w:rsid w:val="00397A38"/>
    <w:rsid w:val="003A0A06"/>
    <w:rsid w:val="003A2F4F"/>
    <w:rsid w:val="003A3454"/>
    <w:rsid w:val="003A3958"/>
    <w:rsid w:val="003A4038"/>
    <w:rsid w:val="003A445A"/>
    <w:rsid w:val="003A5210"/>
    <w:rsid w:val="003A5ADC"/>
    <w:rsid w:val="003A6544"/>
    <w:rsid w:val="003A67BB"/>
    <w:rsid w:val="003B0360"/>
    <w:rsid w:val="003B0997"/>
    <w:rsid w:val="003B0A52"/>
    <w:rsid w:val="003B0CE1"/>
    <w:rsid w:val="003B0D40"/>
    <w:rsid w:val="003B0E67"/>
    <w:rsid w:val="003B219F"/>
    <w:rsid w:val="003B23E2"/>
    <w:rsid w:val="003B4BCF"/>
    <w:rsid w:val="003B4D2D"/>
    <w:rsid w:val="003B65A3"/>
    <w:rsid w:val="003B6A33"/>
    <w:rsid w:val="003B7096"/>
    <w:rsid w:val="003C00A5"/>
    <w:rsid w:val="003C212A"/>
    <w:rsid w:val="003C3192"/>
    <w:rsid w:val="003C36A3"/>
    <w:rsid w:val="003C37C1"/>
    <w:rsid w:val="003C4C65"/>
    <w:rsid w:val="003C524E"/>
    <w:rsid w:val="003C5502"/>
    <w:rsid w:val="003C5944"/>
    <w:rsid w:val="003C688A"/>
    <w:rsid w:val="003C6CDB"/>
    <w:rsid w:val="003C7DD6"/>
    <w:rsid w:val="003D0913"/>
    <w:rsid w:val="003D0A11"/>
    <w:rsid w:val="003D0C6B"/>
    <w:rsid w:val="003D10E1"/>
    <w:rsid w:val="003D1D52"/>
    <w:rsid w:val="003D3318"/>
    <w:rsid w:val="003D4EBB"/>
    <w:rsid w:val="003D5406"/>
    <w:rsid w:val="003E05C6"/>
    <w:rsid w:val="003E0756"/>
    <w:rsid w:val="003E0CBE"/>
    <w:rsid w:val="003E0D10"/>
    <w:rsid w:val="003E145A"/>
    <w:rsid w:val="003E14E2"/>
    <w:rsid w:val="003E2167"/>
    <w:rsid w:val="003E3402"/>
    <w:rsid w:val="003E47A8"/>
    <w:rsid w:val="003E47D5"/>
    <w:rsid w:val="003E4E87"/>
    <w:rsid w:val="003E5A27"/>
    <w:rsid w:val="003E6530"/>
    <w:rsid w:val="003F0094"/>
    <w:rsid w:val="003F050F"/>
    <w:rsid w:val="003F11E4"/>
    <w:rsid w:val="003F19B5"/>
    <w:rsid w:val="003F1CE2"/>
    <w:rsid w:val="003F2411"/>
    <w:rsid w:val="003F29CD"/>
    <w:rsid w:val="003F2D9A"/>
    <w:rsid w:val="003F317E"/>
    <w:rsid w:val="003F4B01"/>
    <w:rsid w:val="003F5B01"/>
    <w:rsid w:val="003F5C94"/>
    <w:rsid w:val="003F7E38"/>
    <w:rsid w:val="003F7E6A"/>
    <w:rsid w:val="003F7F13"/>
    <w:rsid w:val="00401822"/>
    <w:rsid w:val="004022AE"/>
    <w:rsid w:val="0040378D"/>
    <w:rsid w:val="00403F04"/>
    <w:rsid w:val="00404017"/>
    <w:rsid w:val="004041FC"/>
    <w:rsid w:val="00404702"/>
    <w:rsid w:val="00404757"/>
    <w:rsid w:val="00405043"/>
    <w:rsid w:val="004056B6"/>
    <w:rsid w:val="00405CCD"/>
    <w:rsid w:val="004062DD"/>
    <w:rsid w:val="00406A95"/>
    <w:rsid w:val="00407D92"/>
    <w:rsid w:val="00407E89"/>
    <w:rsid w:val="00407F64"/>
    <w:rsid w:val="00410B54"/>
    <w:rsid w:val="00410D40"/>
    <w:rsid w:val="00411144"/>
    <w:rsid w:val="004113B7"/>
    <w:rsid w:val="004132B2"/>
    <w:rsid w:val="00413463"/>
    <w:rsid w:val="004134BC"/>
    <w:rsid w:val="00413C62"/>
    <w:rsid w:val="00414BC1"/>
    <w:rsid w:val="00415261"/>
    <w:rsid w:val="00415571"/>
    <w:rsid w:val="004158AD"/>
    <w:rsid w:val="00416127"/>
    <w:rsid w:val="004176B2"/>
    <w:rsid w:val="004203BB"/>
    <w:rsid w:val="00420403"/>
    <w:rsid w:val="0042063F"/>
    <w:rsid w:val="00421409"/>
    <w:rsid w:val="00421510"/>
    <w:rsid w:val="004234FA"/>
    <w:rsid w:val="00423A19"/>
    <w:rsid w:val="00423DB8"/>
    <w:rsid w:val="0042526D"/>
    <w:rsid w:val="00425318"/>
    <w:rsid w:val="0042615A"/>
    <w:rsid w:val="0042680E"/>
    <w:rsid w:val="0043038D"/>
    <w:rsid w:val="00430798"/>
    <w:rsid w:val="00430A18"/>
    <w:rsid w:val="0043141C"/>
    <w:rsid w:val="00433793"/>
    <w:rsid w:val="00434370"/>
    <w:rsid w:val="004344C7"/>
    <w:rsid w:val="00434627"/>
    <w:rsid w:val="0043474C"/>
    <w:rsid w:val="00434C75"/>
    <w:rsid w:val="00435C6D"/>
    <w:rsid w:val="004404DF"/>
    <w:rsid w:val="00441F5E"/>
    <w:rsid w:val="00442658"/>
    <w:rsid w:val="00442DDC"/>
    <w:rsid w:val="00443908"/>
    <w:rsid w:val="00443A0C"/>
    <w:rsid w:val="00445906"/>
    <w:rsid w:val="0044728A"/>
    <w:rsid w:val="0044782F"/>
    <w:rsid w:val="004504E3"/>
    <w:rsid w:val="00450747"/>
    <w:rsid w:val="00451711"/>
    <w:rsid w:val="00451D1A"/>
    <w:rsid w:val="00451F0D"/>
    <w:rsid w:val="00452038"/>
    <w:rsid w:val="0045223D"/>
    <w:rsid w:val="0045224A"/>
    <w:rsid w:val="00452572"/>
    <w:rsid w:val="00452A8B"/>
    <w:rsid w:val="00453189"/>
    <w:rsid w:val="00454C92"/>
    <w:rsid w:val="004571A6"/>
    <w:rsid w:val="004577FD"/>
    <w:rsid w:val="00457EDA"/>
    <w:rsid w:val="00462B93"/>
    <w:rsid w:val="00464DB1"/>
    <w:rsid w:val="00464FAB"/>
    <w:rsid w:val="00466627"/>
    <w:rsid w:val="00466B5F"/>
    <w:rsid w:val="00467CC7"/>
    <w:rsid w:val="0047043F"/>
    <w:rsid w:val="00470C04"/>
    <w:rsid w:val="00470CA4"/>
    <w:rsid w:val="00472832"/>
    <w:rsid w:val="004747B9"/>
    <w:rsid w:val="00474D4E"/>
    <w:rsid w:val="0047754A"/>
    <w:rsid w:val="004808D9"/>
    <w:rsid w:val="004820B5"/>
    <w:rsid w:val="0048270C"/>
    <w:rsid w:val="00483819"/>
    <w:rsid w:val="004854B8"/>
    <w:rsid w:val="004857FC"/>
    <w:rsid w:val="004859E9"/>
    <w:rsid w:val="00487751"/>
    <w:rsid w:val="00487B61"/>
    <w:rsid w:val="00490595"/>
    <w:rsid w:val="0049084E"/>
    <w:rsid w:val="00490A66"/>
    <w:rsid w:val="004914AF"/>
    <w:rsid w:val="0049153E"/>
    <w:rsid w:val="004918C3"/>
    <w:rsid w:val="00491CDD"/>
    <w:rsid w:val="00492651"/>
    <w:rsid w:val="00492824"/>
    <w:rsid w:val="0049377F"/>
    <w:rsid w:val="00493B7F"/>
    <w:rsid w:val="00493C4D"/>
    <w:rsid w:val="00494801"/>
    <w:rsid w:val="00494E6F"/>
    <w:rsid w:val="0049646F"/>
    <w:rsid w:val="00496AFA"/>
    <w:rsid w:val="00496D32"/>
    <w:rsid w:val="004A013B"/>
    <w:rsid w:val="004A100C"/>
    <w:rsid w:val="004A157D"/>
    <w:rsid w:val="004A22CF"/>
    <w:rsid w:val="004A2643"/>
    <w:rsid w:val="004A3041"/>
    <w:rsid w:val="004A4F8A"/>
    <w:rsid w:val="004A5C7D"/>
    <w:rsid w:val="004A5DB0"/>
    <w:rsid w:val="004A635D"/>
    <w:rsid w:val="004A6B14"/>
    <w:rsid w:val="004A71B0"/>
    <w:rsid w:val="004A7E44"/>
    <w:rsid w:val="004B0671"/>
    <w:rsid w:val="004B109E"/>
    <w:rsid w:val="004B15A2"/>
    <w:rsid w:val="004B18BE"/>
    <w:rsid w:val="004B2119"/>
    <w:rsid w:val="004B390F"/>
    <w:rsid w:val="004B47C2"/>
    <w:rsid w:val="004B51C3"/>
    <w:rsid w:val="004B5A46"/>
    <w:rsid w:val="004B6825"/>
    <w:rsid w:val="004C12B5"/>
    <w:rsid w:val="004C1E40"/>
    <w:rsid w:val="004C31FD"/>
    <w:rsid w:val="004C39AF"/>
    <w:rsid w:val="004C4777"/>
    <w:rsid w:val="004C5DE7"/>
    <w:rsid w:val="004C68AB"/>
    <w:rsid w:val="004C7EF2"/>
    <w:rsid w:val="004D0B6F"/>
    <w:rsid w:val="004D0BEE"/>
    <w:rsid w:val="004D186E"/>
    <w:rsid w:val="004D25AC"/>
    <w:rsid w:val="004D2AA3"/>
    <w:rsid w:val="004D438E"/>
    <w:rsid w:val="004D4E43"/>
    <w:rsid w:val="004D5475"/>
    <w:rsid w:val="004D552B"/>
    <w:rsid w:val="004D5AFB"/>
    <w:rsid w:val="004D5EDD"/>
    <w:rsid w:val="004D65FE"/>
    <w:rsid w:val="004D678B"/>
    <w:rsid w:val="004D6796"/>
    <w:rsid w:val="004D7C4E"/>
    <w:rsid w:val="004D7EFC"/>
    <w:rsid w:val="004E02F8"/>
    <w:rsid w:val="004E04A2"/>
    <w:rsid w:val="004E0ED3"/>
    <w:rsid w:val="004E0FC2"/>
    <w:rsid w:val="004E1080"/>
    <w:rsid w:val="004E23A5"/>
    <w:rsid w:val="004E2958"/>
    <w:rsid w:val="004E2C1D"/>
    <w:rsid w:val="004E3D5D"/>
    <w:rsid w:val="004E4AE9"/>
    <w:rsid w:val="004E6AC7"/>
    <w:rsid w:val="004F0ED6"/>
    <w:rsid w:val="004F116C"/>
    <w:rsid w:val="004F1C70"/>
    <w:rsid w:val="004F1EA7"/>
    <w:rsid w:val="004F275D"/>
    <w:rsid w:val="004F3E17"/>
    <w:rsid w:val="004F41F4"/>
    <w:rsid w:val="004F4500"/>
    <w:rsid w:val="004F46E1"/>
    <w:rsid w:val="004F4786"/>
    <w:rsid w:val="004F49C2"/>
    <w:rsid w:val="004F4A2C"/>
    <w:rsid w:val="004F640C"/>
    <w:rsid w:val="004F6A93"/>
    <w:rsid w:val="004F6FAD"/>
    <w:rsid w:val="004F7DAB"/>
    <w:rsid w:val="004F7E58"/>
    <w:rsid w:val="00500C2A"/>
    <w:rsid w:val="00500CBD"/>
    <w:rsid w:val="005016FE"/>
    <w:rsid w:val="00501725"/>
    <w:rsid w:val="005022E0"/>
    <w:rsid w:val="00502530"/>
    <w:rsid w:val="00502787"/>
    <w:rsid w:val="00502F3E"/>
    <w:rsid w:val="005030B1"/>
    <w:rsid w:val="00506713"/>
    <w:rsid w:val="00506F76"/>
    <w:rsid w:val="00507A1D"/>
    <w:rsid w:val="00507A72"/>
    <w:rsid w:val="00507AA6"/>
    <w:rsid w:val="00510325"/>
    <w:rsid w:val="00510403"/>
    <w:rsid w:val="00511757"/>
    <w:rsid w:val="00513F53"/>
    <w:rsid w:val="00514972"/>
    <w:rsid w:val="00516A16"/>
    <w:rsid w:val="00517827"/>
    <w:rsid w:val="00517E57"/>
    <w:rsid w:val="00521DD3"/>
    <w:rsid w:val="00522854"/>
    <w:rsid w:val="0052392F"/>
    <w:rsid w:val="00523D33"/>
    <w:rsid w:val="00525015"/>
    <w:rsid w:val="005255B8"/>
    <w:rsid w:val="005255DF"/>
    <w:rsid w:val="00525BCF"/>
    <w:rsid w:val="00525E8A"/>
    <w:rsid w:val="00525F91"/>
    <w:rsid w:val="00526120"/>
    <w:rsid w:val="00527694"/>
    <w:rsid w:val="00527847"/>
    <w:rsid w:val="00527866"/>
    <w:rsid w:val="005308F3"/>
    <w:rsid w:val="00530DB7"/>
    <w:rsid w:val="00530ECC"/>
    <w:rsid w:val="00532A01"/>
    <w:rsid w:val="00532F35"/>
    <w:rsid w:val="005338DF"/>
    <w:rsid w:val="005344DE"/>
    <w:rsid w:val="0053506F"/>
    <w:rsid w:val="00535090"/>
    <w:rsid w:val="00535500"/>
    <w:rsid w:val="00535E2A"/>
    <w:rsid w:val="00537B6A"/>
    <w:rsid w:val="00540D71"/>
    <w:rsid w:val="005417CE"/>
    <w:rsid w:val="00541B2C"/>
    <w:rsid w:val="00542065"/>
    <w:rsid w:val="0054270F"/>
    <w:rsid w:val="00542B18"/>
    <w:rsid w:val="00543DFD"/>
    <w:rsid w:val="00544E33"/>
    <w:rsid w:val="0054501F"/>
    <w:rsid w:val="00545B6F"/>
    <w:rsid w:val="00547066"/>
    <w:rsid w:val="00547BA1"/>
    <w:rsid w:val="00547FDC"/>
    <w:rsid w:val="00550188"/>
    <w:rsid w:val="00550191"/>
    <w:rsid w:val="0055239C"/>
    <w:rsid w:val="00553263"/>
    <w:rsid w:val="005549A0"/>
    <w:rsid w:val="0055643D"/>
    <w:rsid w:val="00556790"/>
    <w:rsid w:val="00557051"/>
    <w:rsid w:val="00557884"/>
    <w:rsid w:val="00557D87"/>
    <w:rsid w:val="00557DB8"/>
    <w:rsid w:val="005602FA"/>
    <w:rsid w:val="00560CEC"/>
    <w:rsid w:val="0056156A"/>
    <w:rsid w:val="00562DA4"/>
    <w:rsid w:val="00564395"/>
    <w:rsid w:val="005644FA"/>
    <w:rsid w:val="0056527A"/>
    <w:rsid w:val="005657B9"/>
    <w:rsid w:val="00566087"/>
    <w:rsid w:val="00566433"/>
    <w:rsid w:val="00567098"/>
    <w:rsid w:val="00567AF6"/>
    <w:rsid w:val="00567D84"/>
    <w:rsid w:val="0057076E"/>
    <w:rsid w:val="005711E5"/>
    <w:rsid w:val="005715B2"/>
    <w:rsid w:val="00572570"/>
    <w:rsid w:val="00574412"/>
    <w:rsid w:val="00574B1C"/>
    <w:rsid w:val="0057582D"/>
    <w:rsid w:val="00575B39"/>
    <w:rsid w:val="005769D3"/>
    <w:rsid w:val="00577113"/>
    <w:rsid w:val="0057744D"/>
    <w:rsid w:val="00580ED5"/>
    <w:rsid w:val="0058162F"/>
    <w:rsid w:val="00581E47"/>
    <w:rsid w:val="005823C8"/>
    <w:rsid w:val="00583AE8"/>
    <w:rsid w:val="00584679"/>
    <w:rsid w:val="005851FB"/>
    <w:rsid w:val="0058609D"/>
    <w:rsid w:val="00587DA5"/>
    <w:rsid w:val="00590DD1"/>
    <w:rsid w:val="00591B55"/>
    <w:rsid w:val="00594B18"/>
    <w:rsid w:val="00594EE7"/>
    <w:rsid w:val="0059565D"/>
    <w:rsid w:val="005958A8"/>
    <w:rsid w:val="005959D3"/>
    <w:rsid w:val="00595AD3"/>
    <w:rsid w:val="00596A8F"/>
    <w:rsid w:val="00597957"/>
    <w:rsid w:val="00597B9F"/>
    <w:rsid w:val="00597FD7"/>
    <w:rsid w:val="005A0318"/>
    <w:rsid w:val="005A0805"/>
    <w:rsid w:val="005A097D"/>
    <w:rsid w:val="005A25B1"/>
    <w:rsid w:val="005A285A"/>
    <w:rsid w:val="005A2C7A"/>
    <w:rsid w:val="005A2E84"/>
    <w:rsid w:val="005A3796"/>
    <w:rsid w:val="005A39F3"/>
    <w:rsid w:val="005A3A8A"/>
    <w:rsid w:val="005A4F45"/>
    <w:rsid w:val="005A5535"/>
    <w:rsid w:val="005A7871"/>
    <w:rsid w:val="005B0701"/>
    <w:rsid w:val="005B16CA"/>
    <w:rsid w:val="005B1E1D"/>
    <w:rsid w:val="005B2AD6"/>
    <w:rsid w:val="005B364C"/>
    <w:rsid w:val="005B36AD"/>
    <w:rsid w:val="005B4677"/>
    <w:rsid w:val="005B4DF2"/>
    <w:rsid w:val="005B4E88"/>
    <w:rsid w:val="005B6AAE"/>
    <w:rsid w:val="005C0837"/>
    <w:rsid w:val="005C2883"/>
    <w:rsid w:val="005C5D1E"/>
    <w:rsid w:val="005C6B84"/>
    <w:rsid w:val="005D038D"/>
    <w:rsid w:val="005D04FE"/>
    <w:rsid w:val="005D0913"/>
    <w:rsid w:val="005D0DFC"/>
    <w:rsid w:val="005D1283"/>
    <w:rsid w:val="005D13CC"/>
    <w:rsid w:val="005D160D"/>
    <w:rsid w:val="005D2717"/>
    <w:rsid w:val="005D3E22"/>
    <w:rsid w:val="005D4433"/>
    <w:rsid w:val="005D4953"/>
    <w:rsid w:val="005D56ED"/>
    <w:rsid w:val="005D6859"/>
    <w:rsid w:val="005D704E"/>
    <w:rsid w:val="005E3357"/>
    <w:rsid w:val="005E3657"/>
    <w:rsid w:val="005E4354"/>
    <w:rsid w:val="005E470E"/>
    <w:rsid w:val="005E66E4"/>
    <w:rsid w:val="005E6F53"/>
    <w:rsid w:val="005E74A9"/>
    <w:rsid w:val="005E75C4"/>
    <w:rsid w:val="005F0A3C"/>
    <w:rsid w:val="005F11A1"/>
    <w:rsid w:val="005F1BBE"/>
    <w:rsid w:val="005F1E9B"/>
    <w:rsid w:val="005F1EA5"/>
    <w:rsid w:val="005F265F"/>
    <w:rsid w:val="005F2B72"/>
    <w:rsid w:val="005F35C3"/>
    <w:rsid w:val="005F3A4A"/>
    <w:rsid w:val="005F47FF"/>
    <w:rsid w:val="005F5D43"/>
    <w:rsid w:val="005F6B34"/>
    <w:rsid w:val="005F6B7A"/>
    <w:rsid w:val="005F6C2F"/>
    <w:rsid w:val="005F70C1"/>
    <w:rsid w:val="005F7530"/>
    <w:rsid w:val="005F7549"/>
    <w:rsid w:val="006007B0"/>
    <w:rsid w:val="00601730"/>
    <w:rsid w:val="0060385A"/>
    <w:rsid w:val="00604950"/>
    <w:rsid w:val="00604E6D"/>
    <w:rsid w:val="006061FD"/>
    <w:rsid w:val="00606D39"/>
    <w:rsid w:val="0061212C"/>
    <w:rsid w:val="0061225D"/>
    <w:rsid w:val="006142C0"/>
    <w:rsid w:val="006144B8"/>
    <w:rsid w:val="00614548"/>
    <w:rsid w:val="00614561"/>
    <w:rsid w:val="00615203"/>
    <w:rsid w:val="0061733C"/>
    <w:rsid w:val="00617B78"/>
    <w:rsid w:val="00620B6A"/>
    <w:rsid w:val="006213BC"/>
    <w:rsid w:val="00622527"/>
    <w:rsid w:val="00622712"/>
    <w:rsid w:val="006228E1"/>
    <w:rsid w:val="006241B8"/>
    <w:rsid w:val="00626C01"/>
    <w:rsid w:val="00630457"/>
    <w:rsid w:val="00631701"/>
    <w:rsid w:val="00632564"/>
    <w:rsid w:val="0063292C"/>
    <w:rsid w:val="00633B10"/>
    <w:rsid w:val="00634ED5"/>
    <w:rsid w:val="00636DA8"/>
    <w:rsid w:val="00636EE2"/>
    <w:rsid w:val="00637376"/>
    <w:rsid w:val="006404CD"/>
    <w:rsid w:val="006411F3"/>
    <w:rsid w:val="00641D71"/>
    <w:rsid w:val="006420DF"/>
    <w:rsid w:val="006439A3"/>
    <w:rsid w:val="00644D9B"/>
    <w:rsid w:val="006457CE"/>
    <w:rsid w:val="00647130"/>
    <w:rsid w:val="00650BBE"/>
    <w:rsid w:val="006510F4"/>
    <w:rsid w:val="0065181B"/>
    <w:rsid w:val="00651AA0"/>
    <w:rsid w:val="00652B6F"/>
    <w:rsid w:val="006530EF"/>
    <w:rsid w:val="00653233"/>
    <w:rsid w:val="00653E55"/>
    <w:rsid w:val="0065476A"/>
    <w:rsid w:val="006549E8"/>
    <w:rsid w:val="00654BD4"/>
    <w:rsid w:val="00654F9D"/>
    <w:rsid w:val="00656962"/>
    <w:rsid w:val="00656CE5"/>
    <w:rsid w:val="0065776E"/>
    <w:rsid w:val="00660976"/>
    <w:rsid w:val="00662BCE"/>
    <w:rsid w:val="006637B2"/>
    <w:rsid w:val="006654FF"/>
    <w:rsid w:val="00665E15"/>
    <w:rsid w:val="00667724"/>
    <w:rsid w:val="00667785"/>
    <w:rsid w:val="00670D09"/>
    <w:rsid w:val="006711FC"/>
    <w:rsid w:val="00671231"/>
    <w:rsid w:val="00671FBD"/>
    <w:rsid w:val="00675C75"/>
    <w:rsid w:val="0067773E"/>
    <w:rsid w:val="00677ED9"/>
    <w:rsid w:val="006807EA"/>
    <w:rsid w:val="006814DC"/>
    <w:rsid w:val="006825BF"/>
    <w:rsid w:val="006826C9"/>
    <w:rsid w:val="006840B6"/>
    <w:rsid w:val="006853BB"/>
    <w:rsid w:val="00687483"/>
    <w:rsid w:val="00687927"/>
    <w:rsid w:val="006901A4"/>
    <w:rsid w:val="006904DD"/>
    <w:rsid w:val="006909D0"/>
    <w:rsid w:val="006910DD"/>
    <w:rsid w:val="006915A8"/>
    <w:rsid w:val="00693793"/>
    <w:rsid w:val="0069406C"/>
    <w:rsid w:val="00694D22"/>
    <w:rsid w:val="006953E6"/>
    <w:rsid w:val="00695778"/>
    <w:rsid w:val="0069640C"/>
    <w:rsid w:val="00697629"/>
    <w:rsid w:val="006A087F"/>
    <w:rsid w:val="006A0D96"/>
    <w:rsid w:val="006A212F"/>
    <w:rsid w:val="006A32F3"/>
    <w:rsid w:val="006A331F"/>
    <w:rsid w:val="006A60DE"/>
    <w:rsid w:val="006A7314"/>
    <w:rsid w:val="006A7620"/>
    <w:rsid w:val="006B26A1"/>
    <w:rsid w:val="006B2EBB"/>
    <w:rsid w:val="006B3D00"/>
    <w:rsid w:val="006B64C5"/>
    <w:rsid w:val="006B6800"/>
    <w:rsid w:val="006B69FE"/>
    <w:rsid w:val="006C01B2"/>
    <w:rsid w:val="006C0283"/>
    <w:rsid w:val="006C1FF0"/>
    <w:rsid w:val="006C23A1"/>
    <w:rsid w:val="006C26C5"/>
    <w:rsid w:val="006C2AF4"/>
    <w:rsid w:val="006C496D"/>
    <w:rsid w:val="006C4F53"/>
    <w:rsid w:val="006C50A3"/>
    <w:rsid w:val="006C5714"/>
    <w:rsid w:val="006C69B4"/>
    <w:rsid w:val="006C77E6"/>
    <w:rsid w:val="006D027B"/>
    <w:rsid w:val="006D0529"/>
    <w:rsid w:val="006D08D2"/>
    <w:rsid w:val="006D0D00"/>
    <w:rsid w:val="006D43AD"/>
    <w:rsid w:val="006D540C"/>
    <w:rsid w:val="006D622F"/>
    <w:rsid w:val="006D70BE"/>
    <w:rsid w:val="006D7653"/>
    <w:rsid w:val="006E13D7"/>
    <w:rsid w:val="006E1F0D"/>
    <w:rsid w:val="006E2069"/>
    <w:rsid w:val="006E2FAA"/>
    <w:rsid w:val="006E4CA9"/>
    <w:rsid w:val="006E53F5"/>
    <w:rsid w:val="006E7FD8"/>
    <w:rsid w:val="006F1410"/>
    <w:rsid w:val="006F3118"/>
    <w:rsid w:val="006F4044"/>
    <w:rsid w:val="006F4C46"/>
    <w:rsid w:val="006F54E1"/>
    <w:rsid w:val="006F588F"/>
    <w:rsid w:val="006F622C"/>
    <w:rsid w:val="006F7A49"/>
    <w:rsid w:val="007012BF"/>
    <w:rsid w:val="00702D08"/>
    <w:rsid w:val="00705EA7"/>
    <w:rsid w:val="007062EF"/>
    <w:rsid w:val="007066ED"/>
    <w:rsid w:val="007073C4"/>
    <w:rsid w:val="00707E03"/>
    <w:rsid w:val="00710730"/>
    <w:rsid w:val="00710A07"/>
    <w:rsid w:val="00714AB1"/>
    <w:rsid w:val="00714EB3"/>
    <w:rsid w:val="0071535A"/>
    <w:rsid w:val="00715374"/>
    <w:rsid w:val="00715CB8"/>
    <w:rsid w:val="00715D2A"/>
    <w:rsid w:val="00716228"/>
    <w:rsid w:val="0071747D"/>
    <w:rsid w:val="00717EB3"/>
    <w:rsid w:val="007204EF"/>
    <w:rsid w:val="0072081F"/>
    <w:rsid w:val="00720EFE"/>
    <w:rsid w:val="007210EA"/>
    <w:rsid w:val="00721990"/>
    <w:rsid w:val="00721A90"/>
    <w:rsid w:val="00722E2D"/>
    <w:rsid w:val="007234A0"/>
    <w:rsid w:val="00723AAB"/>
    <w:rsid w:val="00726025"/>
    <w:rsid w:val="00726AD5"/>
    <w:rsid w:val="007305B6"/>
    <w:rsid w:val="00731521"/>
    <w:rsid w:val="007319E7"/>
    <w:rsid w:val="00731D4C"/>
    <w:rsid w:val="00731D85"/>
    <w:rsid w:val="0073246A"/>
    <w:rsid w:val="007369BF"/>
    <w:rsid w:val="00740585"/>
    <w:rsid w:val="007417FF"/>
    <w:rsid w:val="007425D8"/>
    <w:rsid w:val="0074314D"/>
    <w:rsid w:val="007435D1"/>
    <w:rsid w:val="0074388B"/>
    <w:rsid w:val="00746463"/>
    <w:rsid w:val="007469B1"/>
    <w:rsid w:val="00747E30"/>
    <w:rsid w:val="00750459"/>
    <w:rsid w:val="007508CD"/>
    <w:rsid w:val="00752568"/>
    <w:rsid w:val="00754535"/>
    <w:rsid w:val="00754B29"/>
    <w:rsid w:val="00755079"/>
    <w:rsid w:val="007550ED"/>
    <w:rsid w:val="0075520F"/>
    <w:rsid w:val="007556C8"/>
    <w:rsid w:val="00756D0F"/>
    <w:rsid w:val="00756F6B"/>
    <w:rsid w:val="00761026"/>
    <w:rsid w:val="007611A0"/>
    <w:rsid w:val="0076133F"/>
    <w:rsid w:val="00761617"/>
    <w:rsid w:val="00762373"/>
    <w:rsid w:val="00763D39"/>
    <w:rsid w:val="00764AC3"/>
    <w:rsid w:val="00764B75"/>
    <w:rsid w:val="0076502E"/>
    <w:rsid w:val="00765538"/>
    <w:rsid w:val="00765DC2"/>
    <w:rsid w:val="00765FD3"/>
    <w:rsid w:val="00766AD2"/>
    <w:rsid w:val="00771208"/>
    <w:rsid w:val="0077227E"/>
    <w:rsid w:val="00772A1D"/>
    <w:rsid w:val="0077464A"/>
    <w:rsid w:val="007746AC"/>
    <w:rsid w:val="00774A90"/>
    <w:rsid w:val="00775DF8"/>
    <w:rsid w:val="00775E6C"/>
    <w:rsid w:val="007779FA"/>
    <w:rsid w:val="00780174"/>
    <w:rsid w:val="0078096A"/>
    <w:rsid w:val="00782758"/>
    <w:rsid w:val="00782D03"/>
    <w:rsid w:val="007831BE"/>
    <w:rsid w:val="007833F0"/>
    <w:rsid w:val="00783584"/>
    <w:rsid w:val="00783F22"/>
    <w:rsid w:val="00784A39"/>
    <w:rsid w:val="007871B5"/>
    <w:rsid w:val="007876ED"/>
    <w:rsid w:val="00787BAE"/>
    <w:rsid w:val="00790C45"/>
    <w:rsid w:val="00790DEA"/>
    <w:rsid w:val="00792552"/>
    <w:rsid w:val="00793703"/>
    <w:rsid w:val="007938A3"/>
    <w:rsid w:val="00793C16"/>
    <w:rsid w:val="00795546"/>
    <w:rsid w:val="00795D7E"/>
    <w:rsid w:val="00796D66"/>
    <w:rsid w:val="00797D74"/>
    <w:rsid w:val="007A04E3"/>
    <w:rsid w:val="007A09B1"/>
    <w:rsid w:val="007A1CF0"/>
    <w:rsid w:val="007A2B7C"/>
    <w:rsid w:val="007A3271"/>
    <w:rsid w:val="007A3559"/>
    <w:rsid w:val="007A35AB"/>
    <w:rsid w:val="007A3843"/>
    <w:rsid w:val="007A3923"/>
    <w:rsid w:val="007A4275"/>
    <w:rsid w:val="007A446B"/>
    <w:rsid w:val="007A45C1"/>
    <w:rsid w:val="007A4C5B"/>
    <w:rsid w:val="007A4D07"/>
    <w:rsid w:val="007A5F21"/>
    <w:rsid w:val="007B0D8C"/>
    <w:rsid w:val="007B14DF"/>
    <w:rsid w:val="007B3C33"/>
    <w:rsid w:val="007B4652"/>
    <w:rsid w:val="007B75EC"/>
    <w:rsid w:val="007B7E8A"/>
    <w:rsid w:val="007C0234"/>
    <w:rsid w:val="007C0F7C"/>
    <w:rsid w:val="007C34D6"/>
    <w:rsid w:val="007C375E"/>
    <w:rsid w:val="007C3CF0"/>
    <w:rsid w:val="007C4870"/>
    <w:rsid w:val="007C4EF2"/>
    <w:rsid w:val="007C605C"/>
    <w:rsid w:val="007C6567"/>
    <w:rsid w:val="007C656F"/>
    <w:rsid w:val="007C68D2"/>
    <w:rsid w:val="007C69E1"/>
    <w:rsid w:val="007C77F0"/>
    <w:rsid w:val="007D1BA2"/>
    <w:rsid w:val="007D1BCA"/>
    <w:rsid w:val="007D54CF"/>
    <w:rsid w:val="007D6C97"/>
    <w:rsid w:val="007D7386"/>
    <w:rsid w:val="007D7CF4"/>
    <w:rsid w:val="007D7D24"/>
    <w:rsid w:val="007E02A0"/>
    <w:rsid w:val="007E114F"/>
    <w:rsid w:val="007E1AD1"/>
    <w:rsid w:val="007E2FA5"/>
    <w:rsid w:val="007E37B7"/>
    <w:rsid w:val="007E3A10"/>
    <w:rsid w:val="007E3C35"/>
    <w:rsid w:val="007E4467"/>
    <w:rsid w:val="007E44FD"/>
    <w:rsid w:val="007E4E3C"/>
    <w:rsid w:val="007E5BED"/>
    <w:rsid w:val="007E6395"/>
    <w:rsid w:val="007E6D13"/>
    <w:rsid w:val="007E7777"/>
    <w:rsid w:val="007E7B58"/>
    <w:rsid w:val="007E7C7D"/>
    <w:rsid w:val="007F1596"/>
    <w:rsid w:val="007F1959"/>
    <w:rsid w:val="007F1E25"/>
    <w:rsid w:val="007F378A"/>
    <w:rsid w:val="007F3B46"/>
    <w:rsid w:val="007F3DCA"/>
    <w:rsid w:val="007F4716"/>
    <w:rsid w:val="007F4975"/>
    <w:rsid w:val="007F4B75"/>
    <w:rsid w:val="007F4C82"/>
    <w:rsid w:val="007F5009"/>
    <w:rsid w:val="007F504E"/>
    <w:rsid w:val="007F6189"/>
    <w:rsid w:val="00800118"/>
    <w:rsid w:val="0080064B"/>
    <w:rsid w:val="00802FFD"/>
    <w:rsid w:val="00805697"/>
    <w:rsid w:val="0080696C"/>
    <w:rsid w:val="00806B8B"/>
    <w:rsid w:val="00807976"/>
    <w:rsid w:val="00807CF6"/>
    <w:rsid w:val="00807DCB"/>
    <w:rsid w:val="0081094F"/>
    <w:rsid w:val="008128B3"/>
    <w:rsid w:val="008131A5"/>
    <w:rsid w:val="008159D5"/>
    <w:rsid w:val="008162C6"/>
    <w:rsid w:val="0081636D"/>
    <w:rsid w:val="008164FA"/>
    <w:rsid w:val="00816993"/>
    <w:rsid w:val="00816CD8"/>
    <w:rsid w:val="00817974"/>
    <w:rsid w:val="008200CA"/>
    <w:rsid w:val="008204A3"/>
    <w:rsid w:val="0082094B"/>
    <w:rsid w:val="00820E63"/>
    <w:rsid w:val="008213DA"/>
    <w:rsid w:val="00822537"/>
    <w:rsid w:val="00823098"/>
    <w:rsid w:val="0082339C"/>
    <w:rsid w:val="00823CEE"/>
    <w:rsid w:val="00824161"/>
    <w:rsid w:val="008241EC"/>
    <w:rsid w:val="00824D68"/>
    <w:rsid w:val="00825ACC"/>
    <w:rsid w:val="00825F01"/>
    <w:rsid w:val="008273EB"/>
    <w:rsid w:val="00827846"/>
    <w:rsid w:val="00827D0B"/>
    <w:rsid w:val="008300E9"/>
    <w:rsid w:val="008305B8"/>
    <w:rsid w:val="00831C4F"/>
    <w:rsid w:val="00831CA2"/>
    <w:rsid w:val="008331EA"/>
    <w:rsid w:val="00833CA5"/>
    <w:rsid w:val="00834199"/>
    <w:rsid w:val="008374E7"/>
    <w:rsid w:val="0083769E"/>
    <w:rsid w:val="008379FD"/>
    <w:rsid w:val="008403C7"/>
    <w:rsid w:val="008405DE"/>
    <w:rsid w:val="00840650"/>
    <w:rsid w:val="008412BF"/>
    <w:rsid w:val="00841DA9"/>
    <w:rsid w:val="00842274"/>
    <w:rsid w:val="00842403"/>
    <w:rsid w:val="0084343C"/>
    <w:rsid w:val="00843C04"/>
    <w:rsid w:val="00843FE6"/>
    <w:rsid w:val="00846359"/>
    <w:rsid w:val="00846A8E"/>
    <w:rsid w:val="00846B80"/>
    <w:rsid w:val="0084791B"/>
    <w:rsid w:val="00850AE0"/>
    <w:rsid w:val="0085115D"/>
    <w:rsid w:val="00852966"/>
    <w:rsid w:val="0085296E"/>
    <w:rsid w:val="008533CD"/>
    <w:rsid w:val="0085524F"/>
    <w:rsid w:val="008552FE"/>
    <w:rsid w:val="00855CBD"/>
    <w:rsid w:val="00855DDE"/>
    <w:rsid w:val="00856B25"/>
    <w:rsid w:val="008573D4"/>
    <w:rsid w:val="00857CFA"/>
    <w:rsid w:val="008616F2"/>
    <w:rsid w:val="0086228F"/>
    <w:rsid w:val="00862457"/>
    <w:rsid w:val="008629A2"/>
    <w:rsid w:val="00862B45"/>
    <w:rsid w:val="00862EFA"/>
    <w:rsid w:val="00864F63"/>
    <w:rsid w:val="00865DEB"/>
    <w:rsid w:val="00865E69"/>
    <w:rsid w:val="00867358"/>
    <w:rsid w:val="00867F9C"/>
    <w:rsid w:val="00870C52"/>
    <w:rsid w:val="00872642"/>
    <w:rsid w:val="00872A33"/>
    <w:rsid w:val="00872D04"/>
    <w:rsid w:val="00873402"/>
    <w:rsid w:val="008738B1"/>
    <w:rsid w:val="00874933"/>
    <w:rsid w:val="00874BBC"/>
    <w:rsid w:val="00874E47"/>
    <w:rsid w:val="00875630"/>
    <w:rsid w:val="008756EB"/>
    <w:rsid w:val="0087576A"/>
    <w:rsid w:val="00875DA4"/>
    <w:rsid w:val="008762A6"/>
    <w:rsid w:val="008762D9"/>
    <w:rsid w:val="008778C5"/>
    <w:rsid w:val="008779ED"/>
    <w:rsid w:val="00877A51"/>
    <w:rsid w:val="00877C66"/>
    <w:rsid w:val="0088138C"/>
    <w:rsid w:val="008816FA"/>
    <w:rsid w:val="00881A20"/>
    <w:rsid w:val="00883115"/>
    <w:rsid w:val="008834D0"/>
    <w:rsid w:val="008836BA"/>
    <w:rsid w:val="00885526"/>
    <w:rsid w:val="008870EB"/>
    <w:rsid w:val="00890008"/>
    <w:rsid w:val="00890444"/>
    <w:rsid w:val="00890686"/>
    <w:rsid w:val="00890B1E"/>
    <w:rsid w:val="00890B54"/>
    <w:rsid w:val="008923E4"/>
    <w:rsid w:val="0089326D"/>
    <w:rsid w:val="00893F0A"/>
    <w:rsid w:val="0089439B"/>
    <w:rsid w:val="00895ABC"/>
    <w:rsid w:val="00895BFA"/>
    <w:rsid w:val="008967B4"/>
    <w:rsid w:val="00896859"/>
    <w:rsid w:val="00896F31"/>
    <w:rsid w:val="008973D1"/>
    <w:rsid w:val="008978BE"/>
    <w:rsid w:val="00897B10"/>
    <w:rsid w:val="008A0289"/>
    <w:rsid w:val="008A04A9"/>
    <w:rsid w:val="008A0F2E"/>
    <w:rsid w:val="008A1060"/>
    <w:rsid w:val="008A279E"/>
    <w:rsid w:val="008A3BE4"/>
    <w:rsid w:val="008A3E6C"/>
    <w:rsid w:val="008A3FDD"/>
    <w:rsid w:val="008A44D8"/>
    <w:rsid w:val="008A4E74"/>
    <w:rsid w:val="008A58EE"/>
    <w:rsid w:val="008A633D"/>
    <w:rsid w:val="008A7F23"/>
    <w:rsid w:val="008B0598"/>
    <w:rsid w:val="008B0E8D"/>
    <w:rsid w:val="008B1137"/>
    <w:rsid w:val="008B3E8E"/>
    <w:rsid w:val="008B4531"/>
    <w:rsid w:val="008B4A9D"/>
    <w:rsid w:val="008B549A"/>
    <w:rsid w:val="008B640C"/>
    <w:rsid w:val="008B670B"/>
    <w:rsid w:val="008B7DC5"/>
    <w:rsid w:val="008C0D33"/>
    <w:rsid w:val="008C0D9C"/>
    <w:rsid w:val="008C275C"/>
    <w:rsid w:val="008C2A8A"/>
    <w:rsid w:val="008C308B"/>
    <w:rsid w:val="008C3AA6"/>
    <w:rsid w:val="008C48AA"/>
    <w:rsid w:val="008C4FDD"/>
    <w:rsid w:val="008C579E"/>
    <w:rsid w:val="008C6486"/>
    <w:rsid w:val="008C6978"/>
    <w:rsid w:val="008C7259"/>
    <w:rsid w:val="008C7795"/>
    <w:rsid w:val="008C7C12"/>
    <w:rsid w:val="008C7C51"/>
    <w:rsid w:val="008D19CC"/>
    <w:rsid w:val="008D1CCA"/>
    <w:rsid w:val="008D272F"/>
    <w:rsid w:val="008D2FAE"/>
    <w:rsid w:val="008D3182"/>
    <w:rsid w:val="008D395C"/>
    <w:rsid w:val="008D3B52"/>
    <w:rsid w:val="008D3ED1"/>
    <w:rsid w:val="008D4C93"/>
    <w:rsid w:val="008D53C3"/>
    <w:rsid w:val="008D5741"/>
    <w:rsid w:val="008D57E2"/>
    <w:rsid w:val="008D5FE6"/>
    <w:rsid w:val="008D67D7"/>
    <w:rsid w:val="008D74C9"/>
    <w:rsid w:val="008D75B8"/>
    <w:rsid w:val="008D77D7"/>
    <w:rsid w:val="008D7BDD"/>
    <w:rsid w:val="008E0053"/>
    <w:rsid w:val="008E03BA"/>
    <w:rsid w:val="008E1820"/>
    <w:rsid w:val="008E18B2"/>
    <w:rsid w:val="008E425F"/>
    <w:rsid w:val="008E4599"/>
    <w:rsid w:val="008E56BF"/>
    <w:rsid w:val="008E67A5"/>
    <w:rsid w:val="008F18A2"/>
    <w:rsid w:val="008F1B33"/>
    <w:rsid w:val="008F25F9"/>
    <w:rsid w:val="008F34D6"/>
    <w:rsid w:val="008F35FE"/>
    <w:rsid w:val="008F3649"/>
    <w:rsid w:val="008F3FC6"/>
    <w:rsid w:val="008F438C"/>
    <w:rsid w:val="008F45D5"/>
    <w:rsid w:val="008F4E57"/>
    <w:rsid w:val="008F670D"/>
    <w:rsid w:val="008F748C"/>
    <w:rsid w:val="008F75D7"/>
    <w:rsid w:val="00900103"/>
    <w:rsid w:val="00900743"/>
    <w:rsid w:val="00901A93"/>
    <w:rsid w:val="00901DF2"/>
    <w:rsid w:val="009025E8"/>
    <w:rsid w:val="009029D6"/>
    <w:rsid w:val="00902E90"/>
    <w:rsid w:val="009040DC"/>
    <w:rsid w:val="009045ED"/>
    <w:rsid w:val="009049F1"/>
    <w:rsid w:val="00905B0F"/>
    <w:rsid w:val="00906471"/>
    <w:rsid w:val="00906B73"/>
    <w:rsid w:val="00907D0C"/>
    <w:rsid w:val="0091077A"/>
    <w:rsid w:val="00911349"/>
    <w:rsid w:val="0091187F"/>
    <w:rsid w:val="00911F1A"/>
    <w:rsid w:val="0091368C"/>
    <w:rsid w:val="00913966"/>
    <w:rsid w:val="0091435A"/>
    <w:rsid w:val="009147B5"/>
    <w:rsid w:val="00915910"/>
    <w:rsid w:val="00916E2B"/>
    <w:rsid w:val="00920302"/>
    <w:rsid w:val="00921F66"/>
    <w:rsid w:val="00922CBE"/>
    <w:rsid w:val="00922FCE"/>
    <w:rsid w:val="0092300C"/>
    <w:rsid w:val="009243F7"/>
    <w:rsid w:val="00924ED8"/>
    <w:rsid w:val="0092548D"/>
    <w:rsid w:val="00925A68"/>
    <w:rsid w:val="009266F2"/>
    <w:rsid w:val="009304CB"/>
    <w:rsid w:val="0093122D"/>
    <w:rsid w:val="0093159F"/>
    <w:rsid w:val="009322A2"/>
    <w:rsid w:val="00932A84"/>
    <w:rsid w:val="009330E5"/>
    <w:rsid w:val="0093312C"/>
    <w:rsid w:val="009333B6"/>
    <w:rsid w:val="00933705"/>
    <w:rsid w:val="00933F65"/>
    <w:rsid w:val="009341A0"/>
    <w:rsid w:val="00934C76"/>
    <w:rsid w:val="00935270"/>
    <w:rsid w:val="00935E4B"/>
    <w:rsid w:val="0093611E"/>
    <w:rsid w:val="00936956"/>
    <w:rsid w:val="009372FC"/>
    <w:rsid w:val="00937EA4"/>
    <w:rsid w:val="009403CB"/>
    <w:rsid w:val="0094061D"/>
    <w:rsid w:val="0094115B"/>
    <w:rsid w:val="00942B9C"/>
    <w:rsid w:val="009433EE"/>
    <w:rsid w:val="0094575F"/>
    <w:rsid w:val="00946054"/>
    <w:rsid w:val="00946AD0"/>
    <w:rsid w:val="0095087F"/>
    <w:rsid w:val="0095133F"/>
    <w:rsid w:val="00951605"/>
    <w:rsid w:val="0095191B"/>
    <w:rsid w:val="00954E85"/>
    <w:rsid w:val="00955D3A"/>
    <w:rsid w:val="00955E6A"/>
    <w:rsid w:val="00957346"/>
    <w:rsid w:val="00957494"/>
    <w:rsid w:val="009605B2"/>
    <w:rsid w:val="009606C2"/>
    <w:rsid w:val="00960736"/>
    <w:rsid w:val="00960E50"/>
    <w:rsid w:val="00961E54"/>
    <w:rsid w:val="00962335"/>
    <w:rsid w:val="009624B7"/>
    <w:rsid w:val="00962D95"/>
    <w:rsid w:val="0096339F"/>
    <w:rsid w:val="009636B2"/>
    <w:rsid w:val="009637ED"/>
    <w:rsid w:val="00963CB1"/>
    <w:rsid w:val="00964732"/>
    <w:rsid w:val="00966061"/>
    <w:rsid w:val="009660A4"/>
    <w:rsid w:val="0096693A"/>
    <w:rsid w:val="00970024"/>
    <w:rsid w:val="00970167"/>
    <w:rsid w:val="00970353"/>
    <w:rsid w:val="00970886"/>
    <w:rsid w:val="009708E0"/>
    <w:rsid w:val="00972CC3"/>
    <w:rsid w:val="0097338A"/>
    <w:rsid w:val="009739B0"/>
    <w:rsid w:val="00974C54"/>
    <w:rsid w:val="009751C0"/>
    <w:rsid w:val="00975443"/>
    <w:rsid w:val="0097590C"/>
    <w:rsid w:val="009759DE"/>
    <w:rsid w:val="009761B2"/>
    <w:rsid w:val="00976C51"/>
    <w:rsid w:val="00976DA5"/>
    <w:rsid w:val="0098038E"/>
    <w:rsid w:val="00980602"/>
    <w:rsid w:val="00980DDF"/>
    <w:rsid w:val="009821E8"/>
    <w:rsid w:val="0098489C"/>
    <w:rsid w:val="00985D3F"/>
    <w:rsid w:val="0098684C"/>
    <w:rsid w:val="00987E95"/>
    <w:rsid w:val="00990F18"/>
    <w:rsid w:val="00991326"/>
    <w:rsid w:val="00991F1A"/>
    <w:rsid w:val="009951F5"/>
    <w:rsid w:val="00995B5B"/>
    <w:rsid w:val="00996BD4"/>
    <w:rsid w:val="00996F1B"/>
    <w:rsid w:val="00997274"/>
    <w:rsid w:val="00997756"/>
    <w:rsid w:val="00997EA4"/>
    <w:rsid w:val="009A014A"/>
    <w:rsid w:val="009A01FE"/>
    <w:rsid w:val="009A0C52"/>
    <w:rsid w:val="009A11F3"/>
    <w:rsid w:val="009A1A03"/>
    <w:rsid w:val="009A27C7"/>
    <w:rsid w:val="009A28EB"/>
    <w:rsid w:val="009A3055"/>
    <w:rsid w:val="009A3736"/>
    <w:rsid w:val="009A3E50"/>
    <w:rsid w:val="009A3EEC"/>
    <w:rsid w:val="009A5389"/>
    <w:rsid w:val="009A7127"/>
    <w:rsid w:val="009A785D"/>
    <w:rsid w:val="009A7A34"/>
    <w:rsid w:val="009A7FA1"/>
    <w:rsid w:val="009B0319"/>
    <w:rsid w:val="009B044C"/>
    <w:rsid w:val="009B0755"/>
    <w:rsid w:val="009B0A16"/>
    <w:rsid w:val="009B191B"/>
    <w:rsid w:val="009B202D"/>
    <w:rsid w:val="009B3319"/>
    <w:rsid w:val="009B4739"/>
    <w:rsid w:val="009B4E6F"/>
    <w:rsid w:val="009B6C0B"/>
    <w:rsid w:val="009B7B91"/>
    <w:rsid w:val="009C0382"/>
    <w:rsid w:val="009C1954"/>
    <w:rsid w:val="009C1DBC"/>
    <w:rsid w:val="009C2DC8"/>
    <w:rsid w:val="009C3192"/>
    <w:rsid w:val="009C31B7"/>
    <w:rsid w:val="009C33F5"/>
    <w:rsid w:val="009C3547"/>
    <w:rsid w:val="009C4300"/>
    <w:rsid w:val="009C44B0"/>
    <w:rsid w:val="009C5B06"/>
    <w:rsid w:val="009C6000"/>
    <w:rsid w:val="009C704F"/>
    <w:rsid w:val="009D01EE"/>
    <w:rsid w:val="009D0C29"/>
    <w:rsid w:val="009D121C"/>
    <w:rsid w:val="009D17D8"/>
    <w:rsid w:val="009D1FC5"/>
    <w:rsid w:val="009D219C"/>
    <w:rsid w:val="009D242A"/>
    <w:rsid w:val="009D4F1D"/>
    <w:rsid w:val="009D544B"/>
    <w:rsid w:val="009D58A3"/>
    <w:rsid w:val="009D6479"/>
    <w:rsid w:val="009D6C5C"/>
    <w:rsid w:val="009D717F"/>
    <w:rsid w:val="009D7AD7"/>
    <w:rsid w:val="009E08C5"/>
    <w:rsid w:val="009E164B"/>
    <w:rsid w:val="009E1D72"/>
    <w:rsid w:val="009E641E"/>
    <w:rsid w:val="009E78DE"/>
    <w:rsid w:val="009E7A23"/>
    <w:rsid w:val="009F02D8"/>
    <w:rsid w:val="009F0432"/>
    <w:rsid w:val="009F0869"/>
    <w:rsid w:val="009F1569"/>
    <w:rsid w:val="009F175A"/>
    <w:rsid w:val="009F1B18"/>
    <w:rsid w:val="009F2285"/>
    <w:rsid w:val="009F232D"/>
    <w:rsid w:val="009F3012"/>
    <w:rsid w:val="009F350E"/>
    <w:rsid w:val="009F3DD5"/>
    <w:rsid w:val="009F4E65"/>
    <w:rsid w:val="009F5D1F"/>
    <w:rsid w:val="009F6C24"/>
    <w:rsid w:val="009F73E1"/>
    <w:rsid w:val="009F73E7"/>
    <w:rsid w:val="00A00928"/>
    <w:rsid w:val="00A009F4"/>
    <w:rsid w:val="00A01037"/>
    <w:rsid w:val="00A01329"/>
    <w:rsid w:val="00A0139A"/>
    <w:rsid w:val="00A01855"/>
    <w:rsid w:val="00A03162"/>
    <w:rsid w:val="00A03CB7"/>
    <w:rsid w:val="00A03E23"/>
    <w:rsid w:val="00A041EB"/>
    <w:rsid w:val="00A04692"/>
    <w:rsid w:val="00A05F4F"/>
    <w:rsid w:val="00A06104"/>
    <w:rsid w:val="00A07C12"/>
    <w:rsid w:val="00A113E0"/>
    <w:rsid w:val="00A12148"/>
    <w:rsid w:val="00A12425"/>
    <w:rsid w:val="00A127CC"/>
    <w:rsid w:val="00A13241"/>
    <w:rsid w:val="00A13462"/>
    <w:rsid w:val="00A15EC1"/>
    <w:rsid w:val="00A16265"/>
    <w:rsid w:val="00A16E86"/>
    <w:rsid w:val="00A17D0A"/>
    <w:rsid w:val="00A17DEA"/>
    <w:rsid w:val="00A20DD9"/>
    <w:rsid w:val="00A21402"/>
    <w:rsid w:val="00A21F01"/>
    <w:rsid w:val="00A2285B"/>
    <w:rsid w:val="00A22FFB"/>
    <w:rsid w:val="00A23262"/>
    <w:rsid w:val="00A23945"/>
    <w:rsid w:val="00A2439A"/>
    <w:rsid w:val="00A24E82"/>
    <w:rsid w:val="00A2638D"/>
    <w:rsid w:val="00A26A73"/>
    <w:rsid w:val="00A270F7"/>
    <w:rsid w:val="00A301F4"/>
    <w:rsid w:val="00A304F3"/>
    <w:rsid w:val="00A305C0"/>
    <w:rsid w:val="00A30764"/>
    <w:rsid w:val="00A308D6"/>
    <w:rsid w:val="00A30A03"/>
    <w:rsid w:val="00A30CB6"/>
    <w:rsid w:val="00A31417"/>
    <w:rsid w:val="00A337BB"/>
    <w:rsid w:val="00A33EA5"/>
    <w:rsid w:val="00A348AC"/>
    <w:rsid w:val="00A35B9C"/>
    <w:rsid w:val="00A360DE"/>
    <w:rsid w:val="00A374A9"/>
    <w:rsid w:val="00A37A1B"/>
    <w:rsid w:val="00A37A65"/>
    <w:rsid w:val="00A41A67"/>
    <w:rsid w:val="00A41BF0"/>
    <w:rsid w:val="00A41C5A"/>
    <w:rsid w:val="00A425B1"/>
    <w:rsid w:val="00A42C76"/>
    <w:rsid w:val="00A43292"/>
    <w:rsid w:val="00A432D3"/>
    <w:rsid w:val="00A43C32"/>
    <w:rsid w:val="00A43E5E"/>
    <w:rsid w:val="00A43F47"/>
    <w:rsid w:val="00A4438C"/>
    <w:rsid w:val="00A443F4"/>
    <w:rsid w:val="00A44ABE"/>
    <w:rsid w:val="00A44C3A"/>
    <w:rsid w:val="00A4553C"/>
    <w:rsid w:val="00A458F2"/>
    <w:rsid w:val="00A4613F"/>
    <w:rsid w:val="00A46357"/>
    <w:rsid w:val="00A46497"/>
    <w:rsid w:val="00A4695D"/>
    <w:rsid w:val="00A46F79"/>
    <w:rsid w:val="00A47249"/>
    <w:rsid w:val="00A47495"/>
    <w:rsid w:val="00A4754C"/>
    <w:rsid w:val="00A47A55"/>
    <w:rsid w:val="00A51E0B"/>
    <w:rsid w:val="00A5323B"/>
    <w:rsid w:val="00A53402"/>
    <w:rsid w:val="00A54960"/>
    <w:rsid w:val="00A549E9"/>
    <w:rsid w:val="00A556E1"/>
    <w:rsid w:val="00A55DDB"/>
    <w:rsid w:val="00A56E93"/>
    <w:rsid w:val="00A6046E"/>
    <w:rsid w:val="00A6078F"/>
    <w:rsid w:val="00A61247"/>
    <w:rsid w:val="00A6268D"/>
    <w:rsid w:val="00A626A2"/>
    <w:rsid w:val="00A63433"/>
    <w:rsid w:val="00A637DF"/>
    <w:rsid w:val="00A6439E"/>
    <w:rsid w:val="00A64B0C"/>
    <w:rsid w:val="00A65619"/>
    <w:rsid w:val="00A65D81"/>
    <w:rsid w:val="00A6689C"/>
    <w:rsid w:val="00A70964"/>
    <w:rsid w:val="00A711F0"/>
    <w:rsid w:val="00A71510"/>
    <w:rsid w:val="00A71713"/>
    <w:rsid w:val="00A77726"/>
    <w:rsid w:val="00A77D39"/>
    <w:rsid w:val="00A80169"/>
    <w:rsid w:val="00A80234"/>
    <w:rsid w:val="00A82087"/>
    <w:rsid w:val="00A835D7"/>
    <w:rsid w:val="00A83F82"/>
    <w:rsid w:val="00A842EC"/>
    <w:rsid w:val="00A8436B"/>
    <w:rsid w:val="00A84777"/>
    <w:rsid w:val="00A84A45"/>
    <w:rsid w:val="00A84BCC"/>
    <w:rsid w:val="00A85486"/>
    <w:rsid w:val="00A856B6"/>
    <w:rsid w:val="00A861BA"/>
    <w:rsid w:val="00A8689B"/>
    <w:rsid w:val="00A86B9F"/>
    <w:rsid w:val="00A87357"/>
    <w:rsid w:val="00A875D1"/>
    <w:rsid w:val="00A8772F"/>
    <w:rsid w:val="00A87B07"/>
    <w:rsid w:val="00A907FE"/>
    <w:rsid w:val="00A90B16"/>
    <w:rsid w:val="00A90F8A"/>
    <w:rsid w:val="00A91E4E"/>
    <w:rsid w:val="00A921EC"/>
    <w:rsid w:val="00A92D41"/>
    <w:rsid w:val="00A9421B"/>
    <w:rsid w:val="00A95957"/>
    <w:rsid w:val="00A977B7"/>
    <w:rsid w:val="00AA038F"/>
    <w:rsid w:val="00AA0CE4"/>
    <w:rsid w:val="00AA17FF"/>
    <w:rsid w:val="00AA2F33"/>
    <w:rsid w:val="00AA32C3"/>
    <w:rsid w:val="00AA6CB9"/>
    <w:rsid w:val="00AA7436"/>
    <w:rsid w:val="00AA780A"/>
    <w:rsid w:val="00AB0C78"/>
    <w:rsid w:val="00AB0ED7"/>
    <w:rsid w:val="00AB19FF"/>
    <w:rsid w:val="00AB1BCF"/>
    <w:rsid w:val="00AB1D38"/>
    <w:rsid w:val="00AB205C"/>
    <w:rsid w:val="00AB2937"/>
    <w:rsid w:val="00AB2D61"/>
    <w:rsid w:val="00AB3438"/>
    <w:rsid w:val="00AB3A47"/>
    <w:rsid w:val="00AB3F11"/>
    <w:rsid w:val="00AB41DF"/>
    <w:rsid w:val="00AB52F1"/>
    <w:rsid w:val="00AB6A99"/>
    <w:rsid w:val="00AB6EBC"/>
    <w:rsid w:val="00AB7276"/>
    <w:rsid w:val="00AC133C"/>
    <w:rsid w:val="00AC14E6"/>
    <w:rsid w:val="00AC2C30"/>
    <w:rsid w:val="00AC42A1"/>
    <w:rsid w:val="00AC5AD9"/>
    <w:rsid w:val="00AC5E83"/>
    <w:rsid w:val="00AC6698"/>
    <w:rsid w:val="00AC6C42"/>
    <w:rsid w:val="00AC7071"/>
    <w:rsid w:val="00AC7E49"/>
    <w:rsid w:val="00AD0978"/>
    <w:rsid w:val="00AD0F03"/>
    <w:rsid w:val="00AD2B18"/>
    <w:rsid w:val="00AD395D"/>
    <w:rsid w:val="00AD5A61"/>
    <w:rsid w:val="00AD7DBA"/>
    <w:rsid w:val="00AD7E99"/>
    <w:rsid w:val="00AE1515"/>
    <w:rsid w:val="00AE22A9"/>
    <w:rsid w:val="00AE2300"/>
    <w:rsid w:val="00AE2CA7"/>
    <w:rsid w:val="00AE3212"/>
    <w:rsid w:val="00AE477F"/>
    <w:rsid w:val="00AE4CA4"/>
    <w:rsid w:val="00AE544F"/>
    <w:rsid w:val="00AE54B1"/>
    <w:rsid w:val="00AE62BE"/>
    <w:rsid w:val="00AE6D6B"/>
    <w:rsid w:val="00AE6E4E"/>
    <w:rsid w:val="00AE705D"/>
    <w:rsid w:val="00AE75C2"/>
    <w:rsid w:val="00AE7AA0"/>
    <w:rsid w:val="00AF08B5"/>
    <w:rsid w:val="00AF22C8"/>
    <w:rsid w:val="00AF329F"/>
    <w:rsid w:val="00AF4197"/>
    <w:rsid w:val="00AF4504"/>
    <w:rsid w:val="00AF4AF9"/>
    <w:rsid w:val="00AF643F"/>
    <w:rsid w:val="00B02D79"/>
    <w:rsid w:val="00B041A8"/>
    <w:rsid w:val="00B043C5"/>
    <w:rsid w:val="00B04E20"/>
    <w:rsid w:val="00B058BB"/>
    <w:rsid w:val="00B06C22"/>
    <w:rsid w:val="00B0707E"/>
    <w:rsid w:val="00B07E3E"/>
    <w:rsid w:val="00B10490"/>
    <w:rsid w:val="00B10FCE"/>
    <w:rsid w:val="00B11C12"/>
    <w:rsid w:val="00B12DBA"/>
    <w:rsid w:val="00B12F03"/>
    <w:rsid w:val="00B14CD3"/>
    <w:rsid w:val="00B16E79"/>
    <w:rsid w:val="00B174F8"/>
    <w:rsid w:val="00B175D1"/>
    <w:rsid w:val="00B17DB2"/>
    <w:rsid w:val="00B20059"/>
    <w:rsid w:val="00B20A27"/>
    <w:rsid w:val="00B2217C"/>
    <w:rsid w:val="00B22D9C"/>
    <w:rsid w:val="00B2300E"/>
    <w:rsid w:val="00B23FB5"/>
    <w:rsid w:val="00B24DB5"/>
    <w:rsid w:val="00B25937"/>
    <w:rsid w:val="00B2595F"/>
    <w:rsid w:val="00B26155"/>
    <w:rsid w:val="00B2652C"/>
    <w:rsid w:val="00B269EC"/>
    <w:rsid w:val="00B26A35"/>
    <w:rsid w:val="00B272F7"/>
    <w:rsid w:val="00B30947"/>
    <w:rsid w:val="00B30CA1"/>
    <w:rsid w:val="00B30E56"/>
    <w:rsid w:val="00B31ABD"/>
    <w:rsid w:val="00B31B17"/>
    <w:rsid w:val="00B31C93"/>
    <w:rsid w:val="00B31EDC"/>
    <w:rsid w:val="00B33110"/>
    <w:rsid w:val="00B331F7"/>
    <w:rsid w:val="00B336EE"/>
    <w:rsid w:val="00B33A2C"/>
    <w:rsid w:val="00B33E80"/>
    <w:rsid w:val="00B33EFC"/>
    <w:rsid w:val="00B3410A"/>
    <w:rsid w:val="00B34318"/>
    <w:rsid w:val="00B37CBA"/>
    <w:rsid w:val="00B40F51"/>
    <w:rsid w:val="00B412C8"/>
    <w:rsid w:val="00B41A30"/>
    <w:rsid w:val="00B42131"/>
    <w:rsid w:val="00B42EE8"/>
    <w:rsid w:val="00B43271"/>
    <w:rsid w:val="00B438A0"/>
    <w:rsid w:val="00B442FF"/>
    <w:rsid w:val="00B443DB"/>
    <w:rsid w:val="00B44631"/>
    <w:rsid w:val="00B44BD8"/>
    <w:rsid w:val="00B44F13"/>
    <w:rsid w:val="00B4548F"/>
    <w:rsid w:val="00B457CD"/>
    <w:rsid w:val="00B463AB"/>
    <w:rsid w:val="00B463C7"/>
    <w:rsid w:val="00B50FA3"/>
    <w:rsid w:val="00B51A78"/>
    <w:rsid w:val="00B51BD9"/>
    <w:rsid w:val="00B51E29"/>
    <w:rsid w:val="00B53087"/>
    <w:rsid w:val="00B535AB"/>
    <w:rsid w:val="00B53742"/>
    <w:rsid w:val="00B53BC3"/>
    <w:rsid w:val="00B54C46"/>
    <w:rsid w:val="00B558E6"/>
    <w:rsid w:val="00B559C3"/>
    <w:rsid w:val="00B564CF"/>
    <w:rsid w:val="00B567A7"/>
    <w:rsid w:val="00B56F86"/>
    <w:rsid w:val="00B57574"/>
    <w:rsid w:val="00B57DC2"/>
    <w:rsid w:val="00B60213"/>
    <w:rsid w:val="00B60AA3"/>
    <w:rsid w:val="00B61DEA"/>
    <w:rsid w:val="00B61F8D"/>
    <w:rsid w:val="00B620D7"/>
    <w:rsid w:val="00B62C96"/>
    <w:rsid w:val="00B63042"/>
    <w:rsid w:val="00B630B3"/>
    <w:rsid w:val="00B63AFE"/>
    <w:rsid w:val="00B63C70"/>
    <w:rsid w:val="00B64011"/>
    <w:rsid w:val="00B65673"/>
    <w:rsid w:val="00B65C54"/>
    <w:rsid w:val="00B66D70"/>
    <w:rsid w:val="00B66E7F"/>
    <w:rsid w:val="00B67172"/>
    <w:rsid w:val="00B703D6"/>
    <w:rsid w:val="00B70EEE"/>
    <w:rsid w:val="00B71203"/>
    <w:rsid w:val="00B73638"/>
    <w:rsid w:val="00B73B50"/>
    <w:rsid w:val="00B7410B"/>
    <w:rsid w:val="00B74602"/>
    <w:rsid w:val="00B752AB"/>
    <w:rsid w:val="00B766B4"/>
    <w:rsid w:val="00B76B9B"/>
    <w:rsid w:val="00B77452"/>
    <w:rsid w:val="00B80223"/>
    <w:rsid w:val="00B80A4F"/>
    <w:rsid w:val="00B82110"/>
    <w:rsid w:val="00B82484"/>
    <w:rsid w:val="00B83863"/>
    <w:rsid w:val="00B8450F"/>
    <w:rsid w:val="00B849EE"/>
    <w:rsid w:val="00B8504A"/>
    <w:rsid w:val="00B85211"/>
    <w:rsid w:val="00B85324"/>
    <w:rsid w:val="00B8618D"/>
    <w:rsid w:val="00B92716"/>
    <w:rsid w:val="00B94BD8"/>
    <w:rsid w:val="00B95905"/>
    <w:rsid w:val="00B96928"/>
    <w:rsid w:val="00B9782D"/>
    <w:rsid w:val="00B979FE"/>
    <w:rsid w:val="00B97B26"/>
    <w:rsid w:val="00B97F7A"/>
    <w:rsid w:val="00BA06E1"/>
    <w:rsid w:val="00BA1AEF"/>
    <w:rsid w:val="00BA2339"/>
    <w:rsid w:val="00BA3C67"/>
    <w:rsid w:val="00BA43EE"/>
    <w:rsid w:val="00BA48EB"/>
    <w:rsid w:val="00BA59C6"/>
    <w:rsid w:val="00BA6FB0"/>
    <w:rsid w:val="00BA70D1"/>
    <w:rsid w:val="00BA7C40"/>
    <w:rsid w:val="00BB0ABE"/>
    <w:rsid w:val="00BB0DC4"/>
    <w:rsid w:val="00BB172A"/>
    <w:rsid w:val="00BB1C71"/>
    <w:rsid w:val="00BB1E14"/>
    <w:rsid w:val="00BB2536"/>
    <w:rsid w:val="00BB2E4A"/>
    <w:rsid w:val="00BB3AF6"/>
    <w:rsid w:val="00BB47BB"/>
    <w:rsid w:val="00BB4959"/>
    <w:rsid w:val="00BB531C"/>
    <w:rsid w:val="00BC17E9"/>
    <w:rsid w:val="00BC2FBF"/>
    <w:rsid w:val="00BC383C"/>
    <w:rsid w:val="00BC4EA9"/>
    <w:rsid w:val="00BC5327"/>
    <w:rsid w:val="00BC6582"/>
    <w:rsid w:val="00BC6C17"/>
    <w:rsid w:val="00BC7868"/>
    <w:rsid w:val="00BC7A49"/>
    <w:rsid w:val="00BC7DB8"/>
    <w:rsid w:val="00BD0547"/>
    <w:rsid w:val="00BD0C48"/>
    <w:rsid w:val="00BD0D59"/>
    <w:rsid w:val="00BD1A80"/>
    <w:rsid w:val="00BD1BC1"/>
    <w:rsid w:val="00BD28F4"/>
    <w:rsid w:val="00BD5FE6"/>
    <w:rsid w:val="00BD603E"/>
    <w:rsid w:val="00BD719D"/>
    <w:rsid w:val="00BD7EF2"/>
    <w:rsid w:val="00BE0C56"/>
    <w:rsid w:val="00BE175A"/>
    <w:rsid w:val="00BE1C56"/>
    <w:rsid w:val="00BE21D3"/>
    <w:rsid w:val="00BE2C4B"/>
    <w:rsid w:val="00BE3FAC"/>
    <w:rsid w:val="00BE496E"/>
    <w:rsid w:val="00BE54CA"/>
    <w:rsid w:val="00BE565F"/>
    <w:rsid w:val="00BE5F2B"/>
    <w:rsid w:val="00BE5FF5"/>
    <w:rsid w:val="00BE73B1"/>
    <w:rsid w:val="00BF16D4"/>
    <w:rsid w:val="00BF1C2B"/>
    <w:rsid w:val="00BF21F1"/>
    <w:rsid w:val="00BF273B"/>
    <w:rsid w:val="00BF340D"/>
    <w:rsid w:val="00BF4936"/>
    <w:rsid w:val="00BF5522"/>
    <w:rsid w:val="00BF5C70"/>
    <w:rsid w:val="00BF61A8"/>
    <w:rsid w:val="00BF727E"/>
    <w:rsid w:val="00BF7420"/>
    <w:rsid w:val="00BF7518"/>
    <w:rsid w:val="00BF7E7B"/>
    <w:rsid w:val="00C0070F"/>
    <w:rsid w:val="00C00899"/>
    <w:rsid w:val="00C00DD9"/>
    <w:rsid w:val="00C03E28"/>
    <w:rsid w:val="00C0482F"/>
    <w:rsid w:val="00C04CF7"/>
    <w:rsid w:val="00C04E94"/>
    <w:rsid w:val="00C05160"/>
    <w:rsid w:val="00C05384"/>
    <w:rsid w:val="00C05818"/>
    <w:rsid w:val="00C0680F"/>
    <w:rsid w:val="00C105A2"/>
    <w:rsid w:val="00C10D59"/>
    <w:rsid w:val="00C1151C"/>
    <w:rsid w:val="00C118EA"/>
    <w:rsid w:val="00C119FF"/>
    <w:rsid w:val="00C12052"/>
    <w:rsid w:val="00C12887"/>
    <w:rsid w:val="00C12A45"/>
    <w:rsid w:val="00C12AB5"/>
    <w:rsid w:val="00C1363E"/>
    <w:rsid w:val="00C14184"/>
    <w:rsid w:val="00C15BAE"/>
    <w:rsid w:val="00C173DD"/>
    <w:rsid w:val="00C1798B"/>
    <w:rsid w:val="00C179A0"/>
    <w:rsid w:val="00C21D17"/>
    <w:rsid w:val="00C222B0"/>
    <w:rsid w:val="00C24681"/>
    <w:rsid w:val="00C24923"/>
    <w:rsid w:val="00C2549E"/>
    <w:rsid w:val="00C25A09"/>
    <w:rsid w:val="00C25A4E"/>
    <w:rsid w:val="00C26785"/>
    <w:rsid w:val="00C26D40"/>
    <w:rsid w:val="00C26D57"/>
    <w:rsid w:val="00C2747E"/>
    <w:rsid w:val="00C27A89"/>
    <w:rsid w:val="00C3059F"/>
    <w:rsid w:val="00C30CE7"/>
    <w:rsid w:val="00C310D1"/>
    <w:rsid w:val="00C3113D"/>
    <w:rsid w:val="00C32BFD"/>
    <w:rsid w:val="00C32F19"/>
    <w:rsid w:val="00C33CDE"/>
    <w:rsid w:val="00C34278"/>
    <w:rsid w:val="00C34F6D"/>
    <w:rsid w:val="00C3527A"/>
    <w:rsid w:val="00C359CD"/>
    <w:rsid w:val="00C36A57"/>
    <w:rsid w:val="00C403F2"/>
    <w:rsid w:val="00C40DB0"/>
    <w:rsid w:val="00C4107C"/>
    <w:rsid w:val="00C41B1A"/>
    <w:rsid w:val="00C41B52"/>
    <w:rsid w:val="00C41F3E"/>
    <w:rsid w:val="00C4257A"/>
    <w:rsid w:val="00C43091"/>
    <w:rsid w:val="00C436FD"/>
    <w:rsid w:val="00C44545"/>
    <w:rsid w:val="00C45832"/>
    <w:rsid w:val="00C45FD2"/>
    <w:rsid w:val="00C472D4"/>
    <w:rsid w:val="00C47659"/>
    <w:rsid w:val="00C47B8B"/>
    <w:rsid w:val="00C52AB5"/>
    <w:rsid w:val="00C53307"/>
    <w:rsid w:val="00C535E3"/>
    <w:rsid w:val="00C53D5B"/>
    <w:rsid w:val="00C5678A"/>
    <w:rsid w:val="00C57393"/>
    <w:rsid w:val="00C57746"/>
    <w:rsid w:val="00C6131A"/>
    <w:rsid w:val="00C61B5F"/>
    <w:rsid w:val="00C62149"/>
    <w:rsid w:val="00C62418"/>
    <w:rsid w:val="00C62E6F"/>
    <w:rsid w:val="00C632AF"/>
    <w:rsid w:val="00C64358"/>
    <w:rsid w:val="00C64B59"/>
    <w:rsid w:val="00C64FF2"/>
    <w:rsid w:val="00C65935"/>
    <w:rsid w:val="00C6630F"/>
    <w:rsid w:val="00C6740B"/>
    <w:rsid w:val="00C67EBD"/>
    <w:rsid w:val="00C67ED7"/>
    <w:rsid w:val="00C70B06"/>
    <w:rsid w:val="00C70B56"/>
    <w:rsid w:val="00C71069"/>
    <w:rsid w:val="00C7117D"/>
    <w:rsid w:val="00C71D1B"/>
    <w:rsid w:val="00C71F05"/>
    <w:rsid w:val="00C7201D"/>
    <w:rsid w:val="00C73647"/>
    <w:rsid w:val="00C75094"/>
    <w:rsid w:val="00C76CC7"/>
    <w:rsid w:val="00C77BB4"/>
    <w:rsid w:val="00C80BDC"/>
    <w:rsid w:val="00C80DEE"/>
    <w:rsid w:val="00C81324"/>
    <w:rsid w:val="00C8303A"/>
    <w:rsid w:val="00C86574"/>
    <w:rsid w:val="00C86AD8"/>
    <w:rsid w:val="00C86B34"/>
    <w:rsid w:val="00C86BF2"/>
    <w:rsid w:val="00C87138"/>
    <w:rsid w:val="00C8717C"/>
    <w:rsid w:val="00C91EC1"/>
    <w:rsid w:val="00C9342B"/>
    <w:rsid w:val="00C97022"/>
    <w:rsid w:val="00C9754D"/>
    <w:rsid w:val="00C977D8"/>
    <w:rsid w:val="00C97A39"/>
    <w:rsid w:val="00CA00A1"/>
    <w:rsid w:val="00CA020E"/>
    <w:rsid w:val="00CA224B"/>
    <w:rsid w:val="00CA22A3"/>
    <w:rsid w:val="00CA328A"/>
    <w:rsid w:val="00CA384F"/>
    <w:rsid w:val="00CA3AA8"/>
    <w:rsid w:val="00CA453D"/>
    <w:rsid w:val="00CA467B"/>
    <w:rsid w:val="00CA6556"/>
    <w:rsid w:val="00CA7007"/>
    <w:rsid w:val="00CA784F"/>
    <w:rsid w:val="00CB0706"/>
    <w:rsid w:val="00CB12DF"/>
    <w:rsid w:val="00CB24D1"/>
    <w:rsid w:val="00CB2DB2"/>
    <w:rsid w:val="00CB331E"/>
    <w:rsid w:val="00CB3A3E"/>
    <w:rsid w:val="00CB4EC4"/>
    <w:rsid w:val="00CB6134"/>
    <w:rsid w:val="00CB6F0F"/>
    <w:rsid w:val="00CB77C9"/>
    <w:rsid w:val="00CB797D"/>
    <w:rsid w:val="00CB7F8C"/>
    <w:rsid w:val="00CC01DA"/>
    <w:rsid w:val="00CC06A5"/>
    <w:rsid w:val="00CC2B38"/>
    <w:rsid w:val="00CC57FD"/>
    <w:rsid w:val="00CC5F17"/>
    <w:rsid w:val="00CC6C07"/>
    <w:rsid w:val="00CC78FD"/>
    <w:rsid w:val="00CC7A3B"/>
    <w:rsid w:val="00CD1A93"/>
    <w:rsid w:val="00CD2832"/>
    <w:rsid w:val="00CD5428"/>
    <w:rsid w:val="00CD56C3"/>
    <w:rsid w:val="00CE029C"/>
    <w:rsid w:val="00CE0DC7"/>
    <w:rsid w:val="00CE0DFB"/>
    <w:rsid w:val="00CE1DF3"/>
    <w:rsid w:val="00CE238D"/>
    <w:rsid w:val="00CE380F"/>
    <w:rsid w:val="00CE3989"/>
    <w:rsid w:val="00CE3ED5"/>
    <w:rsid w:val="00CE41B5"/>
    <w:rsid w:val="00CE4C56"/>
    <w:rsid w:val="00CE5477"/>
    <w:rsid w:val="00CE577C"/>
    <w:rsid w:val="00CF004E"/>
    <w:rsid w:val="00CF08FF"/>
    <w:rsid w:val="00CF1875"/>
    <w:rsid w:val="00CF1F55"/>
    <w:rsid w:val="00CF2288"/>
    <w:rsid w:val="00CF2494"/>
    <w:rsid w:val="00CF281C"/>
    <w:rsid w:val="00CF2C21"/>
    <w:rsid w:val="00CF37F8"/>
    <w:rsid w:val="00CF4A50"/>
    <w:rsid w:val="00CF4C3D"/>
    <w:rsid w:val="00CF4D4A"/>
    <w:rsid w:val="00CF609C"/>
    <w:rsid w:val="00D00E20"/>
    <w:rsid w:val="00D02F46"/>
    <w:rsid w:val="00D032D6"/>
    <w:rsid w:val="00D04642"/>
    <w:rsid w:val="00D04722"/>
    <w:rsid w:val="00D05695"/>
    <w:rsid w:val="00D059C7"/>
    <w:rsid w:val="00D06B7F"/>
    <w:rsid w:val="00D129DC"/>
    <w:rsid w:val="00D12AA0"/>
    <w:rsid w:val="00D12D25"/>
    <w:rsid w:val="00D13219"/>
    <w:rsid w:val="00D13CB0"/>
    <w:rsid w:val="00D14287"/>
    <w:rsid w:val="00D1438C"/>
    <w:rsid w:val="00D15DD4"/>
    <w:rsid w:val="00D15F79"/>
    <w:rsid w:val="00D17A09"/>
    <w:rsid w:val="00D17CBF"/>
    <w:rsid w:val="00D17D5A"/>
    <w:rsid w:val="00D226D3"/>
    <w:rsid w:val="00D227B8"/>
    <w:rsid w:val="00D2285A"/>
    <w:rsid w:val="00D23696"/>
    <w:rsid w:val="00D238BA"/>
    <w:rsid w:val="00D23A42"/>
    <w:rsid w:val="00D245B6"/>
    <w:rsid w:val="00D24EA6"/>
    <w:rsid w:val="00D2767F"/>
    <w:rsid w:val="00D27716"/>
    <w:rsid w:val="00D27D98"/>
    <w:rsid w:val="00D323F5"/>
    <w:rsid w:val="00D3296A"/>
    <w:rsid w:val="00D332E1"/>
    <w:rsid w:val="00D34D7E"/>
    <w:rsid w:val="00D34D8D"/>
    <w:rsid w:val="00D36CEF"/>
    <w:rsid w:val="00D3707B"/>
    <w:rsid w:val="00D40812"/>
    <w:rsid w:val="00D40875"/>
    <w:rsid w:val="00D40880"/>
    <w:rsid w:val="00D419DA"/>
    <w:rsid w:val="00D429C9"/>
    <w:rsid w:val="00D42BE0"/>
    <w:rsid w:val="00D43022"/>
    <w:rsid w:val="00D4479C"/>
    <w:rsid w:val="00D44DB8"/>
    <w:rsid w:val="00D460C8"/>
    <w:rsid w:val="00D4630F"/>
    <w:rsid w:val="00D46537"/>
    <w:rsid w:val="00D46841"/>
    <w:rsid w:val="00D47765"/>
    <w:rsid w:val="00D477C3"/>
    <w:rsid w:val="00D50617"/>
    <w:rsid w:val="00D50E07"/>
    <w:rsid w:val="00D51E69"/>
    <w:rsid w:val="00D52ABD"/>
    <w:rsid w:val="00D54556"/>
    <w:rsid w:val="00D5504C"/>
    <w:rsid w:val="00D55057"/>
    <w:rsid w:val="00D57A98"/>
    <w:rsid w:val="00D611DB"/>
    <w:rsid w:val="00D612F0"/>
    <w:rsid w:val="00D61569"/>
    <w:rsid w:val="00D615D1"/>
    <w:rsid w:val="00D61FDB"/>
    <w:rsid w:val="00D621FD"/>
    <w:rsid w:val="00D624C3"/>
    <w:rsid w:val="00D626EB"/>
    <w:rsid w:val="00D62ED0"/>
    <w:rsid w:val="00D6399C"/>
    <w:rsid w:val="00D63E10"/>
    <w:rsid w:val="00D64258"/>
    <w:rsid w:val="00D64466"/>
    <w:rsid w:val="00D645FB"/>
    <w:rsid w:val="00D646B2"/>
    <w:rsid w:val="00D64D80"/>
    <w:rsid w:val="00D64E4E"/>
    <w:rsid w:val="00D65086"/>
    <w:rsid w:val="00D663B7"/>
    <w:rsid w:val="00D673E6"/>
    <w:rsid w:val="00D67972"/>
    <w:rsid w:val="00D71010"/>
    <w:rsid w:val="00D71289"/>
    <w:rsid w:val="00D729F6"/>
    <w:rsid w:val="00D73564"/>
    <w:rsid w:val="00D73EDD"/>
    <w:rsid w:val="00D74FE4"/>
    <w:rsid w:val="00D77E65"/>
    <w:rsid w:val="00D81645"/>
    <w:rsid w:val="00D817F3"/>
    <w:rsid w:val="00D822BF"/>
    <w:rsid w:val="00D82372"/>
    <w:rsid w:val="00D82B66"/>
    <w:rsid w:val="00D855FD"/>
    <w:rsid w:val="00D861A0"/>
    <w:rsid w:val="00D871E1"/>
    <w:rsid w:val="00D87F92"/>
    <w:rsid w:val="00D902D3"/>
    <w:rsid w:val="00D91029"/>
    <w:rsid w:val="00D9171C"/>
    <w:rsid w:val="00D92C29"/>
    <w:rsid w:val="00D92FFF"/>
    <w:rsid w:val="00D9318B"/>
    <w:rsid w:val="00D94A0F"/>
    <w:rsid w:val="00D95833"/>
    <w:rsid w:val="00D96FB3"/>
    <w:rsid w:val="00D97236"/>
    <w:rsid w:val="00D9727C"/>
    <w:rsid w:val="00D972E3"/>
    <w:rsid w:val="00D978C8"/>
    <w:rsid w:val="00DA134E"/>
    <w:rsid w:val="00DA1EF5"/>
    <w:rsid w:val="00DA3203"/>
    <w:rsid w:val="00DA3BB2"/>
    <w:rsid w:val="00DA3CD1"/>
    <w:rsid w:val="00DA4A83"/>
    <w:rsid w:val="00DA69C4"/>
    <w:rsid w:val="00DB000E"/>
    <w:rsid w:val="00DB0B46"/>
    <w:rsid w:val="00DB312F"/>
    <w:rsid w:val="00DB37C7"/>
    <w:rsid w:val="00DB3802"/>
    <w:rsid w:val="00DB3B3E"/>
    <w:rsid w:val="00DB4185"/>
    <w:rsid w:val="00DB5DCA"/>
    <w:rsid w:val="00DB690B"/>
    <w:rsid w:val="00DB7111"/>
    <w:rsid w:val="00DB7785"/>
    <w:rsid w:val="00DC05C3"/>
    <w:rsid w:val="00DC1F52"/>
    <w:rsid w:val="00DC233F"/>
    <w:rsid w:val="00DC2CDC"/>
    <w:rsid w:val="00DC35C1"/>
    <w:rsid w:val="00DC3972"/>
    <w:rsid w:val="00DC45D1"/>
    <w:rsid w:val="00DC5188"/>
    <w:rsid w:val="00DC5F04"/>
    <w:rsid w:val="00DC6165"/>
    <w:rsid w:val="00DC68A5"/>
    <w:rsid w:val="00DC7D31"/>
    <w:rsid w:val="00DD1006"/>
    <w:rsid w:val="00DD1A45"/>
    <w:rsid w:val="00DD1B3F"/>
    <w:rsid w:val="00DD1BF0"/>
    <w:rsid w:val="00DD1EFC"/>
    <w:rsid w:val="00DD207A"/>
    <w:rsid w:val="00DD2C77"/>
    <w:rsid w:val="00DD3460"/>
    <w:rsid w:val="00DD4E48"/>
    <w:rsid w:val="00DD50C6"/>
    <w:rsid w:val="00DD52E5"/>
    <w:rsid w:val="00DD565F"/>
    <w:rsid w:val="00DD57D2"/>
    <w:rsid w:val="00DD59FB"/>
    <w:rsid w:val="00DD5DB1"/>
    <w:rsid w:val="00DD6F89"/>
    <w:rsid w:val="00DD7BF1"/>
    <w:rsid w:val="00DE1141"/>
    <w:rsid w:val="00DE17F4"/>
    <w:rsid w:val="00DE19AE"/>
    <w:rsid w:val="00DE2029"/>
    <w:rsid w:val="00DE3821"/>
    <w:rsid w:val="00DE4355"/>
    <w:rsid w:val="00DE4A2B"/>
    <w:rsid w:val="00DE5D6C"/>
    <w:rsid w:val="00DE6189"/>
    <w:rsid w:val="00DE66AC"/>
    <w:rsid w:val="00DE6A7B"/>
    <w:rsid w:val="00DE6C15"/>
    <w:rsid w:val="00DF023C"/>
    <w:rsid w:val="00DF0537"/>
    <w:rsid w:val="00DF0B9D"/>
    <w:rsid w:val="00DF0CC8"/>
    <w:rsid w:val="00DF333D"/>
    <w:rsid w:val="00DF419E"/>
    <w:rsid w:val="00DF4B79"/>
    <w:rsid w:val="00DF4FC3"/>
    <w:rsid w:val="00DF5370"/>
    <w:rsid w:val="00DF5D67"/>
    <w:rsid w:val="00DF621E"/>
    <w:rsid w:val="00DF773A"/>
    <w:rsid w:val="00DF7E77"/>
    <w:rsid w:val="00E007D2"/>
    <w:rsid w:val="00E0081A"/>
    <w:rsid w:val="00E02D4E"/>
    <w:rsid w:val="00E03421"/>
    <w:rsid w:val="00E04497"/>
    <w:rsid w:val="00E04A7D"/>
    <w:rsid w:val="00E04BB8"/>
    <w:rsid w:val="00E05631"/>
    <w:rsid w:val="00E06A2D"/>
    <w:rsid w:val="00E073BB"/>
    <w:rsid w:val="00E07AD8"/>
    <w:rsid w:val="00E102E7"/>
    <w:rsid w:val="00E108A9"/>
    <w:rsid w:val="00E11071"/>
    <w:rsid w:val="00E1115C"/>
    <w:rsid w:val="00E1132D"/>
    <w:rsid w:val="00E1170E"/>
    <w:rsid w:val="00E1172F"/>
    <w:rsid w:val="00E11FCE"/>
    <w:rsid w:val="00E122F8"/>
    <w:rsid w:val="00E12EA3"/>
    <w:rsid w:val="00E13D41"/>
    <w:rsid w:val="00E144D3"/>
    <w:rsid w:val="00E162CD"/>
    <w:rsid w:val="00E16D63"/>
    <w:rsid w:val="00E170C2"/>
    <w:rsid w:val="00E174D7"/>
    <w:rsid w:val="00E2108E"/>
    <w:rsid w:val="00E22E80"/>
    <w:rsid w:val="00E22ECB"/>
    <w:rsid w:val="00E233B4"/>
    <w:rsid w:val="00E238F1"/>
    <w:rsid w:val="00E24B36"/>
    <w:rsid w:val="00E25E23"/>
    <w:rsid w:val="00E272E6"/>
    <w:rsid w:val="00E2781A"/>
    <w:rsid w:val="00E302E1"/>
    <w:rsid w:val="00E32835"/>
    <w:rsid w:val="00E32ACC"/>
    <w:rsid w:val="00E32EAA"/>
    <w:rsid w:val="00E33766"/>
    <w:rsid w:val="00E33B64"/>
    <w:rsid w:val="00E3456E"/>
    <w:rsid w:val="00E35355"/>
    <w:rsid w:val="00E357DD"/>
    <w:rsid w:val="00E36688"/>
    <w:rsid w:val="00E36845"/>
    <w:rsid w:val="00E37530"/>
    <w:rsid w:val="00E37A60"/>
    <w:rsid w:val="00E37FC2"/>
    <w:rsid w:val="00E402DB"/>
    <w:rsid w:val="00E40B1B"/>
    <w:rsid w:val="00E41A90"/>
    <w:rsid w:val="00E444D7"/>
    <w:rsid w:val="00E46BCE"/>
    <w:rsid w:val="00E474DA"/>
    <w:rsid w:val="00E50C41"/>
    <w:rsid w:val="00E52028"/>
    <w:rsid w:val="00E53696"/>
    <w:rsid w:val="00E5454C"/>
    <w:rsid w:val="00E54E45"/>
    <w:rsid w:val="00E55522"/>
    <w:rsid w:val="00E55773"/>
    <w:rsid w:val="00E567C7"/>
    <w:rsid w:val="00E573EB"/>
    <w:rsid w:val="00E57532"/>
    <w:rsid w:val="00E579BE"/>
    <w:rsid w:val="00E57DC6"/>
    <w:rsid w:val="00E60C2A"/>
    <w:rsid w:val="00E61154"/>
    <w:rsid w:val="00E61F98"/>
    <w:rsid w:val="00E637BA"/>
    <w:rsid w:val="00E639CB"/>
    <w:rsid w:val="00E66A44"/>
    <w:rsid w:val="00E676E4"/>
    <w:rsid w:val="00E67B5F"/>
    <w:rsid w:val="00E67E57"/>
    <w:rsid w:val="00E71041"/>
    <w:rsid w:val="00E72E6F"/>
    <w:rsid w:val="00E73DDE"/>
    <w:rsid w:val="00E7421A"/>
    <w:rsid w:val="00E743A5"/>
    <w:rsid w:val="00E753E1"/>
    <w:rsid w:val="00E75592"/>
    <w:rsid w:val="00E76393"/>
    <w:rsid w:val="00E7660C"/>
    <w:rsid w:val="00E76C55"/>
    <w:rsid w:val="00E77BDD"/>
    <w:rsid w:val="00E77DE9"/>
    <w:rsid w:val="00E802DC"/>
    <w:rsid w:val="00E8191F"/>
    <w:rsid w:val="00E828A2"/>
    <w:rsid w:val="00E831C8"/>
    <w:rsid w:val="00E832A0"/>
    <w:rsid w:val="00E8365E"/>
    <w:rsid w:val="00E8378B"/>
    <w:rsid w:val="00E83B4B"/>
    <w:rsid w:val="00E83E07"/>
    <w:rsid w:val="00E841B9"/>
    <w:rsid w:val="00E8450C"/>
    <w:rsid w:val="00E84F98"/>
    <w:rsid w:val="00E858DE"/>
    <w:rsid w:val="00E85B51"/>
    <w:rsid w:val="00E879D8"/>
    <w:rsid w:val="00E90D7C"/>
    <w:rsid w:val="00E915F0"/>
    <w:rsid w:val="00E91755"/>
    <w:rsid w:val="00E92488"/>
    <w:rsid w:val="00E9311A"/>
    <w:rsid w:val="00E9520D"/>
    <w:rsid w:val="00E95810"/>
    <w:rsid w:val="00E95819"/>
    <w:rsid w:val="00E9593C"/>
    <w:rsid w:val="00E95ABF"/>
    <w:rsid w:val="00E96224"/>
    <w:rsid w:val="00E964FF"/>
    <w:rsid w:val="00E97A46"/>
    <w:rsid w:val="00E97B69"/>
    <w:rsid w:val="00EA018F"/>
    <w:rsid w:val="00EA0194"/>
    <w:rsid w:val="00EA10C6"/>
    <w:rsid w:val="00EA15A4"/>
    <w:rsid w:val="00EA274E"/>
    <w:rsid w:val="00EA3624"/>
    <w:rsid w:val="00EA38DB"/>
    <w:rsid w:val="00EA44F9"/>
    <w:rsid w:val="00EA497A"/>
    <w:rsid w:val="00EA4981"/>
    <w:rsid w:val="00EA4F86"/>
    <w:rsid w:val="00EA546D"/>
    <w:rsid w:val="00EA602E"/>
    <w:rsid w:val="00EA6A56"/>
    <w:rsid w:val="00EA7017"/>
    <w:rsid w:val="00EB0F65"/>
    <w:rsid w:val="00EB1447"/>
    <w:rsid w:val="00EB370D"/>
    <w:rsid w:val="00EB3B36"/>
    <w:rsid w:val="00EB40C1"/>
    <w:rsid w:val="00EB5E72"/>
    <w:rsid w:val="00EB7B07"/>
    <w:rsid w:val="00EC06CB"/>
    <w:rsid w:val="00EC0FBD"/>
    <w:rsid w:val="00EC1017"/>
    <w:rsid w:val="00EC1268"/>
    <w:rsid w:val="00EC15B8"/>
    <w:rsid w:val="00EC18CD"/>
    <w:rsid w:val="00EC1EC7"/>
    <w:rsid w:val="00EC1F38"/>
    <w:rsid w:val="00EC272F"/>
    <w:rsid w:val="00EC2C79"/>
    <w:rsid w:val="00EC3130"/>
    <w:rsid w:val="00EC3FC4"/>
    <w:rsid w:val="00EC4CC1"/>
    <w:rsid w:val="00EC4E26"/>
    <w:rsid w:val="00EC5A64"/>
    <w:rsid w:val="00EC5EA0"/>
    <w:rsid w:val="00EC60EB"/>
    <w:rsid w:val="00EC7407"/>
    <w:rsid w:val="00ED0439"/>
    <w:rsid w:val="00ED04F0"/>
    <w:rsid w:val="00ED052E"/>
    <w:rsid w:val="00ED1394"/>
    <w:rsid w:val="00ED15B5"/>
    <w:rsid w:val="00ED1854"/>
    <w:rsid w:val="00ED20B6"/>
    <w:rsid w:val="00ED23F4"/>
    <w:rsid w:val="00ED3336"/>
    <w:rsid w:val="00ED456A"/>
    <w:rsid w:val="00ED4AEC"/>
    <w:rsid w:val="00ED5104"/>
    <w:rsid w:val="00ED5594"/>
    <w:rsid w:val="00ED61FB"/>
    <w:rsid w:val="00ED6D24"/>
    <w:rsid w:val="00ED7C27"/>
    <w:rsid w:val="00ED7FC3"/>
    <w:rsid w:val="00EE068A"/>
    <w:rsid w:val="00EE09D9"/>
    <w:rsid w:val="00EE1DC6"/>
    <w:rsid w:val="00EE2105"/>
    <w:rsid w:val="00EE26F7"/>
    <w:rsid w:val="00EE45FB"/>
    <w:rsid w:val="00EE54B6"/>
    <w:rsid w:val="00EE7247"/>
    <w:rsid w:val="00EE78C8"/>
    <w:rsid w:val="00EF014E"/>
    <w:rsid w:val="00EF10A5"/>
    <w:rsid w:val="00EF1470"/>
    <w:rsid w:val="00EF19DC"/>
    <w:rsid w:val="00EF1CD8"/>
    <w:rsid w:val="00EF3380"/>
    <w:rsid w:val="00EF3AAA"/>
    <w:rsid w:val="00EF45FD"/>
    <w:rsid w:val="00EF46DE"/>
    <w:rsid w:val="00EF56F4"/>
    <w:rsid w:val="00EF5AC6"/>
    <w:rsid w:val="00EF6341"/>
    <w:rsid w:val="00EF6BC6"/>
    <w:rsid w:val="00EF7371"/>
    <w:rsid w:val="00F00FBB"/>
    <w:rsid w:val="00F0153C"/>
    <w:rsid w:val="00F027C3"/>
    <w:rsid w:val="00F056A0"/>
    <w:rsid w:val="00F056E6"/>
    <w:rsid w:val="00F05B10"/>
    <w:rsid w:val="00F06930"/>
    <w:rsid w:val="00F078C1"/>
    <w:rsid w:val="00F07D5D"/>
    <w:rsid w:val="00F07FD6"/>
    <w:rsid w:val="00F10745"/>
    <w:rsid w:val="00F10784"/>
    <w:rsid w:val="00F10BC6"/>
    <w:rsid w:val="00F111C2"/>
    <w:rsid w:val="00F12128"/>
    <w:rsid w:val="00F12225"/>
    <w:rsid w:val="00F1339C"/>
    <w:rsid w:val="00F14BB4"/>
    <w:rsid w:val="00F14FB3"/>
    <w:rsid w:val="00F15FE4"/>
    <w:rsid w:val="00F16AB9"/>
    <w:rsid w:val="00F17476"/>
    <w:rsid w:val="00F21571"/>
    <w:rsid w:val="00F21609"/>
    <w:rsid w:val="00F240F3"/>
    <w:rsid w:val="00F24735"/>
    <w:rsid w:val="00F24C78"/>
    <w:rsid w:val="00F26A9F"/>
    <w:rsid w:val="00F26DB3"/>
    <w:rsid w:val="00F26ED3"/>
    <w:rsid w:val="00F275C0"/>
    <w:rsid w:val="00F27667"/>
    <w:rsid w:val="00F31ACD"/>
    <w:rsid w:val="00F31E77"/>
    <w:rsid w:val="00F328C7"/>
    <w:rsid w:val="00F33033"/>
    <w:rsid w:val="00F332B8"/>
    <w:rsid w:val="00F34CCB"/>
    <w:rsid w:val="00F35705"/>
    <w:rsid w:val="00F36466"/>
    <w:rsid w:val="00F36C35"/>
    <w:rsid w:val="00F40F9A"/>
    <w:rsid w:val="00F41918"/>
    <w:rsid w:val="00F42661"/>
    <w:rsid w:val="00F42878"/>
    <w:rsid w:val="00F429D0"/>
    <w:rsid w:val="00F42BA9"/>
    <w:rsid w:val="00F43704"/>
    <w:rsid w:val="00F43DB8"/>
    <w:rsid w:val="00F45397"/>
    <w:rsid w:val="00F4665D"/>
    <w:rsid w:val="00F4667F"/>
    <w:rsid w:val="00F46951"/>
    <w:rsid w:val="00F47488"/>
    <w:rsid w:val="00F507D5"/>
    <w:rsid w:val="00F51C96"/>
    <w:rsid w:val="00F52631"/>
    <w:rsid w:val="00F53D7A"/>
    <w:rsid w:val="00F54BDE"/>
    <w:rsid w:val="00F5500B"/>
    <w:rsid w:val="00F56C3B"/>
    <w:rsid w:val="00F57E91"/>
    <w:rsid w:val="00F60B81"/>
    <w:rsid w:val="00F6161D"/>
    <w:rsid w:val="00F6217E"/>
    <w:rsid w:val="00F62236"/>
    <w:rsid w:val="00F6243C"/>
    <w:rsid w:val="00F627ED"/>
    <w:rsid w:val="00F62B59"/>
    <w:rsid w:val="00F6641C"/>
    <w:rsid w:val="00F674ED"/>
    <w:rsid w:val="00F676E7"/>
    <w:rsid w:val="00F71CB3"/>
    <w:rsid w:val="00F72280"/>
    <w:rsid w:val="00F72300"/>
    <w:rsid w:val="00F73CCF"/>
    <w:rsid w:val="00F7465F"/>
    <w:rsid w:val="00F758EC"/>
    <w:rsid w:val="00F768C4"/>
    <w:rsid w:val="00F823B4"/>
    <w:rsid w:val="00F835CF"/>
    <w:rsid w:val="00F862E1"/>
    <w:rsid w:val="00F877C4"/>
    <w:rsid w:val="00F87B44"/>
    <w:rsid w:val="00F9073B"/>
    <w:rsid w:val="00F90E84"/>
    <w:rsid w:val="00F9234A"/>
    <w:rsid w:val="00F935C0"/>
    <w:rsid w:val="00F943E8"/>
    <w:rsid w:val="00F94F66"/>
    <w:rsid w:val="00F95B9C"/>
    <w:rsid w:val="00F95DF6"/>
    <w:rsid w:val="00F964A2"/>
    <w:rsid w:val="00F964EC"/>
    <w:rsid w:val="00F96A5C"/>
    <w:rsid w:val="00FA06DC"/>
    <w:rsid w:val="00FA0F8A"/>
    <w:rsid w:val="00FA1233"/>
    <w:rsid w:val="00FA12B3"/>
    <w:rsid w:val="00FA14A6"/>
    <w:rsid w:val="00FA14B5"/>
    <w:rsid w:val="00FA1704"/>
    <w:rsid w:val="00FA30B1"/>
    <w:rsid w:val="00FA404D"/>
    <w:rsid w:val="00FA48FA"/>
    <w:rsid w:val="00FA5609"/>
    <w:rsid w:val="00FA5762"/>
    <w:rsid w:val="00FA5A9E"/>
    <w:rsid w:val="00FA5F39"/>
    <w:rsid w:val="00FA6F1B"/>
    <w:rsid w:val="00FA7558"/>
    <w:rsid w:val="00FA77E3"/>
    <w:rsid w:val="00FB20AC"/>
    <w:rsid w:val="00FB28BC"/>
    <w:rsid w:val="00FB3336"/>
    <w:rsid w:val="00FB4418"/>
    <w:rsid w:val="00FB4490"/>
    <w:rsid w:val="00FB4A79"/>
    <w:rsid w:val="00FB54B2"/>
    <w:rsid w:val="00FB5AA0"/>
    <w:rsid w:val="00FB5C69"/>
    <w:rsid w:val="00FB5D2E"/>
    <w:rsid w:val="00FB7A85"/>
    <w:rsid w:val="00FC0862"/>
    <w:rsid w:val="00FC0F06"/>
    <w:rsid w:val="00FC18BD"/>
    <w:rsid w:val="00FC1A09"/>
    <w:rsid w:val="00FC1DEF"/>
    <w:rsid w:val="00FC2825"/>
    <w:rsid w:val="00FC2844"/>
    <w:rsid w:val="00FC29F8"/>
    <w:rsid w:val="00FC35EC"/>
    <w:rsid w:val="00FC477E"/>
    <w:rsid w:val="00FC5506"/>
    <w:rsid w:val="00FC6CD8"/>
    <w:rsid w:val="00FC78DF"/>
    <w:rsid w:val="00FC7CD1"/>
    <w:rsid w:val="00FD1257"/>
    <w:rsid w:val="00FD17D7"/>
    <w:rsid w:val="00FD18C1"/>
    <w:rsid w:val="00FD2039"/>
    <w:rsid w:val="00FD20A0"/>
    <w:rsid w:val="00FD330B"/>
    <w:rsid w:val="00FD4FD6"/>
    <w:rsid w:val="00FD51D9"/>
    <w:rsid w:val="00FD543E"/>
    <w:rsid w:val="00FD645B"/>
    <w:rsid w:val="00FD68D6"/>
    <w:rsid w:val="00FD75FA"/>
    <w:rsid w:val="00FD7915"/>
    <w:rsid w:val="00FE0059"/>
    <w:rsid w:val="00FE019D"/>
    <w:rsid w:val="00FE04AE"/>
    <w:rsid w:val="00FE33DD"/>
    <w:rsid w:val="00FE3657"/>
    <w:rsid w:val="00FE4BD3"/>
    <w:rsid w:val="00FE4DE7"/>
    <w:rsid w:val="00FE5578"/>
    <w:rsid w:val="00FE6BE8"/>
    <w:rsid w:val="00FE6F84"/>
    <w:rsid w:val="00FE7534"/>
    <w:rsid w:val="00FE77FE"/>
    <w:rsid w:val="00FE79C4"/>
    <w:rsid w:val="00FF06E1"/>
    <w:rsid w:val="00FF12E6"/>
    <w:rsid w:val="00FF2481"/>
    <w:rsid w:val="00FF2EEB"/>
    <w:rsid w:val="00FF3ACA"/>
    <w:rsid w:val="00FF41A5"/>
    <w:rsid w:val="00FF5A7C"/>
    <w:rsid w:val="00FF5E82"/>
    <w:rsid w:val="00FF6655"/>
    <w:rsid w:val="00FF6777"/>
    <w:rsid w:val="00FF6BC6"/>
    <w:rsid w:val="00FF75BF"/>
    <w:rsid w:val="00FF761A"/>
    <w:rsid w:val="00FF7BAB"/>
    <w:rsid w:val="015329DC"/>
    <w:rsid w:val="016A2220"/>
    <w:rsid w:val="023354BB"/>
    <w:rsid w:val="02501C0D"/>
    <w:rsid w:val="029B2E20"/>
    <w:rsid w:val="03ED3FAB"/>
    <w:rsid w:val="05432ABC"/>
    <w:rsid w:val="068E236D"/>
    <w:rsid w:val="06955E39"/>
    <w:rsid w:val="08313A99"/>
    <w:rsid w:val="083B4688"/>
    <w:rsid w:val="083C5370"/>
    <w:rsid w:val="09F36AC5"/>
    <w:rsid w:val="0B81156C"/>
    <w:rsid w:val="0C19397A"/>
    <w:rsid w:val="0CBF621B"/>
    <w:rsid w:val="0CD90784"/>
    <w:rsid w:val="0D4B343C"/>
    <w:rsid w:val="0D66622C"/>
    <w:rsid w:val="0D6E60B2"/>
    <w:rsid w:val="0DA57D13"/>
    <w:rsid w:val="0EBC060B"/>
    <w:rsid w:val="0EC77BCB"/>
    <w:rsid w:val="0EDA1F24"/>
    <w:rsid w:val="0F1A2610"/>
    <w:rsid w:val="0F1D44D5"/>
    <w:rsid w:val="0F3023A8"/>
    <w:rsid w:val="10930BAF"/>
    <w:rsid w:val="10FA4B91"/>
    <w:rsid w:val="112900AD"/>
    <w:rsid w:val="112EA21E"/>
    <w:rsid w:val="12107EFE"/>
    <w:rsid w:val="121B06D8"/>
    <w:rsid w:val="149354D1"/>
    <w:rsid w:val="14D85993"/>
    <w:rsid w:val="16232614"/>
    <w:rsid w:val="1659289C"/>
    <w:rsid w:val="170A4018"/>
    <w:rsid w:val="17544068"/>
    <w:rsid w:val="17FF568E"/>
    <w:rsid w:val="186C1CE1"/>
    <w:rsid w:val="194A1149"/>
    <w:rsid w:val="1AF90BA5"/>
    <w:rsid w:val="1D101DA9"/>
    <w:rsid w:val="1E075230"/>
    <w:rsid w:val="1E9270A1"/>
    <w:rsid w:val="1F504EBA"/>
    <w:rsid w:val="1FB72523"/>
    <w:rsid w:val="1FDC5F69"/>
    <w:rsid w:val="1FFB6EAE"/>
    <w:rsid w:val="20642960"/>
    <w:rsid w:val="21F81A38"/>
    <w:rsid w:val="23AF6A31"/>
    <w:rsid w:val="23E2405F"/>
    <w:rsid w:val="24481623"/>
    <w:rsid w:val="273F8178"/>
    <w:rsid w:val="283B647F"/>
    <w:rsid w:val="2AA1B264"/>
    <w:rsid w:val="2AC22B2B"/>
    <w:rsid w:val="2AE141BD"/>
    <w:rsid w:val="2B322B23"/>
    <w:rsid w:val="2B6752A3"/>
    <w:rsid w:val="2B9F1C79"/>
    <w:rsid w:val="2B9F6D0E"/>
    <w:rsid w:val="2BC0686C"/>
    <w:rsid w:val="2C5C75E7"/>
    <w:rsid w:val="2CEF40AF"/>
    <w:rsid w:val="2D342EFD"/>
    <w:rsid w:val="2D5456E8"/>
    <w:rsid w:val="2E056893"/>
    <w:rsid w:val="2E3B6964"/>
    <w:rsid w:val="2E3E01DD"/>
    <w:rsid w:val="2E643F95"/>
    <w:rsid w:val="2E662B89"/>
    <w:rsid w:val="2FE067F8"/>
    <w:rsid w:val="30F24AC7"/>
    <w:rsid w:val="314EF127"/>
    <w:rsid w:val="31FC00ED"/>
    <w:rsid w:val="334D5F94"/>
    <w:rsid w:val="339825BB"/>
    <w:rsid w:val="33B37DE4"/>
    <w:rsid w:val="34A44D05"/>
    <w:rsid w:val="353124E6"/>
    <w:rsid w:val="356405DF"/>
    <w:rsid w:val="36694BCC"/>
    <w:rsid w:val="37AA1F4B"/>
    <w:rsid w:val="390D2B25"/>
    <w:rsid w:val="3A5E64F6"/>
    <w:rsid w:val="3A8D4E43"/>
    <w:rsid w:val="3A98391B"/>
    <w:rsid w:val="3BB53E82"/>
    <w:rsid w:val="3BBFD8FD"/>
    <w:rsid w:val="3C695A33"/>
    <w:rsid w:val="3CD4157B"/>
    <w:rsid w:val="3D0E10DA"/>
    <w:rsid w:val="3D6B29E2"/>
    <w:rsid w:val="3DA80D08"/>
    <w:rsid w:val="3DAF572F"/>
    <w:rsid w:val="3DEA226B"/>
    <w:rsid w:val="3E6D5B4E"/>
    <w:rsid w:val="3F6FB815"/>
    <w:rsid w:val="3F9574FB"/>
    <w:rsid w:val="3FAFAEF5"/>
    <w:rsid w:val="4198609D"/>
    <w:rsid w:val="42001024"/>
    <w:rsid w:val="431334CA"/>
    <w:rsid w:val="43495C27"/>
    <w:rsid w:val="43B91790"/>
    <w:rsid w:val="450A4C9D"/>
    <w:rsid w:val="45717722"/>
    <w:rsid w:val="45DC5B80"/>
    <w:rsid w:val="463C7062"/>
    <w:rsid w:val="46F521A4"/>
    <w:rsid w:val="476A7312"/>
    <w:rsid w:val="47D31FB2"/>
    <w:rsid w:val="47DE2D5B"/>
    <w:rsid w:val="4891402A"/>
    <w:rsid w:val="48952131"/>
    <w:rsid w:val="48DE44BF"/>
    <w:rsid w:val="49A1285D"/>
    <w:rsid w:val="4B644975"/>
    <w:rsid w:val="4D4D35AB"/>
    <w:rsid w:val="4E1946E0"/>
    <w:rsid w:val="4EBC70FA"/>
    <w:rsid w:val="4F3A6EF2"/>
    <w:rsid w:val="4F635CA6"/>
    <w:rsid w:val="4F9009CE"/>
    <w:rsid w:val="4F9F8513"/>
    <w:rsid w:val="513E0AB6"/>
    <w:rsid w:val="515652DE"/>
    <w:rsid w:val="53466839"/>
    <w:rsid w:val="534C3D93"/>
    <w:rsid w:val="53E944A6"/>
    <w:rsid w:val="54137FDC"/>
    <w:rsid w:val="54221FE8"/>
    <w:rsid w:val="54D14D24"/>
    <w:rsid w:val="5590470D"/>
    <w:rsid w:val="56424886"/>
    <w:rsid w:val="56A65612"/>
    <w:rsid w:val="56DD43E8"/>
    <w:rsid w:val="57081422"/>
    <w:rsid w:val="577F72C1"/>
    <w:rsid w:val="57EF6E43"/>
    <w:rsid w:val="5821668D"/>
    <w:rsid w:val="583C516F"/>
    <w:rsid w:val="58D141B4"/>
    <w:rsid w:val="59E182C0"/>
    <w:rsid w:val="5A146DF7"/>
    <w:rsid w:val="5CDF629F"/>
    <w:rsid w:val="5DFFF0A8"/>
    <w:rsid w:val="5E144BAE"/>
    <w:rsid w:val="5EEA4517"/>
    <w:rsid w:val="600037AF"/>
    <w:rsid w:val="605A2839"/>
    <w:rsid w:val="60764E5A"/>
    <w:rsid w:val="61B35692"/>
    <w:rsid w:val="62C95581"/>
    <w:rsid w:val="64010633"/>
    <w:rsid w:val="640A0D8D"/>
    <w:rsid w:val="65707EA9"/>
    <w:rsid w:val="6597686B"/>
    <w:rsid w:val="65FE792F"/>
    <w:rsid w:val="661F6513"/>
    <w:rsid w:val="68AF6FB0"/>
    <w:rsid w:val="69597F5D"/>
    <w:rsid w:val="695B7EDB"/>
    <w:rsid w:val="69954753"/>
    <w:rsid w:val="6A717BA6"/>
    <w:rsid w:val="6ACF6A3A"/>
    <w:rsid w:val="6AD5B71D"/>
    <w:rsid w:val="6BEF551D"/>
    <w:rsid w:val="6BFDF921"/>
    <w:rsid w:val="6C29246F"/>
    <w:rsid w:val="6D0D60C0"/>
    <w:rsid w:val="6D3E6C3E"/>
    <w:rsid w:val="6EF7E893"/>
    <w:rsid w:val="6F3604E4"/>
    <w:rsid w:val="6F6012F2"/>
    <w:rsid w:val="6F7F7C34"/>
    <w:rsid w:val="6FBF9D65"/>
    <w:rsid w:val="716D7753"/>
    <w:rsid w:val="717D2880"/>
    <w:rsid w:val="717F7E06"/>
    <w:rsid w:val="71F61597"/>
    <w:rsid w:val="725DAEF8"/>
    <w:rsid w:val="735C72C1"/>
    <w:rsid w:val="73D6CB01"/>
    <w:rsid w:val="74053C2D"/>
    <w:rsid w:val="74860E10"/>
    <w:rsid w:val="749D7D92"/>
    <w:rsid w:val="749D8E39"/>
    <w:rsid w:val="765BAA07"/>
    <w:rsid w:val="76DB5176"/>
    <w:rsid w:val="76F17791"/>
    <w:rsid w:val="77374856"/>
    <w:rsid w:val="7A2432F9"/>
    <w:rsid w:val="7A352F30"/>
    <w:rsid w:val="7A4571A5"/>
    <w:rsid w:val="7AF62ECF"/>
    <w:rsid w:val="7B630848"/>
    <w:rsid w:val="7B885BB4"/>
    <w:rsid w:val="7BA35CB7"/>
    <w:rsid w:val="7BDD29E0"/>
    <w:rsid w:val="7BF67F5A"/>
    <w:rsid w:val="7CDFBF8D"/>
    <w:rsid w:val="7DE51460"/>
    <w:rsid w:val="7EFFBD07"/>
    <w:rsid w:val="7F54657D"/>
    <w:rsid w:val="7F57E0EF"/>
    <w:rsid w:val="7F8C2EBF"/>
    <w:rsid w:val="7F8F508E"/>
    <w:rsid w:val="7FC70F81"/>
    <w:rsid w:val="7FD68D16"/>
    <w:rsid w:val="7FE52225"/>
    <w:rsid w:val="7FF3F942"/>
    <w:rsid w:val="7FFCFD65"/>
    <w:rsid w:val="7FFFD0B7"/>
    <w:rsid w:val="8F79B559"/>
    <w:rsid w:val="9FDE69A9"/>
    <w:rsid w:val="A6F536A2"/>
    <w:rsid w:val="A7FA5EE7"/>
    <w:rsid w:val="ADEF1624"/>
    <w:rsid w:val="B5B7A8FA"/>
    <w:rsid w:val="B6F74CF7"/>
    <w:rsid w:val="B95E58A0"/>
    <w:rsid w:val="BE3F3F3D"/>
    <w:rsid w:val="CBFBC07D"/>
    <w:rsid w:val="CF673214"/>
    <w:rsid w:val="D3FF75AA"/>
    <w:rsid w:val="DBF7F8B2"/>
    <w:rsid w:val="DD9E2EDA"/>
    <w:rsid w:val="DF830AFF"/>
    <w:rsid w:val="DFBB9A5F"/>
    <w:rsid w:val="EAFD249E"/>
    <w:rsid w:val="F79BC878"/>
    <w:rsid w:val="FB3BFEFC"/>
    <w:rsid w:val="FB5FE6E0"/>
    <w:rsid w:val="FBD90032"/>
    <w:rsid w:val="FC3D437B"/>
    <w:rsid w:val="FDD5C156"/>
    <w:rsid w:val="FDD5FF3A"/>
    <w:rsid w:val="FE7E13AD"/>
    <w:rsid w:val="FF256352"/>
    <w:rsid w:val="FF8FDAF7"/>
    <w:rsid w:val="FFF3F4C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link w:val="134"/>
    <w:qFormat/>
    <w:uiPriority w:val="0"/>
    <w:pPr>
      <w:keepNext/>
      <w:outlineLvl w:val="2"/>
    </w:pPr>
    <w:rPr>
      <w:rFonts w:ascii="楷体_GB2312" w:hAnsi="宋体" w:eastAsia="楷体_GB2312"/>
      <w:b/>
      <w:bCs/>
      <w:sz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9">
    <w:name w:val="Default Paragraph Font"/>
    <w:semiHidden/>
    <w:unhideWhenUsed/>
    <w:qFormat/>
    <w:uiPriority w:val="1"/>
  </w:style>
  <w:style w:type="table" w:default="1" w:styleId="3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link w:val="123"/>
    <w:qFormat/>
    <w:uiPriority w:val="0"/>
    <w:pPr>
      <w:widowControl/>
      <w:ind w:firstLine="420"/>
    </w:pPr>
    <w:rPr>
      <w:rFonts w:eastAsia="仿宋_GB2312"/>
      <w:sz w:val="30"/>
      <w:szCs w:val="20"/>
    </w:rPr>
  </w:style>
  <w:style w:type="paragraph" w:styleId="7">
    <w:name w:val="toc 7"/>
    <w:basedOn w:val="1"/>
    <w:next w:val="1"/>
    <w:semiHidden/>
    <w:qFormat/>
    <w:uiPriority w:val="0"/>
    <w:pPr>
      <w:ind w:left="1260"/>
      <w:jc w:val="left"/>
    </w:pPr>
    <w:rPr>
      <w:sz w:val="18"/>
      <w:szCs w:val="18"/>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semiHidden/>
    <w:qFormat/>
    <w:uiPriority w:val="0"/>
    <w:pPr>
      <w:shd w:val="clear" w:color="auto" w:fill="000080"/>
    </w:pPr>
  </w:style>
  <w:style w:type="paragraph" w:styleId="10">
    <w:name w:val="annotation text"/>
    <w:basedOn w:val="1"/>
    <w:link w:val="119"/>
    <w:qFormat/>
    <w:uiPriority w:val="99"/>
    <w:pPr>
      <w:jc w:val="left"/>
    </w:pPr>
  </w:style>
  <w:style w:type="paragraph" w:styleId="11">
    <w:name w:val="Salutation"/>
    <w:basedOn w:val="1"/>
    <w:next w:val="1"/>
    <w:qFormat/>
    <w:uiPriority w:val="0"/>
    <w:pPr>
      <w:widowControl/>
      <w:jc w:val="left"/>
    </w:pPr>
    <w:rPr>
      <w:kern w:val="0"/>
      <w:sz w:val="20"/>
      <w:szCs w:val="20"/>
    </w:rPr>
  </w:style>
  <w:style w:type="paragraph" w:styleId="12">
    <w:name w:val="Body Text 3"/>
    <w:basedOn w:val="1"/>
    <w:qFormat/>
    <w:uiPriority w:val="0"/>
    <w:pPr>
      <w:spacing w:after="120"/>
    </w:pPr>
    <w:rPr>
      <w:sz w:val="16"/>
      <w:szCs w:val="16"/>
    </w:rPr>
  </w:style>
  <w:style w:type="paragraph" w:styleId="13">
    <w:name w:val="Body Text"/>
    <w:basedOn w:val="1"/>
    <w:link w:val="121"/>
    <w:qFormat/>
    <w:uiPriority w:val="0"/>
    <w:rPr>
      <w:sz w:val="24"/>
    </w:rPr>
  </w:style>
  <w:style w:type="paragraph" w:styleId="14">
    <w:name w:val="Body Text Indent"/>
    <w:basedOn w:val="1"/>
    <w:qFormat/>
    <w:uiPriority w:val="0"/>
    <w:pPr>
      <w:ind w:firstLine="570"/>
    </w:pPr>
    <w:rPr>
      <w:rFonts w:ascii="宋体" w:hAnsi="宋体"/>
      <w:sz w:val="28"/>
      <w:szCs w:val="20"/>
    </w:rPr>
  </w:style>
  <w:style w:type="paragraph" w:styleId="15">
    <w:name w:val="toc 5"/>
    <w:basedOn w:val="1"/>
    <w:next w:val="1"/>
    <w:semiHidden/>
    <w:qFormat/>
    <w:uiPriority w:val="0"/>
    <w:pPr>
      <w:ind w:left="840"/>
      <w:jc w:val="left"/>
    </w:pPr>
    <w:rPr>
      <w:sz w:val="18"/>
      <w:szCs w:val="18"/>
    </w:rPr>
  </w:style>
  <w:style w:type="paragraph" w:styleId="16">
    <w:name w:val="toc 3"/>
    <w:basedOn w:val="1"/>
    <w:next w:val="1"/>
    <w:semiHidden/>
    <w:qFormat/>
    <w:uiPriority w:val="0"/>
    <w:pPr>
      <w:ind w:left="420"/>
      <w:jc w:val="left"/>
    </w:pPr>
    <w:rPr>
      <w:i/>
      <w:iCs/>
      <w:sz w:val="20"/>
      <w:szCs w:val="20"/>
    </w:rPr>
  </w:style>
  <w:style w:type="paragraph" w:styleId="17">
    <w:name w:val="Plain Text"/>
    <w:basedOn w:val="1"/>
    <w:link w:val="117"/>
    <w:qFormat/>
    <w:uiPriority w:val="0"/>
    <w:rPr>
      <w:rFonts w:ascii="宋体" w:hAnsi="Courier New" w:cs="Courier New"/>
      <w:szCs w:val="21"/>
    </w:rPr>
  </w:style>
  <w:style w:type="paragraph" w:styleId="18">
    <w:name w:val="toc 8"/>
    <w:basedOn w:val="1"/>
    <w:next w:val="1"/>
    <w:semiHidden/>
    <w:qFormat/>
    <w:uiPriority w:val="0"/>
    <w:pPr>
      <w:ind w:left="1470"/>
      <w:jc w:val="left"/>
    </w:pPr>
    <w:rPr>
      <w:sz w:val="18"/>
      <w:szCs w:val="18"/>
    </w:rPr>
  </w:style>
  <w:style w:type="paragraph" w:styleId="19">
    <w:name w:val="Date"/>
    <w:basedOn w:val="1"/>
    <w:next w:val="1"/>
    <w:qFormat/>
    <w:uiPriority w:val="0"/>
    <w:pPr>
      <w:ind w:left="100" w:leftChars="2500"/>
    </w:pPr>
    <w:rPr>
      <w:rFonts w:ascii="宋体" w:hAnsi="宋体"/>
      <w:b/>
      <w:bCs/>
      <w:color w:val="000000"/>
      <w:sz w:val="36"/>
    </w:rPr>
  </w:style>
  <w:style w:type="paragraph" w:styleId="20">
    <w:name w:val="Body Text Indent 2"/>
    <w:basedOn w:val="1"/>
    <w:qFormat/>
    <w:uiPriority w:val="0"/>
    <w:pPr>
      <w:spacing w:line="400" w:lineRule="exact"/>
      <w:ind w:left="631" w:leftChars="200" w:hanging="211" w:hangingChars="100"/>
    </w:pPr>
    <w:rPr>
      <w:rFonts w:ascii="黑体" w:hAnsi="宋体" w:eastAsia="黑体"/>
      <w:b/>
      <w:bCs/>
      <w:color w:val="000000"/>
    </w:rPr>
  </w:style>
  <w:style w:type="paragraph" w:styleId="21">
    <w:name w:val="Balloon Text"/>
    <w:basedOn w:val="1"/>
    <w:link w:val="114"/>
    <w:qFormat/>
    <w:uiPriority w:val="0"/>
    <w:rPr>
      <w:sz w:val="18"/>
      <w:szCs w:val="18"/>
    </w:rPr>
  </w:style>
  <w:style w:type="paragraph" w:styleId="22">
    <w:name w:val="footer"/>
    <w:basedOn w:val="1"/>
    <w:link w:val="116"/>
    <w:qFormat/>
    <w:uiPriority w:val="99"/>
    <w:pPr>
      <w:tabs>
        <w:tab w:val="center" w:pos="4153"/>
        <w:tab w:val="right" w:pos="8306"/>
      </w:tabs>
      <w:snapToGrid w:val="0"/>
      <w:jc w:val="left"/>
    </w:pPr>
    <w:rPr>
      <w:sz w:val="18"/>
      <w:szCs w:val="18"/>
    </w:rPr>
  </w:style>
  <w:style w:type="paragraph" w:styleId="23">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spacing w:before="120" w:after="120" w:line="400" w:lineRule="exact"/>
      <w:jc w:val="center"/>
    </w:pPr>
    <w:rPr>
      <w:rFonts w:ascii="宋体" w:hAnsi="宋体"/>
      <w:bCs/>
      <w:caps/>
      <w:color w:val="0000FF"/>
      <w:szCs w:val="21"/>
    </w:rPr>
  </w:style>
  <w:style w:type="paragraph" w:styleId="25">
    <w:name w:val="toc 4"/>
    <w:basedOn w:val="1"/>
    <w:next w:val="1"/>
    <w:semiHidden/>
    <w:qFormat/>
    <w:uiPriority w:val="0"/>
    <w:pPr>
      <w:ind w:left="630"/>
      <w:jc w:val="left"/>
    </w:pPr>
    <w:rPr>
      <w:sz w:val="18"/>
      <w:szCs w:val="18"/>
    </w:rPr>
  </w:style>
  <w:style w:type="paragraph" w:styleId="26">
    <w:name w:val="index heading"/>
    <w:basedOn w:val="1"/>
    <w:next w:val="27"/>
    <w:semiHidden/>
    <w:qFormat/>
    <w:uiPriority w:val="0"/>
    <w:rPr>
      <w:szCs w:val="20"/>
    </w:rPr>
  </w:style>
  <w:style w:type="paragraph" w:styleId="27">
    <w:name w:val="index 1"/>
    <w:basedOn w:val="1"/>
    <w:next w:val="1"/>
    <w:semiHidden/>
    <w:qFormat/>
    <w:uiPriority w:val="0"/>
  </w:style>
  <w:style w:type="paragraph" w:styleId="28">
    <w:name w:val="toc 6"/>
    <w:basedOn w:val="1"/>
    <w:next w:val="1"/>
    <w:semiHidden/>
    <w:qFormat/>
    <w:uiPriority w:val="0"/>
    <w:pPr>
      <w:ind w:left="1050"/>
      <w:jc w:val="left"/>
    </w:pPr>
    <w:rPr>
      <w:sz w:val="18"/>
      <w:szCs w:val="18"/>
    </w:rPr>
  </w:style>
  <w:style w:type="paragraph" w:styleId="29">
    <w:name w:val="Body Text Indent 3"/>
    <w:basedOn w:val="1"/>
    <w:qFormat/>
    <w:uiPriority w:val="0"/>
    <w:pPr>
      <w:spacing w:line="360" w:lineRule="auto"/>
      <w:ind w:left="1260" w:leftChars="600"/>
    </w:pPr>
    <w:rPr>
      <w:rFonts w:ascii="宋体" w:hAnsi="宋体"/>
      <w:b/>
      <w:bCs/>
      <w:sz w:val="24"/>
    </w:rPr>
  </w:style>
  <w:style w:type="paragraph" w:styleId="30">
    <w:name w:val="toc 2"/>
    <w:basedOn w:val="1"/>
    <w:next w:val="1"/>
    <w:semiHidden/>
    <w:qFormat/>
    <w:uiPriority w:val="0"/>
    <w:pPr>
      <w:ind w:left="210"/>
      <w:jc w:val="left"/>
    </w:pPr>
    <w:rPr>
      <w:smallCaps/>
      <w:sz w:val="20"/>
      <w:szCs w:val="20"/>
    </w:rPr>
  </w:style>
  <w:style w:type="paragraph" w:styleId="31">
    <w:name w:val="toc 9"/>
    <w:basedOn w:val="1"/>
    <w:next w:val="1"/>
    <w:semiHidden/>
    <w:qFormat/>
    <w:uiPriority w:val="0"/>
    <w:pPr>
      <w:ind w:left="1680"/>
      <w:jc w:val="left"/>
    </w:pPr>
    <w:rPr>
      <w:sz w:val="18"/>
      <w:szCs w:val="18"/>
    </w:rPr>
  </w:style>
  <w:style w:type="paragraph" w:styleId="32">
    <w:name w:val="Body Text 2"/>
    <w:basedOn w:val="1"/>
    <w:qFormat/>
    <w:uiPriority w:val="0"/>
    <w:pPr>
      <w:spacing w:after="120" w:line="480" w:lineRule="auto"/>
    </w:p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Title"/>
    <w:basedOn w:val="1"/>
    <w:qFormat/>
    <w:uiPriority w:val="0"/>
    <w:pPr>
      <w:spacing w:before="240" w:after="60"/>
      <w:jc w:val="center"/>
      <w:outlineLvl w:val="0"/>
    </w:pPr>
    <w:rPr>
      <w:rFonts w:ascii="Arial" w:hAnsi="Arial" w:cs="Arial"/>
      <w:b/>
      <w:bCs/>
      <w:sz w:val="32"/>
      <w:szCs w:val="32"/>
    </w:rPr>
  </w:style>
  <w:style w:type="paragraph" w:styleId="35">
    <w:name w:val="annotation subject"/>
    <w:basedOn w:val="10"/>
    <w:next w:val="10"/>
    <w:semiHidden/>
    <w:qFormat/>
    <w:uiPriority w:val="0"/>
    <w:rPr>
      <w:b/>
      <w:bCs/>
    </w:rPr>
  </w:style>
  <w:style w:type="paragraph" w:styleId="36">
    <w:name w:val="Body Text First Indent"/>
    <w:basedOn w:val="13"/>
    <w:qFormat/>
    <w:uiPriority w:val="0"/>
    <w:pPr>
      <w:spacing w:after="120"/>
      <w:ind w:firstLine="420" w:firstLineChars="100"/>
    </w:pPr>
    <w:rPr>
      <w:sz w:val="21"/>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qFormat/>
    <w:uiPriority w:val="0"/>
    <w:rPr>
      <w:b/>
      <w:bCs/>
    </w:rPr>
  </w:style>
  <w:style w:type="character" w:styleId="41">
    <w:name w:val="page number"/>
    <w:basedOn w:val="39"/>
    <w:qFormat/>
    <w:uiPriority w:val="0"/>
  </w:style>
  <w:style w:type="character" w:styleId="42">
    <w:name w:val="FollowedHyperlink"/>
    <w:qFormat/>
    <w:uiPriority w:val="0"/>
    <w:rPr>
      <w:color w:val="800080"/>
      <w:u w:val="single"/>
    </w:rPr>
  </w:style>
  <w:style w:type="character" w:styleId="43">
    <w:name w:val="Hyperlink"/>
    <w:qFormat/>
    <w:uiPriority w:val="0"/>
    <w:rPr>
      <w:color w:val="0000FF"/>
      <w:u w:val="single"/>
    </w:rPr>
  </w:style>
  <w:style w:type="character" w:styleId="44">
    <w:name w:val="annotation reference"/>
    <w:qFormat/>
    <w:uiPriority w:val="99"/>
    <w:rPr>
      <w:sz w:val="21"/>
      <w:szCs w:val="21"/>
    </w:rPr>
  </w:style>
  <w:style w:type="paragraph" w:customStyle="1" w:styleId="45">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46">
    <w:name w:val="题注5"/>
    <w:basedOn w:val="1"/>
    <w:next w:val="8"/>
    <w:qFormat/>
    <w:uiPriority w:val="0"/>
    <w:pPr>
      <w:jc w:val="center"/>
    </w:pPr>
    <w:rPr>
      <w:b/>
      <w:color w:val="000000"/>
      <w:sz w:val="24"/>
      <w:szCs w:val="21"/>
    </w:rPr>
  </w:style>
  <w:style w:type="paragraph" w:customStyle="1" w:styleId="47">
    <w:name w:val="Char Char Char"/>
    <w:basedOn w:val="1"/>
    <w:qFormat/>
    <w:uiPriority w:val="0"/>
    <w:rPr>
      <w:rFonts w:ascii="宋体" w:hAnsi="宋体"/>
      <w:b/>
      <w:sz w:val="28"/>
      <w:szCs w:val="28"/>
    </w:rPr>
  </w:style>
  <w:style w:type="paragraph" w:customStyle="1" w:styleId="4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9">
    <w:name w:val="Char Char Char Char Char Char Char"/>
    <w:basedOn w:val="1"/>
    <w:qFormat/>
    <w:uiPriority w:val="0"/>
    <w:pPr>
      <w:tabs>
        <w:tab w:val="left" w:pos="425"/>
      </w:tabs>
      <w:ind w:left="425" w:hanging="425"/>
    </w:pPr>
    <w:rPr>
      <w:rFonts w:eastAsia="仿宋_GB2312"/>
      <w:kern w:val="24"/>
      <w:sz w:val="24"/>
    </w:rPr>
  </w:style>
  <w:style w:type="paragraph" w:customStyle="1" w:styleId="50">
    <w:name w:val="正文缩进2格"/>
    <w:basedOn w:val="1"/>
    <w:link w:val="130"/>
    <w:qFormat/>
    <w:uiPriority w:val="0"/>
    <w:pPr>
      <w:spacing w:after="120" w:line="600" w:lineRule="exact"/>
      <w:ind w:firstLine="639" w:firstLineChars="206"/>
    </w:pPr>
    <w:rPr>
      <w:rFonts w:ascii="仿宋_GB2312" w:hAnsi="宋体" w:eastAsia="仿宋_GB2312"/>
      <w:sz w:val="31"/>
      <w:szCs w:val="28"/>
    </w:rPr>
  </w:style>
  <w:style w:type="paragraph" w:customStyle="1" w:styleId="5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5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53">
    <w:name w:val="题注4"/>
    <w:basedOn w:val="1"/>
    <w:next w:val="8"/>
    <w:qFormat/>
    <w:uiPriority w:val="0"/>
    <w:pPr>
      <w:ind w:left="-132" w:leftChars="-64" w:right="-105" w:rightChars="-50" w:hanging="2"/>
      <w:jc w:val="center"/>
    </w:pPr>
    <w:rPr>
      <w:b/>
      <w:color w:val="FF0000"/>
      <w:szCs w:val="21"/>
      <w:lang w:val="en-GB"/>
    </w:rPr>
  </w:style>
  <w:style w:type="paragraph" w:customStyle="1" w:styleId="54">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55">
    <w:name w:val="Char Char Char Char Char Char Char Char Char Char"/>
    <w:basedOn w:val="1"/>
    <w:qFormat/>
    <w:uiPriority w:val="0"/>
    <w:rPr>
      <w:rFonts w:ascii="Tahoma" w:hAnsi="Tahoma"/>
      <w:sz w:val="24"/>
      <w:szCs w:val="20"/>
    </w:rPr>
  </w:style>
  <w:style w:type="paragraph" w:customStyle="1" w:styleId="56">
    <w:name w:val="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7">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59">
    <w:name w:val="Char Char1 Char"/>
    <w:basedOn w:val="1"/>
    <w:qFormat/>
    <w:uiPriority w:val="0"/>
    <w:rPr>
      <w:rFonts w:ascii="Tahoma" w:hAnsi="Tahoma"/>
      <w:sz w:val="24"/>
      <w:szCs w:val="20"/>
    </w:rPr>
  </w:style>
  <w:style w:type="paragraph" w:customStyle="1" w:styleId="60">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1">
    <w:name w:val="Char11"/>
    <w:basedOn w:val="1"/>
    <w:qFormat/>
    <w:uiPriority w:val="0"/>
    <w:pPr>
      <w:adjustRightInd w:val="0"/>
      <w:spacing w:line="360" w:lineRule="auto"/>
    </w:pPr>
    <w:rPr>
      <w:kern w:val="0"/>
      <w:sz w:val="24"/>
      <w:szCs w:val="20"/>
    </w:rPr>
  </w:style>
  <w:style w:type="paragraph" w:customStyle="1" w:styleId="62">
    <w:name w:val="Char Char2"/>
    <w:basedOn w:val="1"/>
    <w:qFormat/>
    <w:uiPriority w:val="0"/>
    <w:rPr>
      <w:rFonts w:ascii="宋体" w:hAnsi="宋体"/>
      <w:b/>
      <w:sz w:val="28"/>
      <w:szCs w:val="28"/>
    </w:rPr>
  </w:style>
  <w:style w:type="paragraph" w:customStyle="1" w:styleId="63">
    <w:name w:val="无间距"/>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1"/>
    <w:basedOn w:val="1"/>
    <w:next w:val="17"/>
    <w:qFormat/>
    <w:uiPriority w:val="0"/>
    <w:rPr>
      <w:rFonts w:ascii="宋体" w:hAnsi="Courier New"/>
      <w:szCs w:val="20"/>
    </w:rPr>
  </w:style>
  <w:style w:type="paragraph" w:customStyle="1" w:styleId="6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66">
    <w:name w:val="font7"/>
    <w:basedOn w:val="1"/>
    <w:qFormat/>
    <w:uiPriority w:val="0"/>
    <w:pPr>
      <w:widowControl/>
      <w:spacing w:before="100" w:beforeAutospacing="1" w:after="100" w:afterAutospacing="1"/>
      <w:jc w:val="left"/>
    </w:pPr>
    <w:rPr>
      <w:rFonts w:ascii="Arial" w:hAnsi="Arial" w:cs="Arial"/>
      <w:kern w:val="0"/>
      <w:sz w:val="28"/>
      <w:szCs w:val="28"/>
    </w:rPr>
  </w:style>
  <w:style w:type="paragraph" w:customStyle="1" w:styleId="67">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69">
    <w:name w:val="head"/>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70">
    <w:name w:val="Char Char21"/>
    <w:basedOn w:val="1"/>
    <w:qFormat/>
    <w:uiPriority w:val="0"/>
    <w:rPr>
      <w:rFonts w:ascii="宋体" w:hAnsi="宋体"/>
      <w:b/>
      <w:sz w:val="28"/>
      <w:szCs w:val="28"/>
    </w:rPr>
  </w:style>
  <w:style w:type="paragraph" w:customStyle="1" w:styleId="71">
    <w:name w:val="保留正文"/>
    <w:basedOn w:val="13"/>
    <w:qFormat/>
    <w:uiPriority w:val="0"/>
    <w:pPr>
      <w:keepNext/>
      <w:spacing w:after="160"/>
    </w:pPr>
    <w:rPr>
      <w:sz w:val="21"/>
    </w:rPr>
  </w:style>
  <w:style w:type="paragraph" w:customStyle="1" w:styleId="72">
    <w:name w:val="正文 + 宋体"/>
    <w:basedOn w:val="1"/>
    <w:qFormat/>
    <w:uiPriority w:val="0"/>
    <w:pPr>
      <w:snapToGrid w:val="0"/>
      <w:spacing w:line="360" w:lineRule="auto"/>
      <w:ind w:left="630" w:leftChars="100" w:hanging="420" w:hangingChars="200"/>
    </w:pPr>
    <w:rPr>
      <w:rFonts w:ascii="宋体" w:hAnsi="宋体"/>
      <w:color w:val="000000"/>
    </w:rPr>
  </w:style>
  <w:style w:type="paragraph" w:customStyle="1" w:styleId="73">
    <w:name w:val="默认段落字体 Para Char"/>
    <w:basedOn w:val="1"/>
    <w:qFormat/>
    <w:uiPriority w:val="0"/>
    <w:rPr>
      <w:rFonts w:ascii="宋体" w:hAnsi="宋体"/>
      <w:b/>
      <w:sz w:val="28"/>
      <w:szCs w:val="28"/>
    </w:rPr>
  </w:style>
  <w:style w:type="paragraph" w:customStyle="1" w:styleId="74">
    <w:name w:val="List Paragraph1"/>
    <w:basedOn w:val="1"/>
    <w:qFormat/>
    <w:uiPriority w:val="0"/>
    <w:pPr>
      <w:ind w:firstLine="420" w:firstLineChars="200"/>
    </w:pPr>
    <w:rPr>
      <w:rFonts w:ascii="Calibri" w:hAnsi="Calibri"/>
      <w:szCs w:val="22"/>
    </w:rPr>
  </w:style>
  <w:style w:type="paragraph" w:customStyle="1" w:styleId="7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
    <w:name w:val="Char Char Char Char Char Char Char1"/>
    <w:basedOn w:val="1"/>
    <w:qFormat/>
    <w:uiPriority w:val="0"/>
    <w:pPr>
      <w:tabs>
        <w:tab w:val="left" w:pos="425"/>
      </w:tabs>
      <w:ind w:left="425" w:hanging="425"/>
    </w:pPr>
    <w:rPr>
      <w:rFonts w:eastAsia="仿宋_GB2312"/>
      <w:kern w:val="24"/>
      <w:sz w:val="24"/>
    </w:rPr>
  </w:style>
  <w:style w:type="paragraph" w:customStyle="1" w:styleId="77">
    <w:name w:val="列出段落1"/>
    <w:basedOn w:val="1"/>
    <w:qFormat/>
    <w:uiPriority w:val="0"/>
    <w:pPr>
      <w:ind w:firstLine="420" w:firstLineChars="200"/>
    </w:pPr>
    <w:rPr>
      <w:rFonts w:ascii="Calibri" w:hAnsi="Calibri"/>
      <w:szCs w:val="22"/>
    </w:rPr>
  </w:style>
  <w:style w:type="paragraph" w:customStyle="1" w:styleId="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79">
    <w:name w:val="列出段落2"/>
    <w:basedOn w:val="1"/>
    <w:qFormat/>
    <w:uiPriority w:val="0"/>
    <w:pPr>
      <w:ind w:firstLine="420" w:firstLineChars="200"/>
    </w:pPr>
    <w:rPr>
      <w:rFonts w:ascii="Calibri" w:hAnsi="Calibri"/>
      <w:szCs w:val="22"/>
    </w:rPr>
  </w:style>
  <w:style w:type="paragraph" w:customStyle="1" w:styleId="80">
    <w:name w:val="Char Char2 Char"/>
    <w:basedOn w:val="1"/>
    <w:qFormat/>
    <w:uiPriority w:val="0"/>
    <w:rPr>
      <w:rFonts w:ascii="宋体" w:hAnsi="宋体"/>
      <w:b/>
      <w:sz w:val="28"/>
      <w:szCs w:val="28"/>
    </w:rPr>
  </w:style>
  <w:style w:type="paragraph" w:customStyle="1" w:styleId="81">
    <w:name w:val="p0"/>
    <w:basedOn w:val="1"/>
    <w:qFormat/>
    <w:uiPriority w:val="0"/>
    <w:pPr>
      <w:widowControl/>
    </w:pPr>
    <w:rPr>
      <w:kern w:val="0"/>
      <w:szCs w:val="21"/>
    </w:rPr>
  </w:style>
  <w:style w:type="paragraph" w:customStyle="1" w:styleId="8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3">
    <w:name w:val="pa-2"/>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Char Char2 Char1"/>
    <w:basedOn w:val="1"/>
    <w:qFormat/>
    <w:uiPriority w:val="0"/>
    <w:rPr>
      <w:rFonts w:ascii="宋体" w:hAnsi="宋体"/>
      <w:b/>
      <w:sz w:val="28"/>
      <w:szCs w:val="28"/>
    </w:rPr>
  </w:style>
  <w:style w:type="paragraph" w:customStyle="1" w:styleId="85">
    <w:name w:val="_Style 84"/>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表格"/>
    <w:basedOn w:val="1"/>
    <w:qFormat/>
    <w:uiPriority w:val="0"/>
    <w:pPr>
      <w:spacing w:line="420" w:lineRule="exact"/>
      <w:ind w:left="84" w:leftChars="40"/>
      <w:jc w:val="center"/>
    </w:pPr>
    <w:rPr>
      <w:rFonts w:ascii="宋体" w:hAnsi="宋体"/>
      <w:bCs/>
      <w:spacing w:val="-12"/>
    </w:rPr>
  </w:style>
  <w:style w:type="paragraph" w:customStyle="1" w:styleId="8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89">
    <w:name w:val="Char Char2 Char Char"/>
    <w:basedOn w:val="1"/>
    <w:qFormat/>
    <w:uiPriority w:val="0"/>
    <w:pPr>
      <w:widowControl/>
      <w:spacing w:after="160" w:line="240" w:lineRule="exact"/>
      <w:jc w:val="left"/>
    </w:pPr>
  </w:style>
  <w:style w:type="paragraph" w:customStyle="1" w:styleId="90">
    <w:name w:val="Char Char2 Char Char1"/>
    <w:basedOn w:val="1"/>
    <w:qFormat/>
    <w:uiPriority w:val="0"/>
    <w:pPr>
      <w:widowControl/>
      <w:spacing w:after="160" w:line="240" w:lineRule="exact"/>
      <w:jc w:val="left"/>
    </w:pPr>
  </w:style>
  <w:style w:type="paragraph" w:customStyle="1" w:styleId="91">
    <w:name w:val="pa-3"/>
    <w:basedOn w:val="1"/>
    <w:qFormat/>
    <w:uiPriority w:val="0"/>
    <w:pPr>
      <w:widowControl/>
      <w:spacing w:before="100" w:beforeAutospacing="1" w:after="100" w:afterAutospacing="1"/>
      <w:jc w:val="left"/>
    </w:pPr>
    <w:rPr>
      <w:rFonts w:ascii="宋体" w:hAnsi="宋体" w:cs="宋体"/>
      <w:kern w:val="0"/>
      <w:sz w:val="24"/>
    </w:rPr>
  </w:style>
  <w:style w:type="paragraph" w:customStyle="1" w:styleId="92">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默认段落字体 Para Char Char Char Char"/>
    <w:basedOn w:val="1"/>
    <w:qFormat/>
    <w:uiPriority w:val="0"/>
  </w:style>
  <w:style w:type="paragraph" w:customStyle="1" w:styleId="9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kern w:val="0"/>
      <w:sz w:val="20"/>
      <w:szCs w:val="20"/>
    </w:rPr>
  </w:style>
  <w:style w:type="paragraph" w:customStyle="1" w:styleId="95">
    <w:name w:val="样式3"/>
    <w:basedOn w:val="17"/>
    <w:qFormat/>
    <w:uiPriority w:val="0"/>
    <w:pPr>
      <w:spacing w:line="0" w:lineRule="atLeast"/>
      <w:outlineLvl w:val="0"/>
    </w:pPr>
    <w:rPr>
      <w:rFonts w:cs="Times New Roman"/>
      <w:sz w:val="28"/>
      <w:szCs w:val="20"/>
    </w:rPr>
  </w:style>
  <w:style w:type="paragraph" w:customStyle="1" w:styleId="96">
    <w:name w:val="Char Char1 Char1"/>
    <w:basedOn w:val="1"/>
    <w:qFormat/>
    <w:uiPriority w:val="0"/>
    <w:rPr>
      <w:rFonts w:ascii="Tahoma" w:hAnsi="Tahoma"/>
      <w:sz w:val="24"/>
      <w:szCs w:val="20"/>
    </w:rPr>
  </w:style>
  <w:style w:type="paragraph" w:customStyle="1" w:styleId="97">
    <w:name w:val="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98">
    <w:name w:val="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99">
    <w:name w:val="办公自动化专用标题"/>
    <w:basedOn w:val="34"/>
    <w:qFormat/>
    <w:uiPriority w:val="0"/>
    <w:pPr>
      <w:spacing w:line="560" w:lineRule="atLeast"/>
    </w:pPr>
    <w:rPr>
      <w:rFonts w:ascii="宋体" w:cs="Times New Roman"/>
      <w:bCs w:val="0"/>
      <w:sz w:val="44"/>
      <w:szCs w:val="20"/>
    </w:rPr>
  </w:style>
  <w:style w:type="paragraph" w:customStyle="1" w:styleId="10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1"/>
    <w:basedOn w:val="1"/>
    <w:qFormat/>
    <w:uiPriority w:val="0"/>
    <w:rPr>
      <w:rFonts w:ascii="宋体" w:hAnsi="宋体"/>
      <w:b/>
      <w:sz w:val="28"/>
      <w:szCs w:val="28"/>
    </w:rPr>
  </w:style>
  <w:style w:type="paragraph" w:customStyle="1" w:styleId="102">
    <w:name w:val="表格文字"/>
    <w:basedOn w:val="1"/>
    <w:qFormat/>
    <w:uiPriority w:val="0"/>
    <w:pPr>
      <w:spacing w:before="25" w:after="25"/>
      <w:jc w:val="left"/>
    </w:pPr>
    <w:rPr>
      <w:bCs/>
      <w:spacing w:val="10"/>
      <w:kern w:val="0"/>
      <w:sz w:val="24"/>
      <w:szCs w:val="20"/>
    </w:rPr>
  </w:style>
  <w:style w:type="paragraph" w:customStyle="1" w:styleId="10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105">
    <w:name w:val="Char1"/>
    <w:basedOn w:val="1"/>
    <w:qFormat/>
    <w:uiPriority w:val="0"/>
    <w:pPr>
      <w:widowControl/>
      <w:spacing w:line="400" w:lineRule="exact"/>
      <w:jc w:val="center"/>
    </w:pPr>
    <w:rPr>
      <w:rFonts w:ascii="Verdana" w:hAnsi="Verdana"/>
      <w:kern w:val="0"/>
      <w:szCs w:val="20"/>
      <w:lang w:eastAsia="en-US"/>
    </w:rPr>
  </w:style>
  <w:style w:type="paragraph" w:customStyle="1" w:styleId="106">
    <w:name w:val="Char12"/>
    <w:basedOn w:val="1"/>
    <w:qFormat/>
    <w:uiPriority w:val="0"/>
    <w:pPr>
      <w:widowControl/>
      <w:spacing w:line="400" w:lineRule="exact"/>
      <w:jc w:val="center"/>
    </w:pPr>
    <w:rPr>
      <w:rFonts w:ascii="Verdana" w:hAnsi="Verdana"/>
      <w:kern w:val="0"/>
      <w:szCs w:val="20"/>
      <w:lang w:eastAsia="en-US"/>
    </w:rPr>
  </w:style>
  <w:style w:type="paragraph" w:styleId="107">
    <w:name w:val="List Paragraph"/>
    <w:basedOn w:val="1"/>
    <w:qFormat/>
    <w:uiPriority w:val="0"/>
    <w:pPr>
      <w:widowControl/>
      <w:ind w:firstLine="420" w:firstLineChars="200"/>
      <w:jc w:val="left"/>
    </w:pPr>
    <w:rPr>
      <w:kern w:val="0"/>
      <w:sz w:val="20"/>
      <w:szCs w:val="20"/>
    </w:rPr>
  </w:style>
  <w:style w:type="paragraph" w:customStyle="1" w:styleId="108">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09">
    <w:name w:val="Char Char Char Char Char Char Char Char Char1"/>
    <w:basedOn w:val="1"/>
    <w:qFormat/>
    <w:uiPriority w:val="0"/>
    <w:pPr>
      <w:widowControl/>
      <w:spacing w:line="400" w:lineRule="exact"/>
      <w:jc w:val="center"/>
    </w:pPr>
    <w:rPr>
      <w:rFonts w:ascii="Verdana" w:hAnsi="Verdana"/>
      <w:kern w:val="0"/>
      <w:szCs w:val="20"/>
      <w:lang w:eastAsia="en-US"/>
    </w:rPr>
  </w:style>
  <w:style w:type="character" w:customStyle="1" w:styleId="110">
    <w:name w:val="style11"/>
    <w:qFormat/>
    <w:uiPriority w:val="0"/>
    <w:rPr>
      <w:rFonts w:hint="default" w:ascii="Arial" w:hAnsi="Arial" w:cs="Arial"/>
    </w:rPr>
  </w:style>
  <w:style w:type="character" w:customStyle="1" w:styleId="111">
    <w:name w:val="ca-2"/>
    <w:basedOn w:val="39"/>
    <w:qFormat/>
    <w:uiPriority w:val="0"/>
  </w:style>
  <w:style w:type="character" w:customStyle="1" w:styleId="112">
    <w:name w:val="ca-6"/>
    <w:basedOn w:val="39"/>
    <w:qFormat/>
    <w:uiPriority w:val="0"/>
  </w:style>
  <w:style w:type="character" w:customStyle="1" w:styleId="113">
    <w:name w:val="b-121"/>
    <w:qFormat/>
    <w:uiPriority w:val="0"/>
    <w:rPr>
      <w:rFonts w:hint="default" w:ascii="_x000B__x000C_" w:hAnsi="_x000B__x000C_"/>
      <w:sz w:val="18"/>
      <w:szCs w:val="18"/>
      <w:u w:val="none"/>
    </w:rPr>
  </w:style>
  <w:style w:type="character" w:customStyle="1" w:styleId="114">
    <w:name w:val="批注框文本 字符"/>
    <w:link w:val="21"/>
    <w:qFormat/>
    <w:uiPriority w:val="0"/>
    <w:rPr>
      <w:kern w:val="2"/>
      <w:sz w:val="18"/>
      <w:szCs w:val="18"/>
    </w:rPr>
  </w:style>
  <w:style w:type="character" w:customStyle="1" w:styleId="115">
    <w:name w:val="apple-converted-space"/>
    <w:basedOn w:val="39"/>
    <w:qFormat/>
    <w:uiPriority w:val="0"/>
  </w:style>
  <w:style w:type="character" w:customStyle="1" w:styleId="116">
    <w:name w:val="页脚 字符"/>
    <w:link w:val="22"/>
    <w:qFormat/>
    <w:uiPriority w:val="99"/>
    <w:rPr>
      <w:rFonts w:eastAsia="宋体"/>
      <w:kern w:val="2"/>
      <w:sz w:val="18"/>
      <w:szCs w:val="18"/>
      <w:lang w:val="en-US" w:eastAsia="zh-CN" w:bidi="ar-SA"/>
    </w:rPr>
  </w:style>
  <w:style w:type="character" w:customStyle="1" w:styleId="117">
    <w:name w:val="纯文本 字符"/>
    <w:link w:val="17"/>
    <w:qFormat/>
    <w:uiPriority w:val="0"/>
    <w:rPr>
      <w:rFonts w:ascii="宋体" w:hAnsi="Courier New" w:eastAsia="宋体" w:cs="Courier New"/>
      <w:kern w:val="2"/>
      <w:sz w:val="21"/>
      <w:szCs w:val="21"/>
      <w:lang w:val="en-US" w:eastAsia="zh-CN" w:bidi="ar-SA"/>
    </w:rPr>
  </w:style>
  <w:style w:type="character" w:customStyle="1" w:styleId="118">
    <w:name w:val="普通文字 Char1"/>
    <w:qFormat/>
    <w:uiPriority w:val="0"/>
    <w:rPr>
      <w:rFonts w:ascii="宋体" w:hAnsi="Courier New" w:eastAsia="宋体"/>
      <w:kern w:val="2"/>
      <w:sz w:val="21"/>
      <w:lang w:val="en-US" w:eastAsia="zh-CN" w:bidi="ar-SA"/>
    </w:rPr>
  </w:style>
  <w:style w:type="character" w:customStyle="1" w:styleId="119">
    <w:name w:val="批注文字 字符"/>
    <w:link w:val="10"/>
    <w:qFormat/>
    <w:uiPriority w:val="99"/>
    <w:rPr>
      <w:kern w:val="2"/>
      <w:sz w:val="21"/>
      <w:szCs w:val="24"/>
    </w:rPr>
  </w:style>
  <w:style w:type="character" w:customStyle="1" w:styleId="120">
    <w:name w:val="Char Char3"/>
    <w:qFormat/>
    <w:uiPriority w:val="0"/>
    <w:rPr>
      <w:rFonts w:eastAsia="宋体"/>
      <w:kern w:val="2"/>
      <w:sz w:val="18"/>
      <w:szCs w:val="18"/>
      <w:lang w:val="en-US" w:eastAsia="zh-CN" w:bidi="ar-SA"/>
    </w:rPr>
  </w:style>
  <w:style w:type="character" w:customStyle="1" w:styleId="121">
    <w:name w:val="正文文本 字符"/>
    <w:link w:val="13"/>
    <w:qFormat/>
    <w:uiPriority w:val="0"/>
    <w:rPr>
      <w:kern w:val="2"/>
      <w:sz w:val="24"/>
      <w:szCs w:val="24"/>
    </w:rPr>
  </w:style>
  <w:style w:type="character" w:customStyle="1" w:styleId="122">
    <w:name w:val="ca-3"/>
    <w:basedOn w:val="39"/>
    <w:qFormat/>
    <w:uiPriority w:val="0"/>
  </w:style>
  <w:style w:type="character" w:customStyle="1" w:styleId="123">
    <w:name w:val="正文缩进 字符"/>
    <w:link w:val="5"/>
    <w:qFormat/>
    <w:uiPriority w:val="0"/>
    <w:rPr>
      <w:rFonts w:eastAsia="仿宋_GB2312"/>
      <w:kern w:val="2"/>
      <w:sz w:val="30"/>
      <w:lang w:val="en-US" w:eastAsia="zh-CN" w:bidi="ar-SA"/>
    </w:rPr>
  </w:style>
  <w:style w:type="character" w:customStyle="1" w:styleId="124">
    <w:name w:val="标题 2 Char"/>
    <w:qFormat/>
    <w:uiPriority w:val="0"/>
    <w:rPr>
      <w:rFonts w:ascii="Arial" w:hAnsi="Arial" w:eastAsia="黑体"/>
      <w:b/>
      <w:bCs/>
      <w:kern w:val="2"/>
      <w:sz w:val="32"/>
      <w:szCs w:val="32"/>
      <w:lang w:val="en-US" w:eastAsia="zh-CN" w:bidi="ar-SA"/>
    </w:rPr>
  </w:style>
  <w:style w:type="character" w:customStyle="1" w:styleId="125">
    <w:name w:val="kleintab1"/>
    <w:qFormat/>
    <w:uiPriority w:val="0"/>
    <w:rPr>
      <w:color w:val="999999"/>
      <w:sz w:val="9"/>
      <w:szCs w:val="9"/>
    </w:rPr>
  </w:style>
  <w:style w:type="character" w:customStyle="1" w:styleId="126">
    <w:name w:val="ca-1"/>
    <w:basedOn w:val="39"/>
    <w:qFormat/>
    <w:uiPriority w:val="0"/>
  </w:style>
  <w:style w:type="character" w:customStyle="1" w:styleId="127">
    <w:name w:val="14"/>
    <w:basedOn w:val="39"/>
    <w:qFormat/>
    <w:uiPriority w:val="0"/>
  </w:style>
  <w:style w:type="character" w:customStyle="1" w:styleId="128">
    <w:name w:val="表正文 Char"/>
    <w:qFormat/>
    <w:uiPriority w:val="0"/>
    <w:rPr>
      <w:rFonts w:eastAsia="仿宋_GB2312"/>
      <w:kern w:val="2"/>
      <w:sz w:val="30"/>
      <w:lang w:val="en-US" w:eastAsia="zh-CN" w:bidi="ar-SA"/>
    </w:rPr>
  </w:style>
  <w:style w:type="character" w:customStyle="1" w:styleId="129">
    <w:name w:val="ca-0"/>
    <w:basedOn w:val="39"/>
    <w:qFormat/>
    <w:uiPriority w:val="0"/>
  </w:style>
  <w:style w:type="character" w:customStyle="1" w:styleId="130">
    <w:name w:val="正文缩进2格 Char"/>
    <w:link w:val="50"/>
    <w:qFormat/>
    <w:uiPriority w:val="0"/>
    <w:rPr>
      <w:rFonts w:ascii="仿宋_GB2312" w:hAnsi="宋体" w:eastAsia="仿宋_GB2312"/>
      <w:kern w:val="2"/>
      <w:sz w:val="31"/>
      <w:szCs w:val="28"/>
    </w:rPr>
  </w:style>
  <w:style w:type="character" w:customStyle="1" w:styleId="131">
    <w:name w:val="ca-9"/>
    <w:basedOn w:val="39"/>
    <w:qFormat/>
    <w:uiPriority w:val="0"/>
  </w:style>
  <w:style w:type="character" w:customStyle="1" w:styleId="132">
    <w:name w:val="ca-5"/>
    <w:basedOn w:val="39"/>
    <w:qFormat/>
    <w:uiPriority w:val="0"/>
  </w:style>
  <w:style w:type="character" w:customStyle="1" w:styleId="133">
    <w:name w:val="ca-10"/>
    <w:basedOn w:val="39"/>
    <w:qFormat/>
    <w:uiPriority w:val="0"/>
  </w:style>
  <w:style w:type="character" w:customStyle="1" w:styleId="134">
    <w:name w:val="标题 3 字符"/>
    <w:link w:val="4"/>
    <w:qFormat/>
    <w:uiPriority w:val="0"/>
    <w:rPr>
      <w:rFonts w:ascii="楷体_GB2312" w:hAnsi="宋体" w:eastAsia="楷体_GB2312"/>
      <w:b/>
      <w:bCs/>
      <w:kern w:val="2"/>
      <w:sz w:val="32"/>
      <w:szCs w:val="24"/>
      <w:lang w:val="en-US" w:eastAsia="zh-CN" w:bidi="ar-SA"/>
    </w:rPr>
  </w:style>
  <w:style w:type="character" w:customStyle="1" w:styleId="135">
    <w:name w:val="p141"/>
    <w:qFormat/>
    <w:uiPriority w:val="0"/>
    <w:rPr>
      <w:sz w:val="21"/>
      <w:szCs w:val="21"/>
    </w:rPr>
  </w:style>
  <w:style w:type="character" w:customStyle="1" w:styleId="136">
    <w:name w:val="fontstyle01"/>
    <w:qFormat/>
    <w:uiPriority w:val="0"/>
    <w:rPr>
      <w:rFonts w:hint="eastAsia" w:ascii="宋体" w:hAnsi="宋体" w:eastAsia="宋体"/>
      <w:color w:val="000000"/>
      <w:sz w:val="24"/>
      <w:szCs w:val="24"/>
    </w:rPr>
  </w:style>
  <w:style w:type="character" w:customStyle="1" w:styleId="137">
    <w:name w:val="Char Char31"/>
    <w:qFormat/>
    <w:uiPriority w:val="0"/>
    <w:rPr>
      <w:rFonts w:eastAsia="宋体"/>
      <w:kern w:val="2"/>
      <w:sz w:val="18"/>
      <w:szCs w:val="18"/>
      <w:lang w:val="en-US" w:eastAsia="zh-CN" w:bidi="ar-SA"/>
    </w:rPr>
  </w:style>
  <w:style w:type="character" w:customStyle="1" w:styleId="138">
    <w:name w:val="ca-7"/>
    <w:basedOn w:val="39"/>
    <w:qFormat/>
    <w:uiPriority w:val="0"/>
  </w:style>
  <w:style w:type="paragraph" w:customStyle="1" w:styleId="139">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0">
    <w:name w:val="正文_0"/>
    <w:next w:val="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1">
    <w:name w:val="ca-12"/>
    <w:qFormat/>
    <w:uiPriority w:val="99"/>
    <w:rPr>
      <w:rFonts w:eastAsia="宋体" w:cs="Times New Roman"/>
      <w:kern w:val="2"/>
      <w:sz w:val="24"/>
      <w:szCs w:val="24"/>
      <w:lang w:val="en-US" w:eastAsia="zh-CN" w:bidi="ar-SA"/>
    </w:rPr>
  </w:style>
  <w:style w:type="paragraph" w:customStyle="1" w:styleId="142">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143">
    <w:name w:val="页眉 字符"/>
    <w:basedOn w:val="39"/>
    <w:link w:val="23"/>
    <w:qFormat/>
    <w:uiPriority w:val="99"/>
    <w:rPr>
      <w:kern w:val="2"/>
      <w:sz w:val="18"/>
      <w:szCs w:val="18"/>
    </w:rPr>
  </w:style>
  <w:style w:type="character" w:customStyle="1" w:styleId="144">
    <w:name w:val="纯文本 Char1"/>
    <w:qFormat/>
    <w:uiPriority w:val="0"/>
    <w:rPr>
      <w:rFonts w:ascii="宋体" w:hAnsi="Courier New"/>
      <w:kern w:val="2"/>
      <w:sz w:val="21"/>
      <w:szCs w:val="21"/>
      <w:lang w:val="zh-CN" w:eastAsia="zh-CN"/>
    </w:rPr>
  </w:style>
  <w:style w:type="paragraph" w:customStyle="1" w:styleId="145">
    <w:name w:val="样式1"/>
    <w:basedOn w:val="1"/>
    <w:link w:val="146"/>
    <w:qFormat/>
    <w:uiPriority w:val="0"/>
    <w:pPr>
      <w:numPr>
        <w:ilvl w:val="0"/>
        <w:numId w:val="1"/>
      </w:numPr>
      <w:spacing w:line="312" w:lineRule="auto"/>
      <w:jc w:val="center"/>
      <w:outlineLvl w:val="0"/>
    </w:pPr>
    <w:rPr>
      <w:rFonts w:asciiTheme="minorEastAsia" w:hAnsiTheme="minorEastAsia" w:eastAsiaTheme="minorEastAsia"/>
      <w:b/>
      <w:sz w:val="32"/>
    </w:rPr>
  </w:style>
  <w:style w:type="character" w:customStyle="1" w:styleId="146">
    <w:name w:val="样式1 字符"/>
    <w:basedOn w:val="39"/>
    <w:link w:val="145"/>
    <w:qFormat/>
    <w:uiPriority w:val="0"/>
    <w:rPr>
      <w:rFonts w:asciiTheme="minorEastAsia" w:hAnsiTheme="minorEastAsia" w:eastAsiaTheme="minorEastAsia"/>
      <w:b/>
      <w:kern w:val="2"/>
      <w:sz w:val="32"/>
      <w:szCs w:val="24"/>
    </w:rPr>
  </w:style>
  <w:style w:type="paragraph" w:customStyle="1" w:styleId="147">
    <w:name w:val="Table Paragraph"/>
    <w:basedOn w:val="1"/>
    <w:qFormat/>
    <w:uiPriority w:val="1"/>
    <w:pPr>
      <w:spacing w:line="240" w:lineRule="auto"/>
    </w:pPr>
    <w:rPr>
      <w:rFonts w:ascii="宋体" w:hAnsi="宋体" w:cs="宋体"/>
      <w:szCs w:val="22"/>
    </w:rPr>
  </w:style>
  <w:style w:type="paragraph" w:customStyle="1" w:styleId="148">
    <w:name w:val="null3"/>
    <w:qFormat/>
    <w:uiPriority w:val="0"/>
    <w:rPr>
      <w:rFonts w:hint="eastAsia" w:ascii="等线" w:hAnsi="等线" w:eastAsia="等线" w:cs="Times New Roman"/>
      <w:lang w:val="en-US" w:eastAsia="zh-Hans" w:bidi="ar-SA"/>
    </w:rPr>
  </w:style>
  <w:style w:type="paragraph" w:customStyle="1" w:styleId="149">
    <w:name w:val="msolistparagraph"/>
    <w:qFormat/>
    <w:uiPriority w:val="0"/>
    <w:pPr>
      <w:widowControl/>
      <w:ind w:firstLine="420" w:firstLineChars="200"/>
      <w:jc w:val="left"/>
    </w:pPr>
    <w:rPr>
      <w:rFonts w:ascii="Times New Roman" w:hAnsi="Times New Roman" w:eastAsia="宋体" w:cs="Times New Roman"/>
      <w:kern w:val="0"/>
      <w:sz w:val="20"/>
      <w:szCs w:val="20"/>
      <w:lang w:val="en-US" w:eastAsia="zh-CN" w:bidi="ar-SA"/>
    </w:rPr>
  </w:style>
  <w:style w:type="table" w:customStyle="1" w:styleId="150">
    <w:name w:val="网格型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9A091-D4E3-46F2-8AD5-53DB2C924730}">
  <ds:schemaRefs/>
</ds:datastoreItem>
</file>

<file path=docProps/app.xml><?xml version="1.0" encoding="utf-8"?>
<Properties xmlns="http://schemas.openxmlformats.org/officeDocument/2006/extended-properties" xmlns:vt="http://schemas.openxmlformats.org/officeDocument/2006/docPropsVTypes">
  <Company>Microsoft China</Company>
  <Pages>42</Pages>
  <Words>9785</Words>
  <Characters>10146</Characters>
  <Lines>37</Lines>
  <Paragraphs>10</Paragraphs>
  <TotalTime>2</TotalTime>
  <ScaleCrop>false</ScaleCrop>
  <LinksUpToDate>false</LinksUpToDate>
  <CharactersWithSpaces>10194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2020-09-22T06:25:00Z</dcterms:created>
  <dc:creator>USER</dc:creator>
  <cp:lastModifiedBy>黄敏君</cp:lastModifiedBy>
  <cp:lastPrinted>2020-08-13T22:49:00Z</cp:lastPrinted>
  <dcterms:modified xsi:type="dcterms:W3CDTF">2026-03-05T02:24:25Z</dcterms:modified>
  <dc:title>委托单位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eyJoZGlkIjoiOTEzZmU1OGUyZmUyNDgyMmQ5NGI5ZTA4NWNjZGRiYjciLCJ1c2VySWQiOiIxNTY1NDIxODU0In0=</vt:lpwstr>
  </property>
  <property fmtid="{D5CDD505-2E9C-101B-9397-08002B2CF9AE}" pid="4" name="ICV">
    <vt:lpwstr>4B7E75FBE84E4F1FA421C17986986C3A_13</vt:lpwstr>
  </property>
</Properties>
</file>