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ascii="宋体" w:hAnsi="宋体"/>
          <w:sz w:val="30"/>
          <w:szCs w:val="30"/>
        </w:rPr>
      </w:pPr>
      <w:r>
        <w:rPr>
          <w:rFonts w:hint="eastAsia" w:ascii="宋体" w:hAnsi="宋体"/>
          <w:sz w:val="30"/>
          <w:szCs w:val="30"/>
        </w:rPr>
        <w:t>广医附属番禺中心医院态势感知平台升级</w:t>
      </w:r>
      <w:r>
        <w:rPr>
          <w:rFonts w:hint="default" w:ascii="宋体" w:hAnsi="宋体"/>
          <w:sz w:val="30"/>
          <w:szCs w:val="30"/>
        </w:rPr>
        <w:t>维护</w:t>
      </w:r>
      <w:r>
        <w:rPr>
          <w:rFonts w:hint="eastAsia" w:ascii="宋体" w:hAnsi="宋体"/>
          <w:sz w:val="30"/>
          <w:szCs w:val="30"/>
        </w:rPr>
        <w:t>服务</w:t>
      </w:r>
    </w:p>
    <w:p>
      <w:pPr>
        <w:pStyle w:val="2"/>
        <w:numPr>
          <w:ilvl w:val="0"/>
          <w:numId w:val="2"/>
        </w:numPr>
        <w:rPr>
          <w:rFonts w:ascii="宋体" w:hAnsi="宋体"/>
          <w:b/>
          <w:bCs/>
          <w:sz w:val="24"/>
          <w:szCs w:val="24"/>
        </w:rPr>
      </w:pPr>
      <w:r>
        <w:rPr>
          <w:rFonts w:hint="eastAsia" w:ascii="宋体" w:hAnsi="宋体"/>
          <w:b/>
          <w:bCs/>
          <w:sz w:val="24"/>
          <w:szCs w:val="24"/>
        </w:rPr>
        <w:t>项目背景</w:t>
      </w:r>
    </w:p>
    <w:p>
      <w:pPr>
        <w:rPr>
          <w:rFonts w:hint="eastAsia" w:ascii="仿宋_GB2312" w:hAnsi="仿宋" w:eastAsia="仿宋_GB2312" w:cs="仿宋_GB2312"/>
          <w:color w:val="auto"/>
          <w:kern w:val="0"/>
          <w:sz w:val="28"/>
          <w:szCs w:val="28"/>
          <w:lang w:bidi="ar"/>
        </w:rPr>
      </w:pPr>
      <w:r>
        <w:rPr>
          <w:rFonts w:hint="eastAsia" w:ascii="宋体" w:hAnsi="宋体" w:eastAsia="宋体"/>
          <w:color w:val="000000" w:themeColor="text1"/>
          <w:sz w:val="24"/>
          <w14:textFill>
            <w14:solidFill>
              <w14:schemeClr w14:val="tx1"/>
            </w14:solidFill>
          </w14:textFill>
        </w:rPr>
        <w:t xml:space="preserve"> </w:t>
      </w:r>
      <w:r>
        <w:rPr>
          <w:rFonts w:ascii="宋体" w:hAnsi="宋体" w:eastAsia="宋体"/>
          <w:color w:val="000000" w:themeColor="text1"/>
          <w:sz w:val="24"/>
          <w14:textFill>
            <w14:solidFill>
              <w14:schemeClr w14:val="tx1"/>
            </w14:solidFill>
          </w14:textFill>
        </w:rPr>
        <w:t xml:space="preserve">    </w:t>
      </w:r>
      <w:r>
        <w:rPr>
          <w:rFonts w:hint="eastAsia" w:ascii="仿宋_GB2312" w:hAnsi="仿宋" w:eastAsia="仿宋_GB2312" w:cs="仿宋_GB2312"/>
          <w:color w:val="auto"/>
          <w:kern w:val="0"/>
          <w:sz w:val="28"/>
          <w:szCs w:val="28"/>
          <w:lang w:bidi="ar"/>
        </w:rPr>
        <w:t>根据等保2</w:t>
      </w:r>
      <w:bookmarkStart w:id="0" w:name="_GoBack"/>
      <w:r>
        <w:rPr>
          <w:rFonts w:hint="eastAsia" w:ascii="仿宋_GB2312" w:hAnsi="仿宋" w:eastAsia="仿宋_GB2312" w:cs="仿宋_GB2312"/>
          <w:color w:val="auto"/>
          <w:kern w:val="0"/>
          <w:sz w:val="28"/>
          <w:szCs w:val="28"/>
          <w:lang w:bidi="ar"/>
        </w:rPr>
        <w:t>.0政策要求，我院于2021年底采购了态势感知平台，现需对态势感知服务进行续保采购，以完成对医院日志数据、流量数据、风险告警数据的集中收集、解析及审计等要求，以及对态势感知平台的AI版本迭代升级，对接“恒脑”智能体，加强态势感</w:t>
      </w:r>
      <w:bookmarkEnd w:id="0"/>
      <w:r>
        <w:rPr>
          <w:rFonts w:hint="eastAsia" w:ascii="仿宋_GB2312" w:hAnsi="仿宋" w:eastAsia="仿宋_GB2312" w:cs="仿宋_GB2312"/>
          <w:color w:val="auto"/>
          <w:kern w:val="0"/>
          <w:sz w:val="28"/>
          <w:szCs w:val="28"/>
          <w:lang w:bidi="ar"/>
        </w:rPr>
        <w:t>知的数据分析能力、风险评估能力。</w:t>
      </w:r>
    </w:p>
    <w:p>
      <w:pPr>
        <w:keepNext w:val="0"/>
        <w:keepLines w:val="0"/>
        <w:widowControl w:val="0"/>
        <w:suppressLineNumbers w:val="0"/>
        <w:spacing w:before="0" w:beforeAutospacing="0" w:after="0" w:afterAutospacing="0"/>
        <w:ind w:left="0" w:right="0"/>
        <w:jc w:val="both"/>
        <w:outlineLvl w:val="1"/>
        <w:rPr>
          <w:rFonts w:hint="eastAsia" w:ascii="仿宋_GB2312" w:hAnsi="Arial" w:eastAsia="仿宋_GB2312" w:cs="Arial"/>
          <w:b/>
          <w:bCs w:val="0"/>
          <w:sz w:val="28"/>
          <w:szCs w:val="28"/>
          <w:lang w:val="en-US"/>
        </w:rPr>
      </w:pPr>
      <w:r>
        <w:rPr>
          <w:rFonts w:hint="eastAsia" w:ascii="仿宋_GB2312" w:hAnsi="Arial" w:eastAsia="仿宋_GB2312" w:cs="Arial"/>
          <w:b/>
          <w:bCs w:val="0"/>
          <w:kern w:val="2"/>
          <w:sz w:val="28"/>
          <w:szCs w:val="28"/>
          <w:lang w:val="en-US" w:eastAsia="zh-CN" w:bidi="ar"/>
        </w:rPr>
        <w:t>二、采购预算</w:t>
      </w:r>
    </w:p>
    <w:p>
      <w:pPr>
        <w:pStyle w:val="43"/>
        <w:widowControl/>
        <w:ind w:left="0" w:firstLine="560"/>
        <w:rPr>
          <w:rFonts w:hint="eastAsia" w:ascii="仿宋_GB2312" w:hAnsi="仿宋" w:eastAsia="仿宋_GB2312" w:cs="仿宋_GB2312"/>
          <w:sz w:val="28"/>
          <w:szCs w:val="28"/>
          <w:lang w:val="en-US"/>
        </w:rPr>
      </w:pPr>
      <w:r>
        <w:rPr>
          <w:rFonts w:hint="eastAsia" w:ascii="仿宋_GB2312" w:hAnsi="仿宋" w:eastAsia="仿宋_GB2312" w:cs="仿宋_GB2312"/>
          <w:sz w:val="28"/>
          <w:szCs w:val="28"/>
          <w:lang w:eastAsia="zh-CN"/>
        </w:rPr>
        <w:t>采购预算：最高限价为人民币</w:t>
      </w:r>
      <w:r>
        <w:rPr>
          <w:rFonts w:hint="default" w:ascii="仿宋_GB2312" w:hAnsi="仿宋" w:eastAsia="仿宋_GB2312" w:cs="仿宋_GB2312"/>
          <w:sz w:val="28"/>
          <w:szCs w:val="28"/>
        </w:rPr>
        <w:t>132000</w:t>
      </w:r>
      <w:r>
        <w:rPr>
          <w:rFonts w:hint="eastAsia" w:ascii="仿宋_GB2312" w:hAnsi="仿宋" w:eastAsia="仿宋_GB2312" w:cs="仿宋_GB2312"/>
          <w:sz w:val="28"/>
          <w:szCs w:val="28"/>
          <w:lang w:eastAsia="zh-CN"/>
        </w:rPr>
        <w:t>元。</w:t>
      </w:r>
    </w:p>
    <w:p>
      <w:pPr>
        <w:keepNext w:val="0"/>
        <w:keepLines w:val="0"/>
        <w:widowControl w:val="0"/>
        <w:suppressLineNumbers w:val="0"/>
        <w:spacing w:before="0" w:beforeAutospacing="0" w:after="0" w:afterAutospacing="0"/>
        <w:ind w:left="0" w:right="0"/>
        <w:jc w:val="both"/>
        <w:outlineLvl w:val="1"/>
        <w:rPr>
          <w:rFonts w:hint="eastAsia" w:ascii="仿宋_GB2312" w:hAnsi="Arial" w:eastAsia="仿宋_GB2312" w:cs="Arial"/>
          <w:b/>
          <w:bCs w:val="0"/>
          <w:sz w:val="28"/>
          <w:szCs w:val="28"/>
          <w:lang w:val="en-US"/>
        </w:rPr>
      </w:pPr>
      <w:r>
        <w:rPr>
          <w:rFonts w:hint="eastAsia" w:ascii="仿宋_GB2312" w:hAnsi="Arial" w:eastAsia="仿宋_GB2312" w:cs="Arial"/>
          <w:b/>
          <w:bCs w:val="0"/>
          <w:color w:val="000000"/>
          <w:kern w:val="2"/>
          <w:sz w:val="28"/>
          <w:szCs w:val="28"/>
          <w:lang w:val="en-US" w:eastAsia="zh-CN" w:bidi="ar"/>
        </w:rPr>
        <w:t>三、采</w:t>
      </w:r>
      <w:r>
        <w:rPr>
          <w:rFonts w:hint="eastAsia" w:ascii="仿宋_GB2312" w:hAnsi="Arial" w:eastAsia="仿宋_GB2312" w:cs="Arial"/>
          <w:b/>
          <w:bCs w:val="0"/>
          <w:kern w:val="2"/>
          <w:sz w:val="28"/>
          <w:szCs w:val="28"/>
          <w:lang w:val="en-US" w:eastAsia="zh-CN" w:bidi="ar"/>
        </w:rPr>
        <w:t>购人</w:t>
      </w:r>
    </w:p>
    <w:p>
      <w:pPr>
        <w:keepNext w:val="0"/>
        <w:keepLines w:val="0"/>
        <w:widowControl w:val="0"/>
        <w:suppressLineNumbers w:val="0"/>
        <w:spacing w:before="0" w:beforeAutospacing="0" w:after="0" w:afterAutospacing="0"/>
        <w:ind w:left="0" w:right="0" w:firstLine="560" w:firstLineChars="200"/>
        <w:jc w:val="both"/>
        <w:outlineLvl w:val="1"/>
        <w:rPr>
          <w:rFonts w:hint="eastAsia" w:ascii="仿宋_GB2312" w:hAnsi="仿宋" w:eastAsia="仿宋_GB2312" w:cs="仿宋_GB2312"/>
          <w:kern w:val="0"/>
          <w:sz w:val="28"/>
          <w:szCs w:val="28"/>
          <w:lang w:val="en-US"/>
        </w:rPr>
      </w:pPr>
      <w:r>
        <w:rPr>
          <w:rFonts w:hint="eastAsia" w:ascii="仿宋_GB2312" w:hAnsi="仿宋" w:eastAsia="仿宋_GB2312" w:cs="仿宋_GB2312"/>
          <w:kern w:val="0"/>
          <w:sz w:val="28"/>
          <w:szCs w:val="28"/>
          <w:lang w:val="en-US" w:eastAsia="zh-CN" w:bidi="ar"/>
        </w:rPr>
        <w:t>广州医科大学附属番禺中心医院</w:t>
      </w:r>
    </w:p>
    <w:p>
      <w:pPr>
        <w:keepNext w:val="0"/>
        <w:keepLines w:val="0"/>
        <w:widowControl w:val="0"/>
        <w:suppressLineNumbers w:val="0"/>
        <w:spacing w:before="0" w:beforeAutospacing="0" w:after="0" w:afterAutospacing="0"/>
        <w:ind w:left="0" w:right="0"/>
        <w:jc w:val="both"/>
        <w:outlineLvl w:val="1"/>
        <w:rPr>
          <w:rFonts w:hint="eastAsia" w:ascii="仿宋_GB2312" w:hAnsi="Arial" w:eastAsia="仿宋_GB2312" w:cs="Arial"/>
          <w:b/>
          <w:bCs w:val="0"/>
          <w:color w:val="000000"/>
          <w:sz w:val="28"/>
          <w:szCs w:val="28"/>
          <w:lang w:val="en-US"/>
        </w:rPr>
      </w:pPr>
      <w:r>
        <w:rPr>
          <w:rFonts w:hint="eastAsia" w:ascii="仿宋_GB2312" w:hAnsi="Arial" w:eastAsia="仿宋_GB2312" w:cs="Arial"/>
          <w:b/>
          <w:bCs w:val="0"/>
          <w:color w:val="000000"/>
          <w:kern w:val="2"/>
          <w:sz w:val="28"/>
          <w:szCs w:val="28"/>
          <w:lang w:val="en-US" w:eastAsia="zh-CN" w:bidi="ar"/>
        </w:rPr>
        <w:t>四、资格要求</w:t>
      </w:r>
    </w:p>
    <w:p>
      <w:pPr>
        <w:pStyle w:val="43"/>
        <w:widowControl/>
        <w:ind w:firstLine="560"/>
        <w:rPr>
          <w:rFonts w:hint="eastAsia" w:ascii="仿宋_GB2312" w:hAnsi="仿宋" w:eastAsia="仿宋_GB2312" w:cs="仿宋_GB2312"/>
          <w:color w:val="000000"/>
          <w:sz w:val="28"/>
          <w:szCs w:val="28"/>
          <w:lang w:eastAsia="zh-CN"/>
        </w:rPr>
      </w:pPr>
      <w:r>
        <w:rPr>
          <w:rFonts w:hint="eastAsia" w:ascii="仿宋_GB2312" w:hAnsi="仿宋" w:eastAsia="仿宋_GB2312" w:cs="仿宋_GB2312"/>
          <w:color w:val="000000"/>
          <w:sz w:val="28"/>
          <w:szCs w:val="28"/>
          <w:lang w:eastAsia="zh-CN"/>
        </w:rPr>
        <w:t>（一）符合《政府采购法》第二十二条供应商资格条件。</w:t>
      </w:r>
    </w:p>
    <w:p>
      <w:pPr>
        <w:pStyle w:val="43"/>
        <w:widowControl/>
        <w:ind w:firstLine="560"/>
        <w:rPr>
          <w:rFonts w:hint="default" w:ascii="仿宋_GB2312" w:hAnsi="仿宋" w:eastAsia="仿宋_GB2312" w:cs="仿宋_GB2312"/>
          <w:color w:val="000000"/>
          <w:sz w:val="28"/>
          <w:szCs w:val="28"/>
          <w:lang w:eastAsia="zh-CN"/>
        </w:rPr>
      </w:pPr>
      <w:r>
        <w:rPr>
          <w:rFonts w:hint="default" w:ascii="仿宋_GB2312" w:hAnsi="仿宋" w:eastAsia="仿宋_GB2312" w:cs="仿宋_GB2312"/>
          <w:color w:val="000000"/>
          <w:sz w:val="28"/>
          <w:szCs w:val="28"/>
          <w:lang w:eastAsia="zh-CN"/>
        </w:rPr>
        <w:t>（二）</w:t>
      </w:r>
      <w:r>
        <w:rPr>
          <w:rStyle w:val="20"/>
          <w:rFonts w:ascii="仿宋_GB2312" w:hAnsi="仿宋" w:eastAsia="仿宋_GB2312" w:cs="仿宋_GB2312"/>
          <w:i w:val="0"/>
          <w:iCs w:val="0"/>
          <w:caps w:val="0"/>
          <w:color w:val="000000"/>
          <w:spacing w:val="0"/>
          <w:sz w:val="28"/>
          <w:szCs w:val="28"/>
        </w:rPr>
        <w:t>供应商必须提供由杭州安恒信息技术股份有限公司针对本项目出具的、有效的原厂授权书或代理资质证明文件。</w:t>
      </w:r>
    </w:p>
    <w:p>
      <w:pPr>
        <w:outlineLvl w:val="1"/>
        <w:rPr>
          <w:rFonts w:hint="eastAsia" w:ascii="仿宋_GB2312" w:hAnsi="仿宋_GB2312" w:eastAsia="仿宋_GB2312" w:cs="仿宋_GB2312"/>
          <w:b/>
          <w:color w:val="000000"/>
          <w:sz w:val="28"/>
          <w:szCs w:val="28"/>
          <w:lang w:eastAsia="zh-CN" w:bidi="ar"/>
        </w:rPr>
      </w:pPr>
      <w:r>
        <w:rPr>
          <w:rFonts w:hint="eastAsia" w:ascii="仿宋_GB2312" w:hAnsi="仿宋_GB2312" w:eastAsia="仿宋_GB2312" w:cs="仿宋_GB2312"/>
          <w:b/>
          <w:color w:val="000000"/>
          <w:sz w:val="28"/>
          <w:szCs w:val="28"/>
          <w:lang w:eastAsia="zh-CN" w:bidi="ar"/>
        </w:rPr>
        <w:t>五、</w:t>
      </w:r>
      <w:r>
        <w:rPr>
          <w:rFonts w:hint="default" w:ascii="仿宋_GB2312" w:hAnsi="仿宋_GB2312" w:eastAsia="仿宋_GB2312" w:cs="仿宋_GB2312"/>
          <w:b/>
          <w:color w:val="000000"/>
          <w:sz w:val="28"/>
          <w:szCs w:val="28"/>
          <w:lang w:eastAsia="zh-CN" w:bidi="ar"/>
        </w:rPr>
        <w:t>信息保护</w:t>
      </w:r>
      <w:r>
        <w:rPr>
          <w:rFonts w:hint="eastAsia" w:ascii="仿宋_GB2312" w:hAnsi="仿宋_GB2312" w:eastAsia="仿宋_GB2312" w:cs="仿宋_GB2312"/>
          <w:b/>
          <w:color w:val="000000"/>
          <w:sz w:val="28"/>
          <w:szCs w:val="28"/>
          <w:lang w:eastAsia="zh-CN" w:bidi="ar"/>
        </w:rPr>
        <w:t>管理</w:t>
      </w:r>
    </w:p>
    <w:p>
      <w:pPr>
        <w:pStyle w:val="16"/>
        <w:keepNext w:val="0"/>
        <w:keepLines w:val="0"/>
        <w:widowControl/>
        <w:suppressLineNumbers w:val="0"/>
        <w:tabs>
          <w:tab w:val="center" w:pos="4201"/>
          <w:tab w:val="right" w:leader="dot" w:pos="9298"/>
        </w:tabs>
        <w:autoSpaceDE w:val="0"/>
        <w:autoSpaceDN w:val="0"/>
        <w:spacing w:before="156" w:beforeLines="50" w:beforeAutospacing="0" w:after="0" w:afterAutospacing="0" w:line="300" w:lineRule="auto"/>
        <w:ind w:left="0" w:right="0" w:firstLine="560" w:firstLineChars="200"/>
        <w:jc w:val="both"/>
        <w:rPr>
          <w:rFonts w:hint="eastAsia" w:ascii="仿宋_GB2312" w:eastAsia="仿宋_GB2312" w:cs="仿宋_GB2312"/>
          <w:kern w:val="2"/>
          <w:sz w:val="28"/>
          <w:szCs w:val="28"/>
        </w:rPr>
      </w:pPr>
      <w:r>
        <w:rPr>
          <w:rFonts w:hint="eastAsia" w:ascii="仿宋_GB2312" w:hAnsi="宋体" w:eastAsia="仿宋_GB2312" w:cs="仿宋_GB2312"/>
          <w:kern w:val="2"/>
          <w:sz w:val="28"/>
          <w:szCs w:val="28"/>
          <w:lang w:val="en-US" w:eastAsia="zh-CN" w:bidi="ar"/>
        </w:rPr>
        <w:t>项目参与人员与广医附属番禺中心医院签署</w:t>
      </w:r>
      <w:r>
        <w:rPr>
          <w:rFonts w:hint="default" w:ascii="仿宋_GB2312" w:hAnsi="宋体" w:eastAsia="仿宋_GB2312" w:cs="仿宋_GB2312"/>
          <w:kern w:val="2"/>
          <w:sz w:val="28"/>
          <w:szCs w:val="28"/>
          <w:lang w:eastAsia="zh-CN" w:bidi="ar"/>
        </w:rPr>
        <w:t>信息保护</w:t>
      </w:r>
      <w:r>
        <w:rPr>
          <w:rFonts w:hint="eastAsia" w:ascii="仿宋_GB2312" w:hAnsi="宋体" w:eastAsia="仿宋_GB2312" w:cs="仿宋_GB2312"/>
          <w:kern w:val="2"/>
          <w:sz w:val="28"/>
          <w:szCs w:val="28"/>
          <w:lang w:val="en-US" w:eastAsia="zh-CN" w:bidi="ar"/>
        </w:rPr>
        <w:t>协议，严格遵守信息安全规定，自觉保守信息资源秘密。项目成果以及方便项目实施所提供的相关资料文档，实施过程中所产生的资料、文档、数据、相关附属品均属于信息资源，应保证这些信息在项目期间及项目完成后规定时间内的安全。建立并实际运行项目进展期间的信息安全管理规范，以确保项目启动、实施及完成后的信息安全。</w:t>
      </w:r>
    </w:p>
    <w:p>
      <w:pPr>
        <w:pStyle w:val="43"/>
        <w:widowControl/>
        <w:ind w:firstLine="0" w:firstLineChars="0"/>
        <w:rPr>
          <w:rFonts w:hint="default" w:ascii="仿宋_GB2312" w:hAnsi="仿宋" w:eastAsia="仿宋_GB2312" w:cs="仿宋_GB2312"/>
          <w:color w:val="000000"/>
          <w:sz w:val="28"/>
          <w:szCs w:val="28"/>
          <w:lang w:eastAsia="zh-CN"/>
        </w:rPr>
      </w:pPr>
    </w:p>
    <w:p>
      <w:pPr>
        <w:pStyle w:val="2"/>
        <w:numPr>
          <w:ilvl w:val="-1"/>
          <w:numId w:val="0"/>
        </w:numP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六、服务内容</w:t>
      </w:r>
    </w:p>
    <w:p>
      <w:pPr>
        <w:pStyle w:val="3"/>
        <w:numPr>
          <w:ilvl w:val="1"/>
          <w:numId w:val="3"/>
        </w:numPr>
        <w:rPr>
          <w:rFonts w:hint="eastAsia"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服务清单</w:t>
      </w:r>
    </w:p>
    <w:p>
      <w:pPr>
        <w:keepNext w:val="0"/>
        <w:keepLines w:val="0"/>
        <w:widowControl/>
        <w:suppressLineNumbers w:val="0"/>
        <w:snapToGrid w:val="0"/>
        <w:spacing w:before="156" w:beforeLines="50" w:beforeAutospacing="0" w:after="0" w:afterAutospacing="0" w:line="360" w:lineRule="auto"/>
        <w:ind w:left="0" w:right="0" w:firstLine="0"/>
        <w:jc w:val="both"/>
        <w:rPr>
          <w:rFonts w:hint="eastAsia" w:ascii="宋体" w:hAnsi="宋体" w:eastAsia="宋体" w:cs="Times New Roman"/>
          <w:color w:val="000000"/>
          <w:kern w:val="2"/>
          <w:sz w:val="24"/>
          <w:szCs w:val="24"/>
        </w:rPr>
      </w:pPr>
      <w:r>
        <w:rPr>
          <w:rFonts w:hint="eastAsia" w:ascii="宋体" w:hAnsi="宋体" w:eastAsia="宋体" w:cs="宋体"/>
          <w:color w:val="000000"/>
          <w:kern w:val="2"/>
          <w:sz w:val="24"/>
          <w:szCs w:val="24"/>
          <w:lang w:val="en-US" w:eastAsia="zh-CN" w:bidi="ar"/>
        </w:rPr>
        <w:t>产品：态势感知平台</w:t>
      </w:r>
    </w:p>
    <w:p>
      <w:pPr>
        <w:keepNext w:val="0"/>
        <w:keepLines w:val="0"/>
        <w:widowControl/>
        <w:suppressLineNumbers w:val="0"/>
        <w:snapToGrid w:val="0"/>
        <w:spacing w:before="156" w:beforeLines="50" w:beforeAutospacing="0" w:after="0" w:afterAutospacing="0" w:line="360" w:lineRule="auto"/>
        <w:ind w:left="0" w:right="0" w:firstLine="0"/>
        <w:jc w:val="both"/>
        <w:rPr>
          <w:rFonts w:hint="eastAsia" w:ascii="宋体" w:hAnsi="宋体" w:eastAsia="宋体" w:cs="Times New Roman"/>
          <w:color w:val="000000"/>
          <w:kern w:val="2"/>
          <w:sz w:val="24"/>
          <w:szCs w:val="24"/>
        </w:rPr>
      </w:pPr>
      <w:r>
        <w:rPr>
          <w:rFonts w:hint="eastAsia" w:ascii="宋体" w:hAnsi="宋体" w:eastAsia="宋体" w:cs="宋体"/>
          <w:color w:val="000000"/>
          <w:kern w:val="2"/>
          <w:sz w:val="24"/>
          <w:szCs w:val="24"/>
          <w:lang w:val="en-US" w:eastAsia="zh-CN" w:bidi="ar"/>
        </w:rPr>
        <w:t>品牌：安恒</w:t>
      </w:r>
    </w:p>
    <w:p>
      <w:pPr>
        <w:keepNext w:val="0"/>
        <w:keepLines w:val="0"/>
        <w:widowControl/>
        <w:numPr>
          <w:ilvl w:val="0"/>
          <w:numId w:val="4"/>
        </w:numPr>
        <w:suppressLineNumbers w:val="0"/>
        <w:snapToGrid w:val="0"/>
        <w:spacing w:before="156" w:beforeLines="50" w:beforeAutospacing="0" w:after="0" w:afterAutospacing="0" w:line="360" w:lineRule="auto"/>
        <w:ind w:left="0" w:right="0" w:firstLine="0"/>
        <w:jc w:val="both"/>
        <w:rPr>
          <w:rFonts w:hint="eastAsia" w:ascii="宋体" w:hAnsi="宋体" w:eastAsia="宋体" w:cs="Times New Roman"/>
          <w:color w:val="000000"/>
          <w:kern w:val="2"/>
          <w:sz w:val="24"/>
          <w:szCs w:val="24"/>
        </w:rPr>
      </w:pPr>
      <w:r>
        <w:rPr>
          <w:rFonts w:hint="eastAsia" w:ascii="宋体" w:hAnsi="宋体" w:eastAsia="宋体" w:cs="宋体"/>
          <w:color w:val="000000"/>
          <w:kern w:val="2"/>
          <w:sz w:val="24"/>
          <w:szCs w:val="24"/>
          <w:lang w:val="en-US" w:eastAsia="zh-CN" w:bidi="ar"/>
        </w:rPr>
        <w:t>平台续保</w:t>
      </w:r>
      <w:r>
        <w:rPr>
          <w:rFonts w:hint="default" w:ascii="宋体" w:hAnsi="宋体" w:eastAsia="宋体" w:cs="宋体"/>
          <w:color w:val="000000"/>
          <w:kern w:val="2"/>
          <w:sz w:val="24"/>
          <w:szCs w:val="24"/>
          <w:lang w:eastAsia="zh-CN" w:bidi="ar"/>
        </w:rPr>
        <w:t>维护</w:t>
      </w:r>
    </w:p>
    <w:p>
      <w:pPr>
        <w:keepNext w:val="0"/>
        <w:keepLines w:val="0"/>
        <w:widowControl/>
        <w:suppressLineNumbers w:val="0"/>
        <w:snapToGrid w:val="0"/>
        <w:spacing w:before="156" w:beforeLines="50" w:beforeAutospacing="0" w:after="0" w:afterAutospacing="0" w:line="360" w:lineRule="auto"/>
        <w:ind w:left="0" w:right="0" w:firstLine="480" w:firstLineChars="200"/>
        <w:jc w:val="both"/>
        <w:rPr>
          <w:rFonts w:hint="default" w:ascii="宋体" w:hAnsi="宋体" w:eastAsia="宋体" w:cs="宋体"/>
          <w:color w:val="000000"/>
          <w:kern w:val="0"/>
          <w:sz w:val="24"/>
          <w:szCs w:val="24"/>
          <w:lang w:eastAsia="zh-CN" w:bidi="ar"/>
        </w:rPr>
      </w:pPr>
      <w:r>
        <w:rPr>
          <w:rFonts w:hint="eastAsia" w:ascii="宋体" w:hAnsi="宋体" w:eastAsia="宋体" w:cs="宋体"/>
          <w:color w:val="000000"/>
          <w:kern w:val="2"/>
          <w:sz w:val="24"/>
          <w:szCs w:val="24"/>
          <w:lang w:val="en-US" w:eastAsia="zh-CN" w:bidi="ar"/>
        </w:rPr>
        <w:t>续保后平台能够获得特征库升级的权限</w:t>
      </w:r>
      <w:r>
        <w:rPr>
          <w:rFonts w:hint="eastAsia" w:ascii="宋体" w:hAnsi="宋体" w:eastAsia="宋体" w:cs="宋体"/>
          <w:color w:val="000000"/>
          <w:kern w:val="0"/>
          <w:sz w:val="24"/>
          <w:szCs w:val="24"/>
          <w:lang w:val="en-US" w:eastAsia="zh-CN" w:bidi="ar"/>
        </w:rPr>
        <w:t>及原厂400技术支持。并提供硬件</w:t>
      </w:r>
      <w:r>
        <w:rPr>
          <w:rFonts w:hint="default" w:ascii="宋体" w:hAnsi="宋体" w:eastAsia="宋体" w:cs="宋体"/>
          <w:color w:val="000000"/>
          <w:kern w:val="0"/>
          <w:sz w:val="24"/>
          <w:szCs w:val="24"/>
          <w:lang w:eastAsia="zh-CN" w:bidi="ar"/>
        </w:rPr>
        <w:t>故障维修服务。</w:t>
      </w:r>
    </w:p>
    <w:p>
      <w:pPr>
        <w:keepNext w:val="0"/>
        <w:keepLines w:val="0"/>
        <w:widowControl/>
        <w:suppressLineNumbers w:val="0"/>
        <w:snapToGrid w:val="0"/>
        <w:spacing w:before="156" w:beforeLines="50" w:beforeAutospacing="0" w:after="0" w:afterAutospacing="0" w:line="360" w:lineRule="auto"/>
        <w:ind w:left="0" w:right="0" w:firstLine="480" w:firstLineChars="200"/>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以下为态势感知平台所提供的功能和模块，续保后的平台应具备相应的功能和模块：</w:t>
      </w:r>
    </w:p>
    <w:p>
      <w:pPr>
        <w:keepNext w:val="0"/>
        <w:keepLines w:val="0"/>
        <w:widowControl/>
        <w:suppressLineNumbers w:val="0"/>
        <w:snapToGrid w:val="0"/>
        <w:spacing w:before="156" w:beforeLines="50" w:beforeAutospacing="0" w:after="0" w:afterAutospacing="0" w:line="360" w:lineRule="auto"/>
        <w:ind w:left="0" w:right="0" w:firstLine="42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1）基于实时流数据为用户提供安全分析能力和风险告警及多维度可视化展示。为企业安全提供决策依据、提高企业信息安全的纵深防御能力。包含以下引擎和模块：</w:t>
      </w:r>
    </w:p>
    <w:p>
      <w:pPr>
        <w:keepNext w:val="0"/>
        <w:keepLines w:val="0"/>
        <w:widowControl/>
        <w:numPr>
          <w:ilvl w:val="0"/>
          <w:numId w:val="5"/>
        </w:numPr>
        <w:suppressLineNumbers w:val="0"/>
        <w:snapToGrid w:val="0"/>
        <w:spacing w:before="156" w:beforeLines="50" w:beforeAutospacing="0" w:after="0" w:afterAutospacing="0" w:line="360" w:lineRule="auto"/>
        <w:ind w:left="0" w:right="0" w:firstLine="4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智能化威胁检测引擎</w:t>
      </w:r>
    </w:p>
    <w:p>
      <w:pPr>
        <w:keepNext w:val="0"/>
        <w:keepLines w:val="0"/>
        <w:widowControl/>
        <w:numPr>
          <w:ilvl w:val="0"/>
          <w:numId w:val="5"/>
        </w:numPr>
        <w:suppressLineNumbers w:val="0"/>
        <w:snapToGrid w:val="0"/>
        <w:spacing w:before="156" w:beforeLines="50" w:beforeAutospacing="0" w:after="0" w:afterAutospacing="0" w:line="360" w:lineRule="auto"/>
        <w:ind w:left="0" w:right="0" w:firstLine="4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多维度攻击溯源引擎</w:t>
      </w:r>
    </w:p>
    <w:p>
      <w:pPr>
        <w:keepNext w:val="0"/>
        <w:keepLines w:val="0"/>
        <w:widowControl/>
        <w:numPr>
          <w:ilvl w:val="0"/>
          <w:numId w:val="5"/>
        </w:numPr>
        <w:suppressLineNumbers w:val="0"/>
        <w:snapToGrid w:val="0"/>
        <w:spacing w:before="156" w:beforeLines="50" w:beforeAutospacing="0" w:after="0" w:afterAutospacing="0" w:line="360" w:lineRule="auto"/>
        <w:ind w:left="0" w:right="0" w:firstLine="4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场景化威胁感知引擎</w:t>
      </w:r>
    </w:p>
    <w:p>
      <w:pPr>
        <w:keepNext w:val="0"/>
        <w:keepLines w:val="0"/>
        <w:widowControl/>
        <w:numPr>
          <w:ilvl w:val="0"/>
          <w:numId w:val="5"/>
        </w:numPr>
        <w:suppressLineNumbers w:val="0"/>
        <w:snapToGrid w:val="0"/>
        <w:spacing w:before="156" w:beforeLines="50" w:beforeAutospacing="0" w:after="0" w:afterAutospacing="0" w:line="360" w:lineRule="auto"/>
        <w:ind w:left="0" w:right="0" w:firstLine="4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集成化联动响应引擎</w:t>
      </w:r>
    </w:p>
    <w:p>
      <w:pPr>
        <w:keepNext w:val="0"/>
        <w:keepLines w:val="0"/>
        <w:widowControl/>
        <w:numPr>
          <w:ilvl w:val="0"/>
          <w:numId w:val="5"/>
        </w:numPr>
        <w:suppressLineNumbers w:val="0"/>
        <w:snapToGrid w:val="0"/>
        <w:spacing w:before="156" w:beforeLines="50" w:beforeAutospacing="0" w:after="0" w:afterAutospacing="0" w:line="360" w:lineRule="auto"/>
        <w:ind w:left="0" w:right="0" w:firstLine="4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启发式威胁狩猎引擎</w:t>
      </w:r>
    </w:p>
    <w:p>
      <w:pPr>
        <w:keepNext w:val="0"/>
        <w:keepLines w:val="0"/>
        <w:widowControl/>
        <w:numPr>
          <w:ilvl w:val="0"/>
          <w:numId w:val="5"/>
        </w:numPr>
        <w:suppressLineNumbers w:val="0"/>
        <w:snapToGrid w:val="0"/>
        <w:spacing w:before="156" w:beforeLines="50" w:beforeAutospacing="0" w:after="0" w:afterAutospacing="0" w:line="360" w:lineRule="auto"/>
        <w:ind w:left="0" w:right="0" w:firstLine="4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安全运营工作台模块</w:t>
      </w:r>
    </w:p>
    <w:p>
      <w:pPr>
        <w:keepNext w:val="0"/>
        <w:keepLines w:val="0"/>
        <w:widowControl/>
        <w:numPr>
          <w:ilvl w:val="0"/>
          <w:numId w:val="5"/>
        </w:numPr>
        <w:suppressLineNumbers w:val="0"/>
        <w:snapToGrid w:val="0"/>
        <w:spacing w:before="156" w:beforeLines="50" w:beforeAutospacing="0" w:after="0" w:afterAutospacing="0" w:line="360" w:lineRule="auto"/>
        <w:ind w:left="0" w:right="0" w:firstLine="4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可视化模型编排引擎</w:t>
      </w:r>
    </w:p>
    <w:p>
      <w:pPr>
        <w:keepNext w:val="0"/>
        <w:keepLines w:val="0"/>
        <w:widowControl/>
        <w:numPr>
          <w:ilvl w:val="0"/>
          <w:numId w:val="5"/>
        </w:numPr>
        <w:suppressLineNumbers w:val="0"/>
        <w:snapToGrid w:val="0"/>
        <w:spacing w:before="156" w:beforeLines="50" w:beforeAutospacing="0" w:after="0" w:afterAutospacing="0" w:line="360" w:lineRule="auto"/>
        <w:ind w:left="0" w:right="0" w:firstLine="4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多租户运营管理模块</w:t>
      </w:r>
    </w:p>
    <w:p>
      <w:pPr>
        <w:keepNext w:val="0"/>
        <w:keepLines w:val="0"/>
        <w:widowControl/>
        <w:numPr>
          <w:ilvl w:val="0"/>
          <w:numId w:val="5"/>
        </w:numPr>
        <w:suppressLineNumbers w:val="0"/>
        <w:snapToGrid w:val="0"/>
        <w:spacing w:before="156" w:beforeLines="50" w:beforeAutospacing="0" w:after="0" w:afterAutospacing="0" w:line="360" w:lineRule="auto"/>
        <w:ind w:left="0" w:right="0" w:firstLine="4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重大活动保障模块</w:t>
      </w:r>
    </w:p>
    <w:p>
      <w:pPr>
        <w:keepNext w:val="0"/>
        <w:keepLines w:val="0"/>
        <w:widowControl/>
        <w:numPr>
          <w:ilvl w:val="0"/>
          <w:numId w:val="5"/>
        </w:numPr>
        <w:suppressLineNumbers w:val="0"/>
        <w:snapToGrid w:val="0"/>
        <w:spacing w:before="156" w:beforeLines="50" w:beforeAutospacing="0" w:after="0" w:afterAutospacing="0" w:line="360" w:lineRule="auto"/>
        <w:ind w:left="0" w:right="0" w:firstLine="4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资产管理模块</w:t>
      </w:r>
    </w:p>
    <w:p>
      <w:pPr>
        <w:keepNext w:val="0"/>
        <w:keepLines w:val="0"/>
        <w:widowControl/>
        <w:numPr>
          <w:ilvl w:val="0"/>
          <w:numId w:val="6"/>
        </w:numPr>
        <w:suppressLineNumbers w:val="0"/>
        <w:snapToGrid w:val="0"/>
        <w:spacing w:before="156" w:beforeLines="50" w:beforeAutospacing="0" w:after="0" w:afterAutospacing="0" w:line="360" w:lineRule="auto"/>
        <w:ind w:left="0" w:right="0" w:firstLine="42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提供大数据分析和计算能力，包括基础大数据计算模块和分布式事件处理模块。支持横向平滑扩展，可以通过增加硬件服务器数量的方式增加平台集群的计算处理性能。包含以下引擎：</w:t>
      </w:r>
    </w:p>
    <w:p>
      <w:pPr>
        <w:keepNext w:val="0"/>
        <w:keepLines w:val="0"/>
        <w:widowControl/>
        <w:numPr>
          <w:ilvl w:val="0"/>
          <w:numId w:val="7"/>
        </w:numPr>
        <w:suppressLineNumbers w:val="0"/>
        <w:snapToGrid w:val="0"/>
        <w:spacing w:before="156" w:beforeLines="50" w:beforeAutospacing="0" w:after="0" w:afterAutospacing="0" w:line="360" w:lineRule="auto"/>
        <w:ind w:left="0" w:right="0" w:firstLine="4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BaaS 大数据平台</w:t>
      </w:r>
    </w:p>
    <w:p>
      <w:pPr>
        <w:keepNext w:val="0"/>
        <w:keepLines w:val="0"/>
        <w:widowControl/>
        <w:numPr>
          <w:ilvl w:val="0"/>
          <w:numId w:val="7"/>
        </w:numPr>
        <w:suppressLineNumbers w:val="0"/>
        <w:snapToGrid w:val="0"/>
        <w:spacing w:before="156" w:beforeLines="50" w:beforeAutospacing="0" w:after="0" w:afterAutospacing="0" w:line="360" w:lineRule="auto"/>
        <w:ind w:left="0" w:right="0" w:firstLine="4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CDPS 分布式复杂事件处理引擎</w:t>
      </w:r>
    </w:p>
    <w:p>
      <w:pPr>
        <w:keepNext w:val="0"/>
        <w:keepLines w:val="0"/>
        <w:widowControl/>
        <w:numPr>
          <w:ilvl w:val="0"/>
          <w:numId w:val="6"/>
        </w:numPr>
        <w:suppressLineNumbers w:val="0"/>
        <w:snapToGrid w:val="0"/>
        <w:spacing w:before="156" w:beforeLines="50" w:beforeAutospacing="0" w:after="0" w:afterAutospacing="0" w:line="360" w:lineRule="auto"/>
        <w:ind w:left="0" w:right="0" w:firstLine="42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其他功能：</w:t>
      </w:r>
    </w:p>
    <w:p>
      <w:pPr>
        <w:keepNext w:val="0"/>
        <w:keepLines w:val="0"/>
        <w:widowControl/>
        <w:numPr>
          <w:ilvl w:val="0"/>
          <w:numId w:val="8"/>
        </w:numPr>
        <w:suppressLineNumbers w:val="0"/>
        <w:snapToGrid w:val="0"/>
        <w:spacing w:before="156" w:beforeLines="50" w:beforeAutospacing="0" w:after="0" w:afterAutospacing="0" w:line="360" w:lineRule="auto"/>
        <w:ind w:left="0" w:right="0" w:firstLine="4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内置威胁情报订阅模块的能力，帮助产品实现实时定位、预警、降噪以及分析威胁趋势；</w:t>
      </w:r>
    </w:p>
    <w:p>
      <w:pPr>
        <w:keepNext w:val="0"/>
        <w:keepLines w:val="0"/>
        <w:widowControl/>
        <w:numPr>
          <w:ilvl w:val="0"/>
          <w:numId w:val="8"/>
        </w:numPr>
        <w:suppressLineNumbers w:val="0"/>
        <w:snapToGrid w:val="0"/>
        <w:spacing w:before="156" w:beforeLines="50" w:beforeAutospacing="0" w:after="0" w:afterAutospacing="0" w:line="360" w:lineRule="auto"/>
        <w:ind w:left="0" w:right="0" w:firstLine="4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支持在线和离线更新威胁情报数据；</w:t>
      </w:r>
    </w:p>
    <w:p>
      <w:pPr>
        <w:keepNext w:val="0"/>
        <w:keepLines w:val="0"/>
        <w:widowControl/>
        <w:numPr>
          <w:ilvl w:val="0"/>
          <w:numId w:val="8"/>
        </w:numPr>
        <w:suppressLineNumbers w:val="0"/>
        <w:snapToGrid w:val="0"/>
        <w:spacing w:before="156" w:beforeLines="50" w:beforeAutospacing="0" w:after="0" w:afterAutospacing="0" w:line="360" w:lineRule="auto"/>
        <w:ind w:left="0" w:right="0" w:firstLine="4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支持在平台中在线查询情报(如IP/域名)，查询结果包括：威胁类型、情报来源、WHOIS、开放端口、关联情报、SSL证书、样本分析等多个维度的溯源结果；</w:t>
      </w:r>
    </w:p>
    <w:p>
      <w:pPr>
        <w:keepNext w:val="0"/>
        <w:keepLines w:val="0"/>
        <w:widowControl/>
        <w:numPr>
          <w:ilvl w:val="0"/>
          <w:numId w:val="8"/>
        </w:numPr>
        <w:suppressLineNumbers w:val="0"/>
        <w:snapToGrid w:val="0"/>
        <w:spacing w:before="156" w:beforeLines="50" w:beforeAutospacing="0" w:after="0" w:afterAutospacing="0" w:line="360" w:lineRule="auto"/>
        <w:ind w:left="0" w:right="0" w:firstLine="400"/>
        <w:jc w:val="both"/>
        <w:rPr>
          <w:rFonts w:hint="eastAsia" w:ascii="宋体" w:hAnsi="宋体" w:eastAsia="宋体" w:cs="宋体"/>
          <w:color w:val="000000"/>
          <w:kern w:val="2"/>
          <w:sz w:val="24"/>
          <w:szCs w:val="24"/>
        </w:rPr>
      </w:pPr>
      <w:r>
        <w:rPr>
          <w:rFonts w:hint="default" w:ascii="宋体" w:hAnsi="宋体" w:eastAsia="宋体" w:cs="宋体"/>
          <w:color w:val="000000"/>
          <w:kern w:val="2"/>
          <w:sz w:val="24"/>
          <w:szCs w:val="24"/>
          <w:lang w:eastAsia="zh-CN" w:bidi="ar"/>
        </w:rPr>
        <w:t>威胁情报云端能力</w:t>
      </w:r>
      <w:r>
        <w:rPr>
          <w:rFonts w:hint="eastAsia" w:ascii="宋体" w:hAnsi="宋体" w:eastAsia="宋体" w:cs="宋体"/>
          <w:color w:val="000000"/>
          <w:kern w:val="2"/>
          <w:sz w:val="24"/>
          <w:szCs w:val="24"/>
        </w:rPr>
        <w:t>提供海量的威胁情报数据、持续更新IP情报、域名情报、哈希情报、漏洞情报、APT情报、事件情报等。</w:t>
      </w:r>
    </w:p>
    <w:p>
      <w:pPr>
        <w:keepNext w:val="0"/>
        <w:keepLines w:val="0"/>
        <w:widowControl/>
        <w:numPr>
          <w:ilvl w:val="-1"/>
          <w:numId w:val="0"/>
        </w:numPr>
        <w:suppressLineNumbers w:val="0"/>
        <w:snapToGrid w:val="0"/>
        <w:spacing w:before="156" w:beforeLines="50" w:beforeAutospacing="0" w:after="0" w:afterAutospacing="0" w:line="360" w:lineRule="auto"/>
        <w:ind w:left="0" w:right="0" w:firstLine="0"/>
        <w:jc w:val="both"/>
        <w:rPr>
          <w:rFonts w:hint="eastAsia" w:ascii="宋体" w:hAnsi="宋体" w:eastAsia="宋体" w:cs="宋体"/>
          <w:color w:val="000000"/>
          <w:kern w:val="2"/>
          <w:sz w:val="24"/>
          <w:szCs w:val="24"/>
        </w:rPr>
      </w:pPr>
    </w:p>
    <w:p>
      <w:pPr>
        <w:keepNext w:val="0"/>
        <w:keepLines w:val="0"/>
        <w:widowControl/>
        <w:suppressLineNumbers w:val="0"/>
        <w:snapToGrid w:val="0"/>
        <w:spacing w:before="156" w:beforeLines="50" w:beforeAutospacing="0" w:after="0" w:afterAutospacing="0" w:line="360" w:lineRule="auto"/>
        <w:ind w:left="0" w:right="0" w:firstLine="0"/>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2.AI版本迭代升级服务</w:t>
      </w:r>
    </w:p>
    <w:p>
      <w:pPr>
        <w:keepNext w:val="0"/>
        <w:keepLines w:val="0"/>
        <w:widowControl/>
        <w:suppressLineNumbers w:val="0"/>
        <w:snapToGrid w:val="0"/>
        <w:spacing w:before="156" w:beforeLines="50" w:beforeAutospacing="0" w:after="0" w:afterAutospacing="0" w:line="360" w:lineRule="auto"/>
        <w:ind w:left="0" w:right="0" w:firstLine="480" w:firstLineChars="200"/>
        <w:jc w:val="both"/>
        <w:rPr>
          <w:rFonts w:hint="eastAsia" w:ascii="宋体" w:hAnsi="宋体" w:eastAsia="宋体" w:cs="Times New Roman"/>
          <w:color w:val="000000"/>
          <w:kern w:val="2"/>
          <w:sz w:val="24"/>
          <w:szCs w:val="24"/>
        </w:rPr>
      </w:pPr>
      <w:r>
        <w:rPr>
          <w:rFonts w:hint="eastAsia" w:ascii="宋体" w:hAnsi="宋体" w:eastAsia="宋体" w:cs="宋体"/>
          <w:color w:val="000000"/>
          <w:kern w:val="2"/>
          <w:sz w:val="24"/>
          <w:szCs w:val="24"/>
          <w:lang w:val="en-US" w:eastAsia="zh-CN" w:bidi="ar"/>
        </w:rPr>
        <w:t>对态势感知平台进行版本升级，获取恒脑模块授权，并更新最新的功能包，使得平台支持AI“恒脑”对接及联动。</w:t>
      </w:r>
    </w:p>
    <w:p>
      <w:pPr>
        <w:keepNext w:val="0"/>
        <w:keepLines w:val="0"/>
        <w:widowControl/>
        <w:numPr>
          <w:ilvl w:val="-1"/>
          <w:numId w:val="0"/>
        </w:numPr>
        <w:suppressLineNumbers w:val="0"/>
        <w:snapToGrid w:val="0"/>
        <w:spacing w:before="156" w:beforeLines="50" w:beforeAutospacing="0" w:after="0" w:afterAutospacing="0" w:line="360" w:lineRule="auto"/>
        <w:ind w:left="0" w:right="0" w:firstLine="0"/>
        <w:jc w:val="both"/>
        <w:rPr>
          <w:rFonts w:hint="eastAsia" w:ascii="宋体" w:hAnsi="宋体" w:eastAsia="宋体" w:cs="宋体"/>
          <w:color w:val="000000"/>
          <w:kern w:val="2"/>
          <w:sz w:val="24"/>
          <w:szCs w:val="24"/>
        </w:rPr>
      </w:pPr>
    </w:p>
    <w:p/>
    <w:p>
      <w:pPr>
        <w:pStyle w:val="3"/>
        <w:numPr>
          <w:ilvl w:val="1"/>
          <w:numId w:val="3"/>
        </w:numPr>
        <w:rPr>
          <w:rFonts w:hint="eastAsia"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服务期限</w:t>
      </w:r>
    </w:p>
    <w:p>
      <w:pPr>
        <w:widowControl/>
        <w:autoSpaceDN w:val="0"/>
        <w:snapToGrid w:val="0"/>
        <w:spacing w:before="156" w:beforeLines="50" w:line="360" w:lineRule="auto"/>
        <w:ind w:left="420"/>
        <w:rPr>
          <w:rFonts w:ascii="宋体" w:hAnsi="宋体" w:eastAsia="宋体"/>
          <w:color w:val="000000" w:themeColor="text1"/>
          <w:sz w:val="24"/>
          <w14:textFill>
            <w14:solidFill>
              <w14:schemeClr w14:val="tx1"/>
            </w14:solidFill>
          </w14:textFill>
        </w:rPr>
      </w:pPr>
      <w:r>
        <w:rPr>
          <w:rFonts w:hint="default" w:ascii="宋体" w:hAnsi="宋体" w:eastAsia="宋体"/>
          <w:color w:val="000000" w:themeColor="text1"/>
          <w:sz w:val="24"/>
          <w14:textFill>
            <w14:solidFill>
              <w14:schemeClr w14:val="tx1"/>
            </w14:solidFill>
          </w14:textFill>
        </w:rPr>
        <w:t>合同签订开始之日起</w:t>
      </w:r>
      <w:r>
        <w:rPr>
          <w:rFonts w:hint="eastAsia" w:ascii="宋体" w:hAnsi="宋体" w:eastAsia="宋体"/>
          <w:color w:val="000000" w:themeColor="text1"/>
          <w:sz w:val="24"/>
          <w14:textFill>
            <w14:solidFill>
              <w14:schemeClr w14:val="tx1"/>
            </w14:solidFill>
          </w14:textFill>
        </w:rPr>
        <w:t>3年。</w:t>
      </w:r>
    </w:p>
    <w:p>
      <w:pPr>
        <w:pStyle w:val="3"/>
        <w:widowControl/>
        <w:numPr>
          <w:ilvl w:val="1"/>
          <w:numId w:val="3"/>
        </w:numPr>
        <w:autoSpaceDN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b/>
          <w:bCs/>
          <w:color w:val="000000" w:themeColor="text1"/>
          <w:sz w:val="24"/>
          <w:szCs w:val="24"/>
          <w14:textFill>
            <w14:solidFill>
              <w14:schemeClr w14:val="tx1"/>
            </w14:solidFill>
          </w14:textFill>
        </w:rPr>
        <w:t>服务要求</w:t>
      </w:r>
    </w:p>
    <w:p>
      <w:pPr>
        <w:keepNext w:val="0"/>
        <w:keepLines w:val="0"/>
        <w:widowControl/>
        <w:numPr>
          <w:ilvl w:val="0"/>
          <w:numId w:val="9"/>
        </w:numPr>
        <w:suppressLineNumbers w:val="0"/>
        <w:snapToGrid w:val="0"/>
        <w:spacing w:before="0" w:beforeAutospacing="0" w:after="0" w:afterAutospacing="0" w:line="360" w:lineRule="auto"/>
        <w:ind w:left="420" w:right="0" w:hanging="420"/>
        <w:jc w:val="both"/>
        <w:rPr>
          <w:rFonts w:hint="eastAsia" w:ascii="宋体" w:hAnsi="宋体" w:eastAsia="宋体" w:cs="Times New Roman"/>
          <w:color w:val="000000"/>
          <w:kern w:val="2"/>
          <w:sz w:val="24"/>
          <w:szCs w:val="24"/>
        </w:rPr>
      </w:pPr>
      <w:r>
        <w:rPr>
          <w:rFonts w:hint="eastAsia" w:ascii="宋体" w:hAnsi="宋体" w:eastAsia="宋体" w:cs="宋体"/>
          <w:color w:val="000000"/>
          <w:kern w:val="2"/>
          <w:sz w:val="24"/>
          <w:szCs w:val="24"/>
          <w:lang w:val="en-US" w:eastAsia="zh-CN" w:bidi="ar"/>
        </w:rPr>
        <w:t>应提供包含但不限于以下维保服务内容：</w:t>
      </w:r>
    </w:p>
    <w:p>
      <w:pPr>
        <w:keepNext w:val="0"/>
        <w:keepLines w:val="0"/>
        <w:widowControl/>
        <w:suppressLineNumbers w:val="0"/>
        <w:snapToGrid w:val="0"/>
        <w:spacing w:before="0" w:beforeAutospacing="0" w:after="0" w:afterAutospacing="0" w:line="360" w:lineRule="auto"/>
        <w:ind w:left="0" w:right="0" w:firstLine="0"/>
        <w:jc w:val="both"/>
        <w:rPr>
          <w:rFonts w:hint="eastAsia" w:ascii="宋体" w:hAnsi="宋体" w:eastAsia="宋体" w:cs="Times New Roman"/>
          <w:color w:val="000000"/>
          <w:kern w:val="2"/>
          <w:sz w:val="24"/>
          <w:szCs w:val="24"/>
        </w:rPr>
      </w:pPr>
      <w:r>
        <w:rPr>
          <w:rFonts w:hint="default" w:ascii="宋体" w:hAnsi="宋体" w:eastAsia="宋体" w:cs="宋体"/>
          <w:color w:val="000000"/>
          <w:kern w:val="0"/>
          <w:sz w:val="24"/>
          <w:szCs w:val="24"/>
          <w:lang w:eastAsia="zh-CN" w:bidi="ar"/>
        </w:rPr>
        <w:t xml:space="preserve">    </w:t>
      </w:r>
      <w:r>
        <w:rPr>
          <w:rFonts w:hint="eastAsia" w:ascii="宋体" w:hAnsi="宋体" w:eastAsia="宋体" w:cs="宋体"/>
          <w:color w:val="000000"/>
          <w:kern w:val="0"/>
          <w:sz w:val="24"/>
          <w:szCs w:val="24"/>
          <w:lang w:val="en-US" w:eastAsia="zh-CN" w:bidi="ar"/>
        </w:rPr>
        <w:t>硬件支持服务:态感平台现有硬件设施出现故障，导致平台无法提供服务时，中标人需在用户修复硬件后24小时内安排重新部署平台系统。（因现有硬件平台非安恒原厂硬件，中标人只提供平台应急响应支持，不承担故障设备外送维修费用）。</w:t>
      </w:r>
    </w:p>
    <w:p>
      <w:pPr>
        <w:widowControl/>
        <w:numPr>
          <w:ilvl w:val="-1"/>
          <w:numId w:val="0"/>
        </w:numPr>
        <w:autoSpaceDN w:val="0"/>
        <w:snapToGrid w:val="0"/>
        <w:spacing w:line="360" w:lineRule="auto"/>
        <w:ind w:left="0" w:firstLine="420"/>
        <w:rPr>
          <w:rFonts w:ascii="宋体" w:hAnsi="宋体" w:eastAsia="宋体"/>
          <w:color w:val="000000" w:themeColor="text1"/>
          <w:sz w:val="24"/>
          <w14:textFill>
            <w14:solidFill>
              <w14:schemeClr w14:val="tx1"/>
            </w14:solidFill>
          </w14:textFill>
        </w:rPr>
      </w:pPr>
      <w:r>
        <w:rPr>
          <w:rFonts w:hint="eastAsia" w:ascii="宋体" w:hAnsi="宋体" w:eastAsia="宋体" w:cs="宋体"/>
          <w:snapToGrid w:val="0"/>
          <w:color w:val="000000" w:themeColor="text1"/>
          <w:kern w:val="0"/>
          <w:sz w:val="24"/>
          <w14:textFill>
            <w14:solidFill>
              <w14:schemeClr w14:val="tx1"/>
            </w14:solidFill>
          </w14:textFill>
        </w:rPr>
        <w:t>软件升级服务：提供维保</w:t>
      </w:r>
      <w:r>
        <w:rPr>
          <w:rFonts w:hint="default" w:ascii="宋体" w:hAnsi="宋体" w:eastAsia="宋体" w:cs="宋体"/>
          <w:snapToGrid w:val="0"/>
          <w:color w:val="000000" w:themeColor="text1"/>
          <w:kern w:val="0"/>
          <w:sz w:val="24"/>
          <w14:textFill>
            <w14:solidFill>
              <w14:schemeClr w14:val="tx1"/>
            </w14:solidFill>
          </w14:textFill>
        </w:rPr>
        <w:t>平台</w:t>
      </w:r>
      <w:r>
        <w:rPr>
          <w:rFonts w:hint="eastAsia" w:ascii="宋体" w:hAnsi="宋体" w:eastAsia="宋体" w:cs="宋体"/>
          <w:snapToGrid w:val="0"/>
          <w:color w:val="000000" w:themeColor="text1"/>
          <w:kern w:val="0"/>
          <w:sz w:val="24"/>
          <w14:textFill>
            <w14:solidFill>
              <w14:schemeClr w14:val="tx1"/>
            </w14:solidFill>
          </w14:textFill>
        </w:rPr>
        <w:t>的版本升级、特征库的升级，软件系统的故障处理及原厂4</w:t>
      </w:r>
      <w:r>
        <w:rPr>
          <w:rFonts w:ascii="宋体" w:hAnsi="宋体" w:eastAsia="宋体" w:cs="宋体"/>
          <w:snapToGrid w:val="0"/>
          <w:color w:val="000000" w:themeColor="text1"/>
          <w:kern w:val="0"/>
          <w:sz w:val="24"/>
          <w14:textFill>
            <w14:solidFill>
              <w14:schemeClr w14:val="tx1"/>
            </w14:solidFill>
          </w14:textFill>
        </w:rPr>
        <w:t>00</w:t>
      </w:r>
      <w:r>
        <w:rPr>
          <w:rFonts w:hint="eastAsia" w:ascii="宋体" w:hAnsi="宋体" w:eastAsia="宋体" w:cs="宋体"/>
          <w:snapToGrid w:val="0"/>
          <w:color w:val="000000" w:themeColor="text1"/>
          <w:kern w:val="0"/>
          <w:sz w:val="24"/>
          <w14:textFill>
            <w14:solidFill>
              <w14:schemeClr w14:val="tx1"/>
            </w14:solidFill>
          </w14:textFill>
        </w:rPr>
        <w:t>技术支持。</w:t>
      </w:r>
    </w:p>
    <w:p>
      <w:pPr>
        <w:widowControl/>
        <w:numPr>
          <w:ilvl w:val="0"/>
          <w:numId w:val="10"/>
        </w:numPr>
        <w:autoSpaceDN w:val="0"/>
        <w:snapToGrid w:val="0"/>
        <w:spacing w:line="360" w:lineRule="auto"/>
        <w:ind w:left="0" w:firstLine="0" w:firstLineChars="0"/>
        <w:jc w:val="left"/>
        <w:rPr>
          <w:rFonts w:hint="default" w:ascii="宋体" w:hAnsi="宋体" w:eastAsia="宋体"/>
          <w:color w:val="000000" w:themeColor="text1"/>
          <w:sz w:val="24"/>
          <w:lang w:eastAsia="zh-CN"/>
          <w14:textFill>
            <w14:solidFill>
              <w14:schemeClr w14:val="tx1"/>
            </w14:solidFill>
          </w14:textFill>
        </w:rPr>
      </w:pPr>
      <w:r>
        <w:rPr>
          <w:rFonts w:hint="eastAsia" w:ascii="宋体" w:hAnsi="宋体" w:eastAsia="宋体" w:cs="宋体"/>
          <w:color w:val="000000"/>
          <w:kern w:val="2"/>
          <w:sz w:val="24"/>
          <w:szCs w:val="24"/>
        </w:rPr>
        <w:t>服务响应时间：维保设备如出现故障需要维护，由招标人以电话或短信、微信、QQ等方式通知中标人，中标人应7×24小时受理，30分钟内响应。若不能远程排障，中标人应委派</w:t>
      </w:r>
      <w:r>
        <w:rPr>
          <w:rFonts w:hint="default" w:ascii="宋体" w:hAnsi="宋体" w:eastAsia="宋体" w:cs="宋体"/>
          <w:color w:val="000000"/>
          <w:kern w:val="2"/>
          <w:sz w:val="24"/>
          <w:szCs w:val="24"/>
        </w:rPr>
        <w:t>熟悉服务器设备维修的</w:t>
      </w:r>
      <w:r>
        <w:rPr>
          <w:rFonts w:hint="eastAsia" w:ascii="宋体" w:hAnsi="宋体" w:eastAsia="宋体" w:cs="宋体"/>
          <w:color w:val="000000"/>
          <w:kern w:val="2"/>
          <w:sz w:val="24"/>
          <w:szCs w:val="24"/>
        </w:rPr>
        <w:t>工程师到现场排除故障，并保证所派人员在通知发出后2小时内到达现场。</w:t>
      </w:r>
    </w:p>
    <w:p>
      <w:pPr>
        <w:widowControl/>
        <w:numPr>
          <w:ilvl w:val="0"/>
          <w:numId w:val="10"/>
        </w:numPr>
        <w:autoSpaceDN w:val="0"/>
        <w:snapToGrid w:val="0"/>
        <w:spacing w:line="360" w:lineRule="auto"/>
        <w:ind w:left="0" w:firstLine="0" w:firstLineChars="0"/>
        <w:jc w:val="left"/>
        <w:rPr>
          <w:rFonts w:hint="default" w:ascii="宋体" w:hAnsi="宋体" w:eastAsia="宋体"/>
          <w:color w:val="000000" w:themeColor="text1"/>
          <w:sz w:val="24"/>
          <w:lang w:eastAsia="zh-CN"/>
          <w14:textFill>
            <w14:solidFill>
              <w14:schemeClr w14:val="tx1"/>
            </w14:solidFill>
          </w14:textFill>
        </w:rPr>
      </w:pPr>
      <w:r>
        <w:rPr>
          <w:rFonts w:hint="default" w:ascii="宋体" w:hAnsi="宋体" w:eastAsia="宋体"/>
          <w:color w:val="000000" w:themeColor="text1"/>
          <w:sz w:val="24"/>
          <w:lang w:eastAsia="zh-CN"/>
          <w14:textFill>
            <w14:solidFill>
              <w14:schemeClr w14:val="tx1"/>
            </w14:solidFill>
          </w14:textFill>
        </w:rPr>
        <w:t>平台升级后培训：向甲方使用人员进行平台升级后培训，并提交培训文件及操作手册。</w:t>
      </w:r>
    </w:p>
    <w:p>
      <w:pPr>
        <w:widowControl/>
        <w:numPr>
          <w:ilvl w:val="0"/>
          <w:numId w:val="0"/>
        </w:numPr>
        <w:autoSpaceDN w:val="0"/>
        <w:snapToGrid w:val="0"/>
        <w:spacing w:line="360" w:lineRule="auto"/>
        <w:jc w:val="both"/>
        <w:rPr>
          <w:rFonts w:hint="eastAsia" w:ascii="宋体" w:hAnsi="宋体" w:eastAsia="宋体"/>
          <w:color w:val="000000" w:themeColor="text1"/>
          <w:sz w:val="24"/>
          <w14:textFill>
            <w14:solidFill>
              <w14:schemeClr w14:val="tx1"/>
            </w14:solidFill>
          </w14:textFill>
        </w:rPr>
      </w:pPr>
    </w:p>
    <w:p>
      <w:pPr>
        <w:pStyle w:val="2"/>
        <w:numPr>
          <w:ilvl w:val="0"/>
          <w:numId w:val="0"/>
        </w:numPr>
        <w:rPr>
          <w:rFonts w:hint="eastAsia" w:ascii="仿宋_GB2312" w:hAnsi="仿宋_GB2312" w:eastAsia="仿宋_GB2312" w:cs="仿宋_GB2312"/>
          <w:b/>
          <w:bCs/>
          <w:sz w:val="28"/>
          <w:szCs w:val="28"/>
          <w:lang w:val="en-US" w:eastAsia="zh-CN"/>
        </w:rPr>
      </w:pPr>
      <w:r>
        <w:rPr>
          <w:rFonts w:hint="default" w:ascii="仿宋_GB2312" w:hAnsi="仿宋_GB2312" w:eastAsia="仿宋_GB2312" w:cs="仿宋_GB2312"/>
          <w:b/>
          <w:bCs/>
          <w:sz w:val="28"/>
          <w:szCs w:val="28"/>
          <w:lang w:eastAsia="zh-CN"/>
        </w:rPr>
        <w:t>七</w:t>
      </w:r>
      <w:r>
        <w:rPr>
          <w:rFonts w:hint="eastAsia" w:ascii="仿宋_GB2312" w:hAnsi="仿宋_GB2312" w:eastAsia="仿宋_GB2312" w:cs="仿宋_GB2312"/>
          <w:b/>
          <w:bCs/>
          <w:sz w:val="28"/>
          <w:szCs w:val="28"/>
          <w:lang w:val="en-US" w:eastAsia="zh-CN"/>
        </w:rPr>
        <w:t>、验收办法</w:t>
      </w:r>
    </w:p>
    <w:p>
      <w:pPr>
        <w:pStyle w:val="3"/>
        <w:numPr>
          <w:ilvl w:val="0"/>
          <w:numId w:val="0"/>
        </w:numPr>
        <w:ind w:leftChars="0"/>
        <w:rPr>
          <w:rFonts w:hint="eastAsia" w:ascii="仿宋_GB2312" w:hAnsi="仿宋_GB2312" w:eastAsia="仿宋_GB2312" w:cs="仿宋_GB2312"/>
          <w:b/>
          <w:bCs/>
          <w:color w:val="000000" w:themeColor="text1"/>
          <w:sz w:val="24"/>
          <w:szCs w:val="24"/>
          <w:lang w:val="en-US" w:eastAsia="zh-CN"/>
          <w14:textFill>
            <w14:solidFill>
              <w14:schemeClr w14:val="tx1"/>
            </w14:solidFill>
          </w14:textFill>
        </w:rPr>
      </w:pPr>
      <w:r>
        <w:rPr>
          <w:rFonts w:hint="eastAsia" w:ascii="仿宋_GB2312" w:hAnsi="仿宋_GB2312" w:eastAsia="仿宋_GB2312" w:cs="仿宋_GB2312"/>
          <w:b/>
          <w:bCs/>
          <w:color w:val="000000" w:themeColor="text1"/>
          <w:sz w:val="24"/>
          <w:szCs w:val="24"/>
          <w:lang w:val="en-US" w:eastAsia="zh-CN"/>
          <w14:textFill>
            <w14:solidFill>
              <w14:schemeClr w14:val="tx1"/>
            </w14:solidFill>
          </w14:textFill>
        </w:rPr>
        <w:t>1、验收依据</w:t>
      </w:r>
    </w:p>
    <w:p>
      <w:pPr>
        <w:widowControl/>
        <w:numPr>
          <w:ilvl w:val="0"/>
          <w:numId w:val="0"/>
        </w:numPr>
        <w:autoSpaceDN w:val="0"/>
        <w:snapToGrid w:val="0"/>
        <w:spacing w:line="360" w:lineRule="auto"/>
        <w:ind w:firstLine="480" w:firstLineChars="200"/>
        <w:jc w:val="both"/>
        <w:rPr>
          <w:rFonts w:hint="default" w:ascii="宋体" w:hAnsi="宋体" w:eastAsia="宋体"/>
          <w:color w:val="000000" w:themeColor="text1"/>
          <w:sz w:val="24"/>
          <w:lang w:val="en-US" w:eastAsia="zh-CN"/>
          <w14:textFill>
            <w14:solidFill>
              <w14:schemeClr w14:val="tx1"/>
            </w14:solidFill>
          </w14:textFill>
        </w:rPr>
      </w:pPr>
      <w:r>
        <w:rPr>
          <w:rFonts w:hint="eastAsia" w:ascii="宋体" w:hAnsi="宋体" w:eastAsia="宋体"/>
          <w:color w:val="000000" w:themeColor="text1"/>
          <w:sz w:val="24"/>
          <w:lang w:val="en-US" w:eastAsia="zh-CN"/>
          <w14:textFill>
            <w14:solidFill>
              <w14:schemeClr w14:val="tx1"/>
            </w14:solidFill>
          </w14:textFill>
        </w:rPr>
        <w:t xml:space="preserve">1.1 </w:t>
      </w:r>
      <w:r>
        <w:rPr>
          <w:rFonts w:hint="default" w:ascii="宋体" w:hAnsi="宋体" w:eastAsia="宋体"/>
          <w:color w:val="000000" w:themeColor="text1"/>
          <w:sz w:val="24"/>
          <w:lang w:val="en-US" w:eastAsia="zh-CN"/>
          <w14:textFill>
            <w14:solidFill>
              <w14:schemeClr w14:val="tx1"/>
            </w14:solidFill>
          </w14:textFill>
        </w:rPr>
        <w:t>以本项目用户需求书、</w:t>
      </w:r>
      <w:r>
        <w:rPr>
          <w:rFonts w:hint="eastAsia" w:ascii="宋体" w:hAnsi="宋体" w:eastAsia="宋体"/>
          <w:color w:val="000000" w:themeColor="text1"/>
          <w:sz w:val="24"/>
          <w:lang w:val="en-US" w:eastAsia="zh-CN"/>
          <w14:textFill>
            <w14:solidFill>
              <w14:schemeClr w14:val="tx1"/>
            </w14:solidFill>
          </w14:textFill>
        </w:rPr>
        <w:t>乙方</w:t>
      </w:r>
      <w:r>
        <w:rPr>
          <w:rFonts w:hint="default" w:ascii="宋体" w:hAnsi="宋体" w:eastAsia="宋体"/>
          <w:color w:val="000000" w:themeColor="text1"/>
          <w:sz w:val="24"/>
          <w:lang w:val="en-US" w:eastAsia="zh-CN"/>
          <w14:textFill>
            <w14:solidFill>
              <w14:schemeClr w14:val="tx1"/>
            </w14:solidFill>
          </w14:textFill>
        </w:rPr>
        <w:t>的投标响应文件及双方签订的合同为验收依据。</w:t>
      </w:r>
    </w:p>
    <w:p>
      <w:pPr>
        <w:widowControl/>
        <w:numPr>
          <w:ilvl w:val="0"/>
          <w:numId w:val="0"/>
        </w:numPr>
        <w:autoSpaceDN w:val="0"/>
        <w:snapToGrid w:val="0"/>
        <w:spacing w:line="360" w:lineRule="auto"/>
        <w:ind w:firstLine="480" w:firstLineChars="200"/>
        <w:jc w:val="both"/>
        <w:rPr>
          <w:rFonts w:hint="default" w:ascii="宋体" w:hAnsi="宋体" w:eastAsia="宋体"/>
          <w:color w:val="000000" w:themeColor="text1"/>
          <w:sz w:val="24"/>
          <w:lang w:val="en-US" w:eastAsia="zh-CN"/>
          <w14:textFill>
            <w14:solidFill>
              <w14:schemeClr w14:val="tx1"/>
            </w14:solidFill>
          </w14:textFill>
        </w:rPr>
      </w:pPr>
      <w:r>
        <w:rPr>
          <w:rFonts w:hint="eastAsia" w:ascii="宋体" w:hAnsi="宋体" w:eastAsia="宋体"/>
          <w:color w:val="000000" w:themeColor="text1"/>
          <w:sz w:val="24"/>
          <w:lang w:val="en-US" w:eastAsia="zh-CN"/>
          <w14:textFill>
            <w14:solidFill>
              <w14:schemeClr w14:val="tx1"/>
            </w14:solidFill>
          </w14:textFill>
        </w:rPr>
        <w:t>1.2 服务内容及服务要求需严格符合需求书中“服务清单”和“服务要求”所列条款。</w:t>
      </w:r>
    </w:p>
    <w:p>
      <w:pPr>
        <w:pStyle w:val="3"/>
        <w:numPr>
          <w:ilvl w:val="0"/>
          <w:numId w:val="0"/>
        </w:numPr>
        <w:ind w:leftChars="0"/>
        <w:rPr>
          <w:rFonts w:hint="eastAsia" w:ascii="仿宋_GB2312" w:hAnsi="仿宋_GB2312" w:eastAsia="仿宋_GB2312" w:cs="仿宋_GB2312"/>
          <w:b/>
          <w:bCs/>
          <w:color w:val="000000" w:themeColor="text1"/>
          <w:sz w:val="24"/>
          <w:szCs w:val="24"/>
          <w:lang w:val="en-US" w:eastAsia="zh-CN"/>
          <w14:textFill>
            <w14:solidFill>
              <w14:schemeClr w14:val="tx1"/>
            </w14:solidFill>
          </w14:textFill>
        </w:rPr>
      </w:pPr>
      <w:r>
        <w:rPr>
          <w:rFonts w:hint="eastAsia" w:ascii="仿宋_GB2312" w:hAnsi="仿宋_GB2312" w:eastAsia="仿宋_GB2312" w:cs="仿宋_GB2312"/>
          <w:b/>
          <w:bCs/>
          <w:color w:val="000000" w:themeColor="text1"/>
          <w:sz w:val="24"/>
          <w:szCs w:val="24"/>
          <w:lang w:val="en-US" w:eastAsia="zh-CN"/>
          <w14:textFill>
            <w14:solidFill>
              <w14:schemeClr w14:val="tx1"/>
            </w14:solidFill>
          </w14:textFill>
        </w:rPr>
        <w:t>2、验收内容</w:t>
      </w:r>
    </w:p>
    <w:p>
      <w:pPr>
        <w:widowControl/>
        <w:numPr>
          <w:ilvl w:val="0"/>
          <w:numId w:val="0"/>
        </w:numPr>
        <w:autoSpaceDN w:val="0"/>
        <w:snapToGrid w:val="0"/>
        <w:spacing w:line="360" w:lineRule="auto"/>
        <w:ind w:firstLine="480" w:firstLineChars="200"/>
        <w:jc w:val="both"/>
        <w:rPr>
          <w:rFonts w:hint="eastAsia" w:ascii="宋体" w:hAnsi="宋体" w:eastAsia="宋体"/>
          <w:color w:val="000000" w:themeColor="text1"/>
          <w:sz w:val="24"/>
          <w:lang w:val="en-US" w:eastAsia="zh-CN"/>
          <w14:textFill>
            <w14:solidFill>
              <w14:schemeClr w14:val="tx1"/>
            </w14:solidFill>
          </w14:textFill>
        </w:rPr>
      </w:pPr>
      <w:r>
        <w:rPr>
          <w:rFonts w:hint="eastAsia" w:ascii="宋体" w:hAnsi="宋体" w:eastAsia="宋体"/>
          <w:color w:val="000000" w:themeColor="text1"/>
          <w:sz w:val="24"/>
          <w:lang w:val="en-US" w:eastAsia="zh-CN"/>
          <w14:textFill>
            <w14:solidFill>
              <w14:schemeClr w14:val="tx1"/>
            </w14:solidFill>
          </w14:textFill>
        </w:rPr>
        <w:t>2.1 确认“态势感知平台”</w:t>
      </w:r>
      <w:r>
        <w:rPr>
          <w:rFonts w:hint="default" w:ascii="宋体" w:hAnsi="宋体" w:eastAsia="宋体"/>
          <w:color w:val="000000" w:themeColor="text1"/>
          <w:sz w:val="24"/>
          <w:lang w:eastAsia="zh-CN"/>
          <w14:textFill>
            <w14:solidFill>
              <w14:schemeClr w14:val="tx1"/>
            </w14:solidFill>
          </w14:textFill>
        </w:rPr>
        <w:t>的</w:t>
      </w:r>
      <w:r>
        <w:rPr>
          <w:rFonts w:hint="eastAsia" w:ascii="宋体" w:hAnsi="宋体" w:eastAsia="宋体"/>
          <w:color w:val="000000" w:themeColor="text1"/>
          <w:sz w:val="24"/>
          <w:lang w:val="en-US" w:eastAsia="zh-CN"/>
          <w14:textFill>
            <w14:solidFill>
              <w14:schemeClr w14:val="tx1"/>
            </w14:solidFill>
          </w14:textFill>
        </w:rPr>
        <w:t>“AI版本迭代升级服务”已按合同要求部署并</w:t>
      </w:r>
      <w:r>
        <w:rPr>
          <w:rFonts w:hint="default" w:ascii="宋体" w:hAnsi="宋体" w:eastAsia="宋体"/>
          <w:color w:val="000000" w:themeColor="text1"/>
          <w:sz w:val="24"/>
          <w:lang w:eastAsia="zh-CN"/>
          <w14:textFill>
            <w14:solidFill>
              <w14:schemeClr w14:val="tx1"/>
            </w14:solidFill>
          </w14:textFill>
        </w:rPr>
        <w:t>进行系统检测，保证系统已</w:t>
      </w:r>
      <w:r>
        <w:rPr>
          <w:rFonts w:hint="eastAsia" w:ascii="宋体" w:hAnsi="宋体" w:eastAsia="宋体"/>
          <w:color w:val="000000" w:themeColor="text1"/>
          <w:sz w:val="24"/>
          <w:lang w:val="en-US" w:eastAsia="zh-CN"/>
          <w14:textFill>
            <w14:solidFill>
              <w14:schemeClr w14:val="tx1"/>
            </w14:solidFill>
          </w14:textFill>
        </w:rPr>
        <w:t>正常运行。</w:t>
      </w:r>
    </w:p>
    <w:p>
      <w:pPr>
        <w:widowControl/>
        <w:numPr>
          <w:ilvl w:val="0"/>
          <w:numId w:val="0"/>
        </w:numPr>
        <w:autoSpaceDN w:val="0"/>
        <w:snapToGrid w:val="0"/>
        <w:spacing w:line="360" w:lineRule="auto"/>
        <w:ind w:firstLine="480" w:firstLineChars="200"/>
        <w:jc w:val="both"/>
        <w:rPr>
          <w:rFonts w:hint="eastAsia" w:ascii="宋体" w:hAnsi="宋体" w:eastAsia="宋体"/>
          <w:color w:val="000000" w:themeColor="text1"/>
          <w:sz w:val="24"/>
          <w:lang w:val="en-US" w:eastAsia="zh-CN"/>
          <w14:textFill>
            <w14:solidFill>
              <w14:schemeClr w14:val="tx1"/>
            </w14:solidFill>
          </w14:textFill>
        </w:rPr>
      </w:pPr>
      <w:r>
        <w:rPr>
          <w:rFonts w:hint="eastAsia" w:ascii="宋体" w:hAnsi="宋体" w:eastAsia="宋体"/>
          <w:color w:val="000000" w:themeColor="text1"/>
          <w:sz w:val="24"/>
          <w:lang w:val="en-US" w:eastAsia="zh-CN"/>
          <w14:textFill>
            <w14:solidFill>
              <w14:schemeClr w14:val="tx1"/>
            </w14:solidFill>
          </w14:textFill>
        </w:rPr>
        <w:t>2.2 确认版本及特征库已按需升级，并提供原厂400技术支持记录。</w:t>
      </w:r>
    </w:p>
    <w:p>
      <w:pPr>
        <w:widowControl/>
        <w:numPr>
          <w:ilvl w:val="0"/>
          <w:numId w:val="0"/>
        </w:numPr>
        <w:autoSpaceDN w:val="0"/>
        <w:snapToGrid w:val="0"/>
        <w:spacing w:line="360" w:lineRule="auto"/>
        <w:ind w:firstLine="480" w:firstLineChars="200"/>
        <w:jc w:val="both"/>
        <w:rPr>
          <w:rFonts w:hint="eastAsia" w:ascii="宋体" w:hAnsi="宋体" w:eastAsia="宋体"/>
          <w:color w:val="000000" w:themeColor="text1"/>
          <w:sz w:val="24"/>
          <w:lang w:val="en-US" w:eastAsia="zh-CN"/>
          <w14:textFill>
            <w14:solidFill>
              <w14:schemeClr w14:val="tx1"/>
            </w14:solidFill>
          </w14:textFill>
        </w:rPr>
      </w:pPr>
      <w:r>
        <w:rPr>
          <w:rFonts w:hint="eastAsia" w:ascii="宋体" w:hAnsi="宋体" w:eastAsia="宋体"/>
          <w:color w:val="000000" w:themeColor="text1"/>
          <w:sz w:val="24"/>
          <w:lang w:val="en-US" w:eastAsia="zh-CN"/>
          <w14:textFill>
            <w14:solidFill>
              <w14:schemeClr w14:val="tx1"/>
            </w14:solidFill>
          </w14:textFill>
        </w:rPr>
        <w:t>2.3 检查是否完成与“恒脑”的对接，并实现AI能力升级。</w:t>
      </w:r>
    </w:p>
    <w:p>
      <w:pPr>
        <w:widowControl/>
        <w:numPr>
          <w:ilvl w:val="0"/>
          <w:numId w:val="0"/>
        </w:numPr>
        <w:autoSpaceDN w:val="0"/>
        <w:snapToGrid w:val="0"/>
        <w:spacing w:line="360" w:lineRule="auto"/>
        <w:ind w:firstLine="480" w:firstLineChars="200"/>
        <w:jc w:val="both"/>
        <w:rPr>
          <w:rFonts w:hint="default" w:ascii="宋体" w:hAnsi="宋体" w:eastAsia="宋体"/>
          <w:color w:val="000000" w:themeColor="text1"/>
          <w:sz w:val="24"/>
          <w:lang w:eastAsia="zh-CN"/>
          <w14:textFill>
            <w14:solidFill>
              <w14:schemeClr w14:val="tx1"/>
            </w14:solidFill>
          </w14:textFill>
        </w:rPr>
      </w:pPr>
      <w:r>
        <w:rPr>
          <w:rFonts w:hint="default" w:ascii="宋体" w:hAnsi="宋体" w:eastAsia="宋体"/>
          <w:color w:val="000000" w:themeColor="text1"/>
          <w:sz w:val="24"/>
          <w:lang w:eastAsia="zh-CN"/>
          <w14:textFill>
            <w14:solidFill>
              <w14:schemeClr w14:val="tx1"/>
            </w14:solidFill>
          </w14:textFill>
        </w:rPr>
        <w:t>2.4 检查是否完成平台升级后使用培训。</w:t>
      </w:r>
    </w:p>
    <w:p>
      <w:pPr>
        <w:widowControl/>
        <w:numPr>
          <w:ilvl w:val="0"/>
          <w:numId w:val="0"/>
        </w:numPr>
        <w:autoSpaceDN w:val="0"/>
        <w:snapToGrid w:val="0"/>
        <w:spacing w:line="360" w:lineRule="auto"/>
        <w:ind w:firstLine="480" w:firstLineChars="200"/>
        <w:jc w:val="both"/>
        <w:rPr>
          <w:rFonts w:hint="default" w:ascii="宋体" w:hAnsi="宋体" w:eastAsia="宋体"/>
          <w:color w:val="000000" w:themeColor="text1"/>
          <w:sz w:val="24"/>
          <w:lang w:eastAsia="zh-CN"/>
          <w14:textFill>
            <w14:solidFill>
              <w14:schemeClr w14:val="tx1"/>
            </w14:solidFill>
          </w14:textFill>
        </w:rPr>
      </w:pPr>
      <w:r>
        <w:rPr>
          <w:rFonts w:hint="default" w:ascii="宋体" w:hAnsi="宋体" w:eastAsia="宋体"/>
          <w:color w:val="000000" w:themeColor="text1"/>
          <w:sz w:val="24"/>
          <w:lang w:eastAsia="zh-CN"/>
          <w14:textFill>
            <w14:solidFill>
              <w14:schemeClr w14:val="tx1"/>
            </w14:solidFill>
          </w14:textFill>
        </w:rPr>
        <w:t>2.5 完成服务评价表。</w:t>
      </w:r>
    </w:p>
    <w:p>
      <w:pPr>
        <w:pStyle w:val="3"/>
        <w:numPr>
          <w:ilvl w:val="0"/>
          <w:numId w:val="0"/>
        </w:numPr>
        <w:ind w:leftChars="0"/>
        <w:rPr>
          <w:rFonts w:hint="default" w:ascii="宋体" w:hAnsi="宋体" w:eastAsia="宋体"/>
          <w:b/>
          <w:bCs/>
          <w:color w:val="000000" w:themeColor="text1"/>
          <w:sz w:val="24"/>
          <w:szCs w:val="24"/>
          <w:lang w:val="en-US" w:eastAsia="zh-CN"/>
          <w14:textFill>
            <w14:solidFill>
              <w14:schemeClr w14:val="tx1"/>
            </w14:solidFill>
          </w14:textFill>
        </w:rPr>
      </w:pPr>
      <w:r>
        <w:rPr>
          <w:rFonts w:hint="eastAsia" w:ascii="仿宋_GB2312" w:hAnsi="仿宋_GB2312" w:eastAsia="仿宋_GB2312" w:cs="仿宋_GB2312"/>
          <w:b/>
          <w:bCs/>
          <w:color w:val="000000" w:themeColor="text1"/>
          <w:sz w:val="24"/>
          <w:szCs w:val="24"/>
          <w:lang w:val="en-US" w:eastAsia="zh-CN"/>
          <w14:textFill>
            <w14:solidFill>
              <w14:schemeClr w14:val="tx1"/>
            </w14:solidFill>
          </w14:textFill>
        </w:rPr>
        <w:t>3、验收流程</w:t>
      </w:r>
    </w:p>
    <w:p>
      <w:pPr>
        <w:widowControl/>
        <w:numPr>
          <w:ilvl w:val="0"/>
          <w:numId w:val="0"/>
        </w:numPr>
        <w:autoSpaceDN w:val="0"/>
        <w:snapToGrid w:val="0"/>
        <w:spacing w:line="360" w:lineRule="auto"/>
        <w:ind w:firstLine="420" w:firstLineChars="0"/>
        <w:jc w:val="both"/>
        <w:rPr>
          <w:rFonts w:hint="eastAsia" w:ascii="宋体" w:hAnsi="宋体" w:eastAsia="宋体"/>
          <w:color w:val="000000" w:themeColor="text1"/>
          <w:sz w:val="24"/>
          <w:lang w:val="en-US" w:eastAsia="zh-CN"/>
          <w14:textFill>
            <w14:solidFill>
              <w14:schemeClr w14:val="tx1"/>
            </w14:solidFill>
          </w14:textFill>
        </w:rPr>
      </w:pPr>
      <w:r>
        <w:rPr>
          <w:rFonts w:hint="eastAsia" w:ascii="宋体" w:hAnsi="宋体" w:eastAsia="宋体"/>
          <w:color w:val="000000" w:themeColor="text1"/>
          <w:sz w:val="24"/>
          <w:lang w:val="en-US" w:eastAsia="zh-CN"/>
          <w14:textFill>
            <w14:solidFill>
              <w14:schemeClr w14:val="tx1"/>
            </w14:solidFill>
          </w14:textFill>
        </w:rPr>
        <w:t>乙方在提交齐全的服务过程文件及自检报告后的15个工作日内，甲方应组织质量验收，服务质量验收合格的，甲方向己方签发《验收报告》</w:t>
      </w:r>
      <w:r>
        <w:rPr>
          <w:rFonts w:hint="default" w:ascii="宋体" w:hAnsi="宋体" w:eastAsia="宋体"/>
          <w:color w:val="000000" w:themeColor="text1"/>
          <w:sz w:val="24"/>
          <w:lang w:eastAsia="zh-CN"/>
          <w14:textFill>
            <w14:solidFill>
              <w14:schemeClr w14:val="tx1"/>
            </w14:solidFill>
          </w14:textFill>
        </w:rPr>
        <w:t>；</w:t>
      </w:r>
      <w:r>
        <w:rPr>
          <w:rFonts w:hint="eastAsia" w:ascii="宋体" w:hAnsi="宋体" w:eastAsia="宋体"/>
          <w:color w:val="000000" w:themeColor="text1"/>
          <w:sz w:val="24"/>
          <w:lang w:val="en-US" w:eastAsia="zh-CN"/>
          <w14:textFill>
            <w14:solidFill>
              <w14:schemeClr w14:val="tx1"/>
            </w14:solidFill>
          </w14:textFill>
        </w:rPr>
        <w:t>不合格的，甲方及时向乙方提出质量异议和投诉。验收标准由双方根据有关部分进行友好协商确定。</w:t>
      </w:r>
    </w:p>
    <w:p>
      <w:pPr>
        <w:widowControl/>
        <w:numPr>
          <w:ilvl w:val="0"/>
          <w:numId w:val="0"/>
        </w:numPr>
        <w:autoSpaceDN w:val="0"/>
        <w:snapToGrid w:val="0"/>
        <w:spacing w:line="360" w:lineRule="auto"/>
        <w:ind w:firstLine="420" w:firstLineChars="0"/>
        <w:jc w:val="both"/>
        <w:rPr>
          <w:rFonts w:hint="eastAsia" w:ascii="宋体" w:hAnsi="宋体" w:eastAsia="宋体"/>
          <w:color w:val="000000" w:themeColor="text1"/>
          <w:sz w:val="24"/>
          <w:lang w:val="en-US" w:eastAsia="zh-CN"/>
          <w14:textFill>
            <w14:solidFill>
              <w14:schemeClr w14:val="tx1"/>
            </w14:solidFill>
          </w14:textFill>
        </w:rPr>
      </w:pPr>
    </w:p>
    <w:p>
      <w:pPr>
        <w:widowControl/>
        <w:numPr>
          <w:ilvl w:val="0"/>
          <w:numId w:val="0"/>
        </w:numPr>
        <w:autoSpaceDN w:val="0"/>
        <w:snapToGrid w:val="0"/>
        <w:spacing w:line="360" w:lineRule="auto"/>
        <w:ind w:firstLine="420"/>
        <w:jc w:val="both"/>
        <w:rPr>
          <w:rFonts w:hint="eastAsia" w:ascii="宋体" w:hAnsi="宋体" w:eastAsia="宋体"/>
          <w:color w:val="000000" w:themeColor="text1"/>
          <w:sz w:val="24"/>
          <w:lang w:val="en-US" w:eastAsia="zh-CN"/>
          <w14:textFill>
            <w14:solidFill>
              <w14:schemeClr w14:val="tx1"/>
            </w14:solidFill>
          </w14:textFill>
        </w:rPr>
      </w:pPr>
    </w:p>
    <w:p>
      <w:pPr>
        <w:widowControl/>
        <w:numPr>
          <w:ilvl w:val="0"/>
          <w:numId w:val="0"/>
        </w:numPr>
        <w:autoSpaceDN w:val="0"/>
        <w:snapToGrid w:val="0"/>
        <w:spacing w:line="360" w:lineRule="auto"/>
        <w:ind w:firstLine="420"/>
        <w:jc w:val="both"/>
        <w:rPr>
          <w:rFonts w:hint="eastAsia" w:ascii="宋体" w:hAnsi="宋体" w:eastAsia="宋体"/>
          <w:color w:val="000000" w:themeColor="text1"/>
          <w:sz w:val="24"/>
          <w:lang w:val="en-US" w:eastAsia="zh-CN"/>
          <w14:textFill>
            <w14:solidFill>
              <w14:schemeClr w14:val="tx1"/>
            </w14:solidFill>
          </w14:textFill>
        </w:rPr>
      </w:pPr>
    </w:p>
    <w:p>
      <w:pPr>
        <w:widowControl/>
        <w:numPr>
          <w:ilvl w:val="-1"/>
          <w:numId w:val="0"/>
        </w:numPr>
        <w:autoSpaceDN w:val="0"/>
        <w:snapToGrid w:val="0"/>
        <w:spacing w:line="360" w:lineRule="auto"/>
        <w:ind w:firstLine="0"/>
        <w:jc w:val="both"/>
        <w:rPr>
          <w:rFonts w:hint="eastAsia" w:ascii="仿宋_GB2312" w:hAnsi="仿宋_GB2312" w:eastAsia="仿宋_GB2312" w:cs="仿宋_GB2312"/>
          <w:b/>
          <w:bCs/>
          <w:color w:val="000000" w:themeColor="text1"/>
          <w:sz w:val="28"/>
          <w:szCs w:val="28"/>
          <w:lang w:eastAsia="zh-CN"/>
          <w14:textFill>
            <w14:solidFill>
              <w14:schemeClr w14:val="tx1"/>
            </w14:solidFill>
          </w14:textFill>
        </w:rPr>
      </w:pPr>
      <w:r>
        <w:rPr>
          <w:rFonts w:hint="default" w:ascii="仿宋_GB2312" w:hAnsi="仿宋_GB2312" w:eastAsia="仿宋_GB2312" w:cs="仿宋_GB2312"/>
          <w:b/>
          <w:bCs/>
          <w:color w:val="000000" w:themeColor="text1"/>
          <w:sz w:val="28"/>
          <w:szCs w:val="28"/>
          <w:lang w:eastAsia="zh-CN"/>
          <w14:textFill>
            <w14:solidFill>
              <w14:schemeClr w14:val="tx1"/>
            </w14:solidFill>
          </w14:textFill>
        </w:rPr>
        <w:t>八</w:t>
      </w:r>
      <w:r>
        <w:rPr>
          <w:rFonts w:hint="eastAsia" w:ascii="仿宋_GB2312" w:hAnsi="仿宋_GB2312" w:eastAsia="仿宋_GB2312" w:cs="仿宋_GB2312"/>
          <w:b/>
          <w:bCs/>
          <w:color w:val="000000" w:themeColor="text1"/>
          <w:sz w:val="28"/>
          <w:szCs w:val="28"/>
          <w:lang w:eastAsia="zh-CN"/>
          <w14:textFill>
            <w14:solidFill>
              <w14:schemeClr w14:val="tx1"/>
            </w14:solidFill>
          </w14:textFill>
        </w:rPr>
        <w:t>、服务评价</w:t>
      </w:r>
    </w:p>
    <w:p>
      <w:pPr>
        <w:widowControl/>
        <w:numPr>
          <w:ilvl w:val="-1"/>
          <w:numId w:val="0"/>
        </w:numPr>
        <w:autoSpaceDN w:val="0"/>
        <w:snapToGrid w:val="0"/>
        <w:spacing w:line="360" w:lineRule="auto"/>
        <w:ind w:left="0" w:firstLine="420"/>
        <w:jc w:val="both"/>
        <w:rPr>
          <w:rFonts w:hint="default" w:ascii="宋体" w:hAnsi="宋体" w:eastAsia="宋体"/>
          <w:color w:val="000000" w:themeColor="text1"/>
          <w:sz w:val="24"/>
          <w:lang w:eastAsia="zh-CN"/>
          <w14:textFill>
            <w14:solidFill>
              <w14:schemeClr w14:val="tx1"/>
            </w14:solidFill>
          </w14:textFill>
        </w:rPr>
      </w:pPr>
      <w:r>
        <w:rPr>
          <w:rFonts w:hint="default" w:ascii="宋体" w:hAnsi="宋体" w:eastAsia="宋体"/>
          <w:color w:val="000000" w:themeColor="text1"/>
          <w:sz w:val="24"/>
          <w:lang w:eastAsia="zh-CN"/>
          <w14:textFill>
            <w14:solidFill>
              <w14:schemeClr w14:val="tx1"/>
            </w14:solidFill>
          </w14:textFill>
        </w:rPr>
        <w:t xml:space="preserve"> 本项目为年度服务评价，评价结果作为服务费用支付、扣罚的依据。</w:t>
      </w:r>
    </w:p>
    <w:p>
      <w:pPr>
        <w:widowControl/>
        <w:numPr>
          <w:ilvl w:val="0"/>
          <w:numId w:val="0"/>
        </w:numPr>
        <w:autoSpaceDN w:val="0"/>
        <w:snapToGrid w:val="0"/>
        <w:spacing w:line="360" w:lineRule="auto"/>
        <w:ind w:firstLine="0"/>
        <w:jc w:val="both"/>
      </w:pPr>
    </w:p>
    <w:p>
      <w:pPr>
        <w:pStyle w:val="2"/>
        <w:widowControl/>
        <w:numPr>
          <w:ilvl w:val="0"/>
          <w:numId w:val="0"/>
        </w:numPr>
        <w:autoSpaceDN w:val="0"/>
        <w:snapToGrid w:val="0"/>
        <w:spacing w:line="390" w:lineRule="atLeast"/>
        <w:ind w:firstLine="0"/>
        <w:jc w:val="center"/>
        <w:rPr>
          <w:rFonts w:hint="default" w:ascii="Arial Regular" w:hAnsi="Arial Regular" w:eastAsia="Arial Regular" w:cs="Arial Regular"/>
          <w:i w:val="0"/>
          <w:iCs w:val="0"/>
          <w:caps w:val="0"/>
          <w:spacing w:val="0"/>
          <w:sz w:val="27"/>
          <w:szCs w:val="27"/>
        </w:rPr>
      </w:pPr>
      <w:r>
        <w:rPr>
          <w:rFonts w:hint="default" w:ascii="Arial Regular" w:hAnsi="Arial Regular" w:eastAsia="Arial Regular" w:cs="Arial Regular"/>
          <w:b/>
          <w:bCs/>
          <w:i w:val="0"/>
          <w:iCs w:val="0"/>
          <w:caps w:val="0"/>
          <w:spacing w:val="0"/>
          <w:sz w:val="27"/>
          <w:szCs w:val="27"/>
        </w:rPr>
        <w:t>态势感知平台升级维护服务评价表</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tcBorders>
              <w:top w:val="single" w:color="000000" w:sz="4" w:space="0"/>
              <w:left w:val="single" w:color="000000" w:sz="4" w:space="0"/>
              <w:bottom w:val="single" w:color="000000" w:sz="4" w:space="0"/>
              <w:right w:val="single" w:color="000000" w:sz="4" w:space="0"/>
            </w:tcBorders>
            <w:shd w:val="clear" w:color="FFFFFF" w:fill="FFFFFF"/>
          </w:tcPr>
          <w:p>
            <w:pPr>
              <w:keepNext w:val="0"/>
              <w:keepLines w:val="0"/>
              <w:suppressLineNumbers w:val="0"/>
              <w:spacing w:before="0" w:beforeAutospacing="0" w:after="0" w:afterAutospacing="0"/>
              <w:ind w:left="0" w:right="0"/>
              <w:rPr>
                <w:rFonts w:hint="default"/>
                <w:b/>
                <w:bCs/>
                <w:vertAlign w:val="baseline"/>
              </w:rPr>
            </w:pPr>
            <w:r>
              <w:rPr>
                <w:rFonts w:hint="default"/>
                <w:b/>
                <w:bCs/>
                <w:vertAlign w:val="baseline"/>
              </w:rPr>
              <w:t>评价内容</w:t>
            </w:r>
          </w:p>
        </w:tc>
        <w:tc>
          <w:tcPr>
            <w:tcW w:w="1666" w:type="pct"/>
            <w:tcBorders>
              <w:top w:val="single" w:color="000000" w:sz="4" w:space="0"/>
              <w:left w:val="single" w:color="000000" w:sz="4" w:space="0"/>
              <w:bottom w:val="single" w:color="000000" w:sz="4" w:space="0"/>
              <w:right w:val="single" w:color="000000" w:sz="4" w:space="0"/>
            </w:tcBorders>
            <w:shd w:val="clear" w:color="FFFFFF" w:fill="FFFFFF"/>
          </w:tcPr>
          <w:p>
            <w:pPr>
              <w:keepNext w:val="0"/>
              <w:keepLines w:val="0"/>
              <w:suppressLineNumbers w:val="0"/>
              <w:spacing w:before="0" w:beforeAutospacing="0" w:after="0" w:afterAutospacing="0"/>
              <w:ind w:left="0" w:right="0"/>
              <w:rPr>
                <w:rFonts w:hint="default"/>
                <w:b/>
                <w:bCs/>
                <w:vertAlign w:val="baseline"/>
              </w:rPr>
            </w:pPr>
            <w:r>
              <w:rPr>
                <w:rFonts w:hint="default"/>
                <w:b/>
                <w:bCs/>
                <w:vertAlign w:val="baseline"/>
              </w:rPr>
              <w:t>评价</w:t>
            </w:r>
          </w:p>
        </w:tc>
        <w:tc>
          <w:tcPr>
            <w:tcW w:w="1666" w:type="pct"/>
            <w:tcBorders>
              <w:top w:val="single" w:color="000000" w:sz="4" w:space="0"/>
              <w:left w:val="single" w:color="000000" w:sz="4" w:space="0"/>
              <w:bottom w:val="single" w:color="000000" w:sz="4" w:space="0"/>
              <w:right w:val="single" w:color="000000" w:sz="4" w:space="0"/>
            </w:tcBorders>
            <w:shd w:val="clear" w:color="FFFFFF" w:fill="FFFFFF"/>
          </w:tcPr>
          <w:p>
            <w:pPr>
              <w:keepNext w:val="0"/>
              <w:keepLines w:val="0"/>
              <w:suppressLineNumbers w:val="0"/>
              <w:spacing w:before="0" w:beforeAutospacing="0" w:after="0" w:afterAutospacing="0"/>
              <w:ind w:left="0" w:right="0"/>
              <w:rPr>
                <w:rFonts w:hint="default"/>
                <w:b/>
                <w:bCs/>
                <w:vertAlign w:val="baseline"/>
              </w:rPr>
            </w:pPr>
            <w:r>
              <w:rPr>
                <w:rFonts w:hint="default"/>
                <w:b/>
                <w:bCs/>
                <w:vertAlign w:val="baseline"/>
              </w:rPr>
              <w:t>备注/建议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6" w:type="pct"/>
            <w:tcBorders>
              <w:top w:val="single" w:color="000000" w:sz="4" w:space="0"/>
              <w:left w:val="single" w:color="000000" w:sz="4" w:space="0"/>
              <w:bottom w:val="single" w:color="000000" w:sz="4" w:space="0"/>
              <w:right w:val="single" w:color="000000" w:sz="4" w:space="0"/>
            </w:tcBorders>
            <w:shd w:val="clear" w:color="FFFFFF" w:fill="FFFFFF"/>
          </w:tcPr>
          <w:p>
            <w:pPr>
              <w:keepNext w:val="0"/>
              <w:keepLines w:val="0"/>
              <w:suppressLineNumbers w:val="0"/>
              <w:spacing w:before="0" w:beforeAutospacing="0" w:after="0" w:afterAutospacing="0"/>
              <w:ind w:left="0" w:right="0"/>
              <w:rPr>
                <w:rFonts w:hint="default"/>
                <w:vertAlign w:val="baseline"/>
              </w:rPr>
            </w:pPr>
            <w:r>
              <w:rPr>
                <w:rFonts w:hint="default"/>
                <w:vertAlign w:val="baseline"/>
              </w:rPr>
              <w:t>响应及时性</w:t>
            </w:r>
          </w:p>
        </w:tc>
        <w:tc>
          <w:tcPr>
            <w:tcW w:w="1666" w:type="pct"/>
            <w:tcBorders>
              <w:top w:val="single" w:color="000000" w:sz="4" w:space="0"/>
              <w:left w:val="single" w:color="000000" w:sz="4" w:space="0"/>
              <w:bottom w:val="single" w:color="000000" w:sz="4" w:space="0"/>
              <w:right w:val="single" w:color="000000" w:sz="4" w:space="0"/>
            </w:tcBorders>
            <w:shd w:val="clear" w:color="FFFFFF" w:fill="FFFFFF"/>
          </w:tcPr>
          <w:p>
            <w:pPr>
              <w:keepNext w:val="0"/>
              <w:keepLines w:val="0"/>
              <w:suppressLineNumbers w:val="0"/>
              <w:spacing w:before="0" w:beforeAutospacing="0" w:after="0" w:afterAutospacing="0"/>
              <w:ind w:left="0" w:right="0"/>
              <w:rPr>
                <w:rFonts w:hint="default"/>
                <w:vertAlign w:val="baseline"/>
              </w:rPr>
            </w:pPr>
            <w:r>
              <w:rPr>
                <w:rFonts w:hint="default" w:ascii="Arial Regular" w:hAnsi="Arial Regular" w:eastAsia="Arial Regular" w:cs="Arial Regular"/>
                <w:i w:val="0"/>
                <w:iCs w:val="0"/>
                <w:caps w:val="0"/>
                <w:spacing w:val="0"/>
                <w:sz w:val="21"/>
                <w:szCs w:val="21"/>
              </w:rPr>
              <w:t>□1  □2  □3  □4  □5</w:t>
            </w:r>
          </w:p>
        </w:tc>
        <w:tc>
          <w:tcPr>
            <w:tcW w:w="1666" w:type="pct"/>
            <w:tcBorders>
              <w:top w:val="single" w:color="000000" w:sz="4" w:space="0"/>
              <w:left w:val="single" w:color="000000" w:sz="4" w:space="0"/>
              <w:bottom w:val="single" w:color="000000" w:sz="4" w:space="0"/>
              <w:right w:val="single" w:color="000000" w:sz="4" w:space="0"/>
            </w:tcBorders>
            <w:shd w:val="clear" w:color="FFFFFF" w:fill="FFFFFF"/>
          </w:tcPr>
          <w:p>
            <w:pPr>
              <w:keepNext w:val="0"/>
              <w:keepLines w:val="0"/>
              <w:suppressLineNumbers w:val="0"/>
              <w:spacing w:before="0" w:beforeAutospacing="0" w:after="0" w:afterAutospacing="0"/>
              <w:ind w:left="0" w:right="0"/>
              <w:rPr>
                <w:rFonts w:hint="default"/>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tcBorders>
              <w:top w:val="single" w:color="000000" w:sz="4" w:space="0"/>
              <w:left w:val="single" w:color="000000" w:sz="4" w:space="0"/>
              <w:bottom w:val="single" w:color="000000" w:sz="4" w:space="0"/>
              <w:right w:val="single" w:color="000000" w:sz="4" w:space="0"/>
            </w:tcBorders>
            <w:shd w:val="clear" w:color="FFFFFF" w:fill="FFFFFF"/>
          </w:tcPr>
          <w:p>
            <w:pPr>
              <w:keepNext w:val="0"/>
              <w:keepLines w:val="0"/>
              <w:suppressLineNumbers w:val="0"/>
              <w:spacing w:before="0" w:beforeAutospacing="0" w:after="0" w:afterAutospacing="0"/>
              <w:ind w:left="0" w:right="0"/>
              <w:rPr>
                <w:rFonts w:hint="default"/>
                <w:vertAlign w:val="baseline"/>
              </w:rPr>
            </w:pPr>
            <w:r>
              <w:rPr>
                <w:rFonts w:hint="default"/>
                <w:vertAlign w:val="baseline"/>
              </w:rPr>
              <w:t>问题解决能力</w:t>
            </w:r>
          </w:p>
        </w:tc>
        <w:tc>
          <w:tcPr>
            <w:tcW w:w="1666" w:type="pct"/>
            <w:tcBorders>
              <w:top w:val="single" w:color="000000" w:sz="4" w:space="0"/>
              <w:left w:val="single" w:color="000000" w:sz="4" w:space="0"/>
              <w:bottom w:val="single" w:color="000000" w:sz="4" w:space="0"/>
              <w:right w:val="single" w:color="000000" w:sz="4" w:space="0"/>
            </w:tcBorders>
            <w:shd w:val="clear" w:color="FFFFFF" w:fill="FFFFFF"/>
          </w:tcPr>
          <w:p>
            <w:pPr>
              <w:keepNext w:val="0"/>
              <w:keepLines w:val="0"/>
              <w:suppressLineNumbers w:val="0"/>
              <w:spacing w:before="0" w:beforeAutospacing="0" w:after="0" w:afterAutospacing="0"/>
              <w:ind w:left="0" w:right="0"/>
              <w:rPr>
                <w:rFonts w:hint="default" w:ascii="Arial Regular" w:hAnsi="Arial Regular" w:eastAsia="Arial Regular" w:cs="Arial Regular"/>
                <w:i w:val="0"/>
                <w:iCs w:val="0"/>
                <w:caps w:val="0"/>
                <w:spacing w:val="0"/>
                <w:sz w:val="21"/>
                <w:szCs w:val="21"/>
              </w:rPr>
            </w:pPr>
            <w:r>
              <w:rPr>
                <w:rFonts w:hint="default" w:ascii="Arial Regular" w:hAnsi="Arial Regular" w:eastAsia="Arial Regular" w:cs="Arial Regular"/>
                <w:i w:val="0"/>
                <w:iCs w:val="0"/>
                <w:caps w:val="0"/>
                <w:spacing w:val="0"/>
                <w:sz w:val="21"/>
                <w:szCs w:val="21"/>
              </w:rPr>
              <w:t xml:space="preserve"> □1  □2  □3  □4  □5</w:t>
            </w:r>
          </w:p>
        </w:tc>
        <w:tc>
          <w:tcPr>
            <w:tcW w:w="1666" w:type="pct"/>
            <w:tcBorders>
              <w:top w:val="single" w:color="000000" w:sz="4" w:space="0"/>
              <w:left w:val="single" w:color="000000" w:sz="4" w:space="0"/>
              <w:bottom w:val="single" w:color="000000" w:sz="4" w:space="0"/>
              <w:right w:val="single" w:color="000000" w:sz="4" w:space="0"/>
            </w:tcBorders>
            <w:shd w:val="clear" w:color="FFFFFF" w:fill="FFFFFF"/>
          </w:tcPr>
          <w:p>
            <w:pPr>
              <w:keepNext w:val="0"/>
              <w:keepLines w:val="0"/>
              <w:suppressLineNumbers w:val="0"/>
              <w:spacing w:before="0" w:beforeAutospacing="0" w:after="0" w:afterAutospacing="0"/>
              <w:ind w:left="0" w:right="0"/>
              <w:rPr>
                <w:rFonts w:hint="default"/>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tcBorders>
              <w:top w:val="single" w:color="000000" w:sz="4" w:space="0"/>
              <w:left w:val="single" w:color="000000" w:sz="4" w:space="0"/>
              <w:bottom w:val="single" w:color="000000" w:sz="4" w:space="0"/>
              <w:right w:val="single" w:color="000000" w:sz="4" w:space="0"/>
            </w:tcBorders>
            <w:shd w:val="clear" w:color="FFFFFF" w:fill="FFFFFF"/>
          </w:tcPr>
          <w:p>
            <w:pPr>
              <w:keepNext w:val="0"/>
              <w:keepLines w:val="0"/>
              <w:suppressLineNumbers w:val="0"/>
              <w:spacing w:before="0" w:beforeAutospacing="0" w:after="0" w:afterAutospacing="0"/>
              <w:ind w:left="0" w:right="0"/>
              <w:rPr>
                <w:rFonts w:hint="default"/>
                <w:vertAlign w:val="baseline"/>
              </w:rPr>
            </w:pPr>
            <w:r>
              <w:rPr>
                <w:rFonts w:hint="default"/>
                <w:vertAlign w:val="baseline"/>
              </w:rPr>
              <w:t>维护质量</w:t>
            </w:r>
          </w:p>
        </w:tc>
        <w:tc>
          <w:tcPr>
            <w:tcW w:w="1666" w:type="pct"/>
            <w:tcBorders>
              <w:top w:val="single" w:color="000000" w:sz="4" w:space="0"/>
              <w:left w:val="single" w:color="000000" w:sz="4" w:space="0"/>
              <w:bottom w:val="single" w:color="000000" w:sz="4" w:space="0"/>
              <w:right w:val="single" w:color="000000" w:sz="4" w:space="0"/>
            </w:tcBorders>
            <w:shd w:val="clear" w:color="FFFFFF" w:fill="FFFFFF"/>
          </w:tcPr>
          <w:p>
            <w:pPr>
              <w:keepNext w:val="0"/>
              <w:keepLines w:val="0"/>
              <w:suppressLineNumbers w:val="0"/>
              <w:spacing w:before="0" w:beforeAutospacing="0" w:after="0" w:afterAutospacing="0"/>
              <w:ind w:left="0" w:right="0"/>
              <w:rPr>
                <w:rFonts w:hint="default" w:ascii="Arial Regular" w:hAnsi="Arial Regular" w:eastAsia="Arial Regular" w:cs="Arial Regular"/>
                <w:i w:val="0"/>
                <w:iCs w:val="0"/>
                <w:caps w:val="0"/>
                <w:spacing w:val="0"/>
                <w:sz w:val="21"/>
                <w:szCs w:val="21"/>
              </w:rPr>
            </w:pPr>
            <w:r>
              <w:rPr>
                <w:rFonts w:hint="default" w:ascii="Arial Regular" w:hAnsi="Arial Regular" w:eastAsia="Arial Regular" w:cs="Arial Regular"/>
                <w:i w:val="0"/>
                <w:iCs w:val="0"/>
                <w:caps w:val="0"/>
                <w:spacing w:val="0"/>
                <w:sz w:val="21"/>
                <w:szCs w:val="21"/>
              </w:rPr>
              <w:t xml:space="preserve"> □1  □2  □3  □4  □5</w:t>
            </w:r>
          </w:p>
        </w:tc>
        <w:tc>
          <w:tcPr>
            <w:tcW w:w="1666" w:type="pct"/>
            <w:tcBorders>
              <w:top w:val="single" w:color="000000" w:sz="4" w:space="0"/>
              <w:left w:val="single" w:color="000000" w:sz="4" w:space="0"/>
              <w:bottom w:val="single" w:color="000000" w:sz="4" w:space="0"/>
              <w:right w:val="single" w:color="000000" w:sz="4" w:space="0"/>
            </w:tcBorders>
            <w:shd w:val="clear" w:color="FFFFFF" w:fill="FFFFFF"/>
          </w:tcPr>
          <w:p>
            <w:pPr>
              <w:keepNext w:val="0"/>
              <w:keepLines w:val="0"/>
              <w:suppressLineNumbers w:val="0"/>
              <w:spacing w:before="0" w:beforeAutospacing="0" w:after="0" w:afterAutospacing="0"/>
              <w:ind w:left="0" w:right="0"/>
              <w:rPr>
                <w:rFonts w:hint="default"/>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tcBorders>
              <w:top w:val="single" w:color="000000" w:sz="4" w:space="0"/>
              <w:left w:val="single" w:color="000000" w:sz="4" w:space="0"/>
              <w:bottom w:val="single" w:color="000000" w:sz="4" w:space="0"/>
              <w:right w:val="single" w:color="000000" w:sz="4" w:space="0"/>
            </w:tcBorders>
            <w:shd w:val="clear" w:color="FFFFFF" w:fill="FFFFFF"/>
          </w:tcPr>
          <w:p>
            <w:pPr>
              <w:keepNext w:val="0"/>
              <w:keepLines w:val="0"/>
              <w:suppressLineNumbers w:val="0"/>
              <w:spacing w:before="0" w:beforeAutospacing="0" w:after="0" w:afterAutospacing="0"/>
              <w:ind w:left="0" w:right="0"/>
              <w:rPr>
                <w:rFonts w:hint="default"/>
                <w:vertAlign w:val="baseline"/>
              </w:rPr>
            </w:pPr>
            <w:r>
              <w:rPr>
                <w:rFonts w:hint="default"/>
                <w:vertAlign w:val="baseline"/>
              </w:rPr>
              <w:t>升级实施效果</w:t>
            </w:r>
          </w:p>
        </w:tc>
        <w:tc>
          <w:tcPr>
            <w:tcW w:w="1666" w:type="pct"/>
            <w:tcBorders>
              <w:top w:val="single" w:color="000000" w:sz="4" w:space="0"/>
              <w:left w:val="single" w:color="000000" w:sz="4" w:space="0"/>
              <w:bottom w:val="single" w:color="000000" w:sz="4" w:space="0"/>
              <w:right w:val="single" w:color="000000" w:sz="4" w:space="0"/>
            </w:tcBorders>
            <w:shd w:val="clear" w:color="FFFFFF" w:fill="FFFFFF"/>
          </w:tcPr>
          <w:p>
            <w:pPr>
              <w:keepNext w:val="0"/>
              <w:keepLines w:val="0"/>
              <w:suppressLineNumbers w:val="0"/>
              <w:spacing w:before="0" w:beforeAutospacing="0" w:after="0" w:afterAutospacing="0"/>
              <w:ind w:left="0" w:right="0"/>
              <w:rPr>
                <w:rFonts w:hint="default" w:ascii="Arial Regular" w:hAnsi="Arial Regular" w:eastAsia="Arial Regular" w:cs="Arial Regular"/>
                <w:i w:val="0"/>
                <w:iCs w:val="0"/>
                <w:caps w:val="0"/>
                <w:spacing w:val="0"/>
                <w:sz w:val="21"/>
                <w:szCs w:val="21"/>
              </w:rPr>
            </w:pPr>
            <w:r>
              <w:rPr>
                <w:rFonts w:hint="default" w:ascii="Arial Regular" w:hAnsi="Arial Regular" w:eastAsia="Arial Regular" w:cs="Arial Regular"/>
                <w:i w:val="0"/>
                <w:iCs w:val="0"/>
                <w:caps w:val="0"/>
                <w:spacing w:val="0"/>
                <w:sz w:val="21"/>
                <w:szCs w:val="21"/>
              </w:rPr>
              <w:t xml:space="preserve"> □1  □2  □3  □4  □5</w:t>
            </w:r>
          </w:p>
        </w:tc>
        <w:tc>
          <w:tcPr>
            <w:tcW w:w="1666" w:type="pct"/>
            <w:tcBorders>
              <w:top w:val="single" w:color="000000" w:sz="4" w:space="0"/>
              <w:left w:val="single" w:color="000000" w:sz="4" w:space="0"/>
              <w:bottom w:val="single" w:color="000000" w:sz="4" w:space="0"/>
              <w:right w:val="single" w:color="000000" w:sz="4" w:space="0"/>
            </w:tcBorders>
            <w:shd w:val="clear" w:color="FFFFFF" w:fill="FFFFFF"/>
          </w:tcPr>
          <w:p>
            <w:pPr>
              <w:keepNext w:val="0"/>
              <w:keepLines w:val="0"/>
              <w:suppressLineNumbers w:val="0"/>
              <w:spacing w:before="0" w:beforeAutospacing="0" w:after="0" w:afterAutospacing="0"/>
              <w:ind w:left="0" w:right="0"/>
              <w:rPr>
                <w:rFonts w:hint="default"/>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tcBorders>
              <w:top w:val="single" w:color="000000" w:sz="4" w:space="0"/>
              <w:left w:val="single" w:color="000000" w:sz="4" w:space="0"/>
              <w:bottom w:val="single" w:color="000000" w:sz="4" w:space="0"/>
              <w:right w:val="single" w:color="000000" w:sz="4" w:space="0"/>
            </w:tcBorders>
            <w:shd w:val="clear" w:color="FFFFFF" w:fill="FFFFFF"/>
          </w:tcPr>
          <w:p>
            <w:pPr>
              <w:keepNext w:val="0"/>
              <w:keepLines w:val="0"/>
              <w:suppressLineNumbers w:val="0"/>
              <w:spacing w:before="0" w:beforeAutospacing="0" w:after="0" w:afterAutospacing="0"/>
              <w:ind w:left="0" w:right="0"/>
              <w:rPr>
                <w:rFonts w:hint="default"/>
                <w:vertAlign w:val="baseline"/>
              </w:rPr>
            </w:pPr>
            <w:r>
              <w:rPr>
                <w:rFonts w:hint="default"/>
                <w:vertAlign w:val="baseline"/>
              </w:rPr>
              <w:t>服务态度与沟通</w:t>
            </w:r>
          </w:p>
        </w:tc>
        <w:tc>
          <w:tcPr>
            <w:tcW w:w="1666" w:type="pct"/>
            <w:tcBorders>
              <w:top w:val="single" w:color="000000" w:sz="4" w:space="0"/>
              <w:left w:val="single" w:color="000000" w:sz="4" w:space="0"/>
              <w:bottom w:val="single" w:color="000000" w:sz="4" w:space="0"/>
              <w:right w:val="single" w:color="000000" w:sz="4" w:space="0"/>
            </w:tcBorders>
            <w:shd w:val="clear" w:color="FFFFFF" w:fill="FFFFFF"/>
          </w:tcPr>
          <w:p>
            <w:pPr>
              <w:keepNext w:val="0"/>
              <w:keepLines w:val="0"/>
              <w:suppressLineNumbers w:val="0"/>
              <w:spacing w:before="0" w:beforeAutospacing="0" w:after="0" w:afterAutospacing="0"/>
              <w:ind w:left="0" w:right="0"/>
              <w:rPr>
                <w:rFonts w:hint="default" w:ascii="Arial Regular" w:hAnsi="Arial Regular" w:eastAsia="Arial Regular" w:cs="Arial Regular"/>
                <w:i w:val="0"/>
                <w:iCs w:val="0"/>
                <w:caps w:val="0"/>
                <w:spacing w:val="0"/>
                <w:sz w:val="21"/>
                <w:szCs w:val="21"/>
              </w:rPr>
            </w:pPr>
            <w:r>
              <w:rPr>
                <w:rFonts w:hint="default" w:ascii="Arial Regular" w:hAnsi="Arial Regular" w:eastAsia="Arial Regular" w:cs="Arial Regular"/>
                <w:i w:val="0"/>
                <w:iCs w:val="0"/>
                <w:caps w:val="0"/>
                <w:spacing w:val="0"/>
                <w:sz w:val="21"/>
                <w:szCs w:val="21"/>
              </w:rPr>
              <w:t xml:space="preserve"> □1  □2  □3  □4  □5</w:t>
            </w:r>
          </w:p>
        </w:tc>
        <w:tc>
          <w:tcPr>
            <w:tcW w:w="1666" w:type="pct"/>
            <w:tcBorders>
              <w:top w:val="single" w:color="000000" w:sz="4" w:space="0"/>
              <w:left w:val="single" w:color="000000" w:sz="4" w:space="0"/>
              <w:bottom w:val="single" w:color="000000" w:sz="4" w:space="0"/>
              <w:right w:val="single" w:color="000000" w:sz="4" w:space="0"/>
            </w:tcBorders>
            <w:shd w:val="clear" w:color="FFFFFF" w:fill="FFFFFF"/>
          </w:tcPr>
          <w:p>
            <w:pPr>
              <w:keepNext w:val="0"/>
              <w:keepLines w:val="0"/>
              <w:suppressLineNumbers w:val="0"/>
              <w:spacing w:before="0" w:beforeAutospacing="0" w:after="0" w:afterAutospacing="0"/>
              <w:ind w:left="0" w:right="0"/>
              <w:rPr>
                <w:rFonts w:hint="default"/>
                <w:vertAlign w:val="baseline"/>
              </w:rPr>
            </w:pPr>
          </w:p>
        </w:tc>
      </w:tr>
    </w:tbl>
    <w:p>
      <w:pPr>
        <w:widowControl/>
        <w:numPr>
          <w:ilvl w:val="0"/>
          <w:numId w:val="0"/>
        </w:numPr>
        <w:autoSpaceDN w:val="0"/>
        <w:snapToGrid w:val="0"/>
        <w:spacing w:line="360" w:lineRule="auto"/>
        <w:jc w:val="center"/>
      </w:pPr>
    </w:p>
    <w:p>
      <w:pPr>
        <w:widowControl/>
        <w:numPr>
          <w:ilvl w:val="0"/>
          <w:numId w:val="0"/>
        </w:numPr>
        <w:autoSpaceDN w:val="0"/>
        <w:snapToGrid w:val="0"/>
        <w:spacing w:line="360" w:lineRule="auto"/>
        <w:ind w:firstLine="0"/>
        <w:jc w:val="both"/>
      </w:pPr>
      <w:r>
        <w:tab/>
      </w:r>
      <w:r>
        <w:tab/>
      </w:r>
      <w:r>
        <w:rPr>
          <w:rFonts w:ascii="宋体" w:hAnsi="宋体" w:eastAsia="宋体"/>
          <w:color w:val="000000" w:themeColor="text1"/>
          <w:sz w:val="24"/>
          <w14:textFill>
            <w14:solidFill>
              <w14:schemeClr w14:val="tx1"/>
            </w14:solidFill>
          </w14:textFill>
        </w:rPr>
        <w:t>支付比例：</w:t>
      </w:r>
    </w:p>
    <w:p>
      <w:pPr>
        <w:widowControl/>
        <w:numPr>
          <w:ilvl w:val="-1"/>
          <w:numId w:val="0"/>
        </w:numPr>
        <w:autoSpaceDN w:val="0"/>
        <w:snapToGrid w:val="0"/>
        <w:spacing w:line="360" w:lineRule="auto"/>
        <w:ind w:left="420" w:firstLine="420"/>
        <w:jc w:val="both"/>
        <w:rPr>
          <w:rFonts w:ascii="宋体" w:hAnsi="宋体" w:eastAsia="宋体" w:cstheme="minorBidi"/>
          <w:i w:val="0"/>
          <w:iCs w:val="0"/>
          <w:caps w:val="0"/>
          <w:color w:val="000000" w:themeColor="text1"/>
          <w:spacing w:val="0"/>
          <w:sz w:val="24"/>
          <w:szCs w:val="24"/>
          <w14:textFill>
            <w14:solidFill>
              <w14:schemeClr w14:val="tx1"/>
            </w14:solidFill>
          </w14:textFill>
        </w:rPr>
      </w:pPr>
      <w:r>
        <w:rPr>
          <w:rFonts w:hint="default" w:ascii="宋体" w:hAnsi="宋体" w:eastAsia="宋体"/>
          <w:color w:val="000000" w:themeColor="text1"/>
          <w:sz w:val="24"/>
          <w:lang w:eastAsia="zh-CN"/>
          <w14:textFill>
            <w14:solidFill>
              <w14:schemeClr w14:val="tx1"/>
            </w14:solidFill>
          </w14:textFill>
        </w:rPr>
        <w:t>1、</w:t>
      </w:r>
      <w:r>
        <w:rPr>
          <w:rStyle w:val="20"/>
          <w:rFonts w:ascii="宋体" w:hAnsi="宋体" w:eastAsia="宋体" w:cstheme="minorBidi"/>
          <w:i w:val="0"/>
          <w:iCs w:val="0"/>
          <w:caps w:val="0"/>
          <w:color w:val="000000" w:themeColor="text1"/>
          <w:spacing w:val="0"/>
          <w:sz w:val="24"/>
          <w:szCs w:val="24"/>
          <w14:textFill>
            <w14:solidFill>
              <w14:schemeClr w14:val="tx1"/>
            </w14:solidFill>
          </w14:textFill>
        </w:rPr>
        <w:t>23分 ≤ 总分 ≤ 25分</w:t>
      </w:r>
      <w:r>
        <w:rPr>
          <w:rFonts w:ascii="宋体" w:hAnsi="宋体" w:eastAsia="宋体" w:cstheme="minorBidi"/>
          <w:i w:val="0"/>
          <w:iCs w:val="0"/>
          <w:caps w:val="0"/>
          <w:color w:val="000000" w:themeColor="text1"/>
          <w:spacing w:val="0"/>
          <w:sz w:val="24"/>
          <w:szCs w:val="24"/>
          <w14:textFill>
            <w14:solidFill>
              <w14:schemeClr w14:val="tx1"/>
            </w14:solidFill>
          </w14:textFill>
        </w:rPr>
        <w:t>，100%</w:t>
      </w:r>
    </w:p>
    <w:p>
      <w:pPr>
        <w:widowControl/>
        <w:numPr>
          <w:ilvl w:val="-1"/>
          <w:numId w:val="0"/>
        </w:numPr>
        <w:autoSpaceDN w:val="0"/>
        <w:snapToGrid w:val="0"/>
        <w:spacing w:line="360" w:lineRule="auto"/>
        <w:ind w:left="420" w:firstLine="420"/>
        <w:jc w:val="both"/>
        <w:rPr>
          <w:rStyle w:val="20"/>
          <w:rFonts w:ascii="宋体" w:hAnsi="宋体" w:eastAsia="宋体" w:cstheme="minorBidi"/>
          <w:i w:val="0"/>
          <w:iCs w:val="0"/>
          <w:caps w:val="0"/>
          <w:color w:val="000000" w:themeColor="text1"/>
          <w:spacing w:val="0"/>
          <w:sz w:val="24"/>
          <w:szCs w:val="24"/>
          <w14:textFill>
            <w14:solidFill>
              <w14:schemeClr w14:val="tx1"/>
            </w14:solidFill>
          </w14:textFill>
        </w:rPr>
      </w:pPr>
      <w:r>
        <w:rPr>
          <w:rFonts w:ascii="宋体" w:hAnsi="宋体" w:eastAsia="宋体" w:cstheme="minorBidi"/>
          <w:i w:val="0"/>
          <w:iCs w:val="0"/>
          <w:caps w:val="0"/>
          <w:color w:val="000000" w:themeColor="text1"/>
          <w:spacing w:val="0"/>
          <w:sz w:val="24"/>
          <w:szCs w:val="24"/>
          <w14:textFill>
            <w14:solidFill>
              <w14:schemeClr w14:val="tx1"/>
            </w14:solidFill>
          </w14:textFill>
        </w:rPr>
        <w:t>2、</w:t>
      </w:r>
      <w:r>
        <w:rPr>
          <w:rStyle w:val="20"/>
          <w:rFonts w:ascii="宋体" w:hAnsi="宋体" w:eastAsia="宋体" w:cstheme="minorBidi"/>
          <w:i w:val="0"/>
          <w:iCs w:val="0"/>
          <w:caps w:val="0"/>
          <w:color w:val="000000" w:themeColor="text1"/>
          <w:spacing w:val="0"/>
          <w:sz w:val="24"/>
          <w:szCs w:val="24"/>
          <w14:textFill>
            <w14:solidFill>
              <w14:schemeClr w14:val="tx1"/>
            </w14:solidFill>
          </w14:textFill>
        </w:rPr>
        <w:t>20分 ≤ 总分 &lt; 23分，90%</w:t>
      </w:r>
    </w:p>
    <w:p>
      <w:pPr>
        <w:widowControl/>
        <w:numPr>
          <w:ilvl w:val="-1"/>
          <w:numId w:val="0"/>
        </w:numPr>
        <w:autoSpaceDN w:val="0"/>
        <w:snapToGrid w:val="0"/>
        <w:spacing w:line="360" w:lineRule="auto"/>
        <w:ind w:left="420" w:firstLine="420"/>
        <w:jc w:val="both"/>
        <w:rPr>
          <w:rStyle w:val="20"/>
          <w:rFonts w:ascii="宋体" w:hAnsi="宋体" w:eastAsia="宋体" w:cstheme="minorBidi"/>
          <w:i w:val="0"/>
          <w:iCs w:val="0"/>
          <w:caps w:val="0"/>
          <w:color w:val="000000" w:themeColor="text1"/>
          <w:spacing w:val="0"/>
          <w:sz w:val="24"/>
          <w:szCs w:val="24"/>
          <w14:textFill>
            <w14:solidFill>
              <w14:schemeClr w14:val="tx1"/>
            </w14:solidFill>
          </w14:textFill>
        </w:rPr>
      </w:pPr>
      <w:r>
        <w:rPr>
          <w:rStyle w:val="20"/>
          <w:rFonts w:ascii="宋体" w:hAnsi="宋体" w:eastAsia="宋体" w:cstheme="minorBidi"/>
          <w:i w:val="0"/>
          <w:iCs w:val="0"/>
          <w:caps w:val="0"/>
          <w:color w:val="000000" w:themeColor="text1"/>
          <w:spacing w:val="0"/>
          <w:sz w:val="24"/>
          <w:szCs w:val="24"/>
          <w14:textFill>
            <w14:solidFill>
              <w14:schemeClr w14:val="tx1"/>
            </w14:solidFill>
          </w14:textFill>
        </w:rPr>
        <w:t>3、17分 ≤ 总分 &lt; 20分，80%</w:t>
      </w:r>
    </w:p>
    <w:p>
      <w:pPr>
        <w:widowControl/>
        <w:numPr>
          <w:ilvl w:val="-1"/>
          <w:numId w:val="0"/>
        </w:numPr>
        <w:autoSpaceDN w:val="0"/>
        <w:snapToGrid w:val="0"/>
        <w:spacing w:line="360" w:lineRule="auto"/>
        <w:ind w:left="420" w:firstLine="420"/>
        <w:jc w:val="both"/>
        <w:rPr>
          <w:rStyle w:val="20"/>
          <w:rFonts w:ascii="宋体" w:hAnsi="宋体" w:eastAsia="宋体" w:cstheme="minorBidi"/>
          <w:i w:val="0"/>
          <w:iCs w:val="0"/>
          <w:caps w:val="0"/>
          <w:color w:val="000000" w:themeColor="text1"/>
          <w:spacing w:val="0"/>
          <w:sz w:val="24"/>
          <w:szCs w:val="24"/>
          <w14:textFill>
            <w14:solidFill>
              <w14:schemeClr w14:val="tx1"/>
            </w14:solidFill>
          </w14:textFill>
        </w:rPr>
      </w:pPr>
      <w:r>
        <w:rPr>
          <w:rStyle w:val="20"/>
          <w:rFonts w:ascii="宋体" w:hAnsi="宋体" w:eastAsia="宋体" w:cstheme="minorBidi"/>
          <w:i w:val="0"/>
          <w:iCs w:val="0"/>
          <w:caps w:val="0"/>
          <w:color w:val="000000" w:themeColor="text1"/>
          <w:spacing w:val="0"/>
          <w:sz w:val="24"/>
          <w:szCs w:val="24"/>
          <w14:textFill>
            <w14:solidFill>
              <w14:schemeClr w14:val="tx1"/>
            </w14:solidFill>
          </w14:textFill>
        </w:rPr>
        <w:t>4、14分 ≤ 总分 &lt; 17分，70%</w:t>
      </w:r>
    </w:p>
    <w:p>
      <w:pPr>
        <w:widowControl/>
        <w:numPr>
          <w:ilvl w:val="0"/>
          <w:numId w:val="11"/>
        </w:numPr>
        <w:autoSpaceDN w:val="0"/>
        <w:snapToGrid w:val="0"/>
        <w:spacing w:line="360" w:lineRule="auto"/>
        <w:ind w:left="420" w:firstLine="420"/>
        <w:jc w:val="both"/>
        <w:rPr>
          <w:rFonts w:ascii="宋体" w:hAnsi="宋体" w:eastAsia="宋体" w:cstheme="minorBidi"/>
          <w:i w:val="0"/>
          <w:iCs w:val="0"/>
          <w:caps w:val="0"/>
          <w:color w:val="000000" w:themeColor="text1"/>
          <w:spacing w:val="0"/>
          <w:sz w:val="24"/>
          <w:szCs w:val="24"/>
          <w14:textFill>
            <w14:solidFill>
              <w14:schemeClr w14:val="tx1"/>
            </w14:solidFill>
          </w14:textFill>
        </w:rPr>
      </w:pPr>
      <w:r>
        <w:rPr>
          <w:rStyle w:val="20"/>
          <w:rFonts w:ascii="宋体" w:hAnsi="宋体" w:eastAsia="宋体" w:cstheme="minorBidi"/>
          <w:i w:val="0"/>
          <w:iCs w:val="0"/>
          <w:caps w:val="0"/>
          <w:color w:val="000000" w:themeColor="text1"/>
          <w:spacing w:val="0"/>
          <w:sz w:val="24"/>
          <w:szCs w:val="24"/>
          <w14:textFill>
            <w14:solidFill>
              <w14:schemeClr w14:val="tx1"/>
            </w14:solidFill>
          </w14:textFill>
        </w:rPr>
        <w:t>总分 &lt; 14分，60%</w:t>
      </w:r>
    </w:p>
    <w:p>
      <w:pPr>
        <w:widowControl/>
        <w:numPr>
          <w:ilvl w:val="-1"/>
          <w:numId w:val="0"/>
        </w:numPr>
        <w:autoSpaceDN w:val="0"/>
        <w:snapToGrid w:val="0"/>
        <w:spacing w:line="360" w:lineRule="auto"/>
        <w:ind w:left="840" w:firstLine="0"/>
        <w:jc w:val="both"/>
        <w:rPr>
          <w:rFonts w:hint="default" w:ascii="宋体" w:hAnsi="宋体" w:eastAsia="宋体" w:cstheme="minorBidi"/>
          <w:color w:val="000000" w:themeColor="text1"/>
          <w:sz w:val="24"/>
          <w:szCs w:val="24"/>
          <w:lang w:eastAsia="zh-CN"/>
          <w14:textFill>
            <w14:solidFill>
              <w14:schemeClr w14:val="tx1"/>
            </w14:solidFill>
          </w14:textFill>
        </w:rPr>
      </w:pPr>
    </w:p>
    <w:p>
      <w:pPr>
        <w:widowControl/>
        <w:numPr>
          <w:ilvl w:val="-1"/>
          <w:numId w:val="0"/>
        </w:numPr>
        <w:autoSpaceDN w:val="0"/>
        <w:snapToGrid w:val="0"/>
        <w:spacing w:line="360" w:lineRule="auto"/>
        <w:ind w:left="840" w:firstLine="0"/>
        <w:jc w:val="both"/>
        <w:rPr>
          <w:rFonts w:hint="default" w:ascii="宋体" w:hAnsi="宋体" w:eastAsia="宋体" w:cstheme="minorBidi"/>
          <w:color w:val="000000" w:themeColor="text1"/>
          <w:sz w:val="24"/>
          <w:szCs w:val="24"/>
          <w:lang w:eastAsia="zh-CN"/>
          <w14:textFill>
            <w14:solidFill>
              <w14:schemeClr w14:val="tx1"/>
            </w14:solidFill>
          </w14:textFill>
        </w:rPr>
      </w:pPr>
    </w:p>
    <w:p>
      <w:pPr>
        <w:pStyle w:val="2"/>
        <w:numPr>
          <w:ilvl w:val="0"/>
          <w:numId w:val="0"/>
        </w:numPr>
        <w:rPr>
          <w:rFonts w:hint="eastAsia" w:ascii="仿宋_GB2312" w:hAnsi="仿宋_GB2312" w:eastAsia="仿宋_GB2312" w:cs="仿宋_GB2312"/>
          <w:b/>
          <w:bCs/>
          <w:sz w:val="28"/>
          <w:szCs w:val="28"/>
          <w:lang w:val="en-US" w:eastAsia="zh-CN"/>
        </w:rPr>
      </w:pPr>
      <w:r>
        <w:rPr>
          <w:rFonts w:hint="default" w:ascii="仿宋_GB2312" w:hAnsi="仿宋_GB2312" w:eastAsia="仿宋_GB2312" w:cs="仿宋_GB2312"/>
          <w:b/>
          <w:bCs/>
          <w:sz w:val="28"/>
          <w:szCs w:val="28"/>
          <w:lang w:eastAsia="zh-CN"/>
        </w:rPr>
        <w:t>九</w:t>
      </w:r>
      <w:r>
        <w:rPr>
          <w:rFonts w:hint="eastAsia" w:ascii="仿宋_GB2312" w:hAnsi="仿宋_GB2312" w:eastAsia="仿宋_GB2312" w:cs="仿宋_GB2312"/>
          <w:b/>
          <w:bCs/>
          <w:sz w:val="28"/>
          <w:szCs w:val="28"/>
          <w:lang w:val="en-US" w:eastAsia="zh-CN"/>
        </w:rPr>
        <w:t>、付款办法</w:t>
      </w:r>
    </w:p>
    <w:p>
      <w:pPr>
        <w:pStyle w:val="16"/>
        <w:widowControl/>
        <w:numPr>
          <w:ilvl w:val="0"/>
          <w:numId w:val="0"/>
        </w:numPr>
        <w:tabs>
          <w:tab w:val="center" w:pos="4201"/>
          <w:tab w:val="right" w:leader="dot" w:pos="9298"/>
        </w:tabs>
        <w:autoSpaceDE w:val="0"/>
        <w:autoSpaceDN w:val="0"/>
        <w:snapToGrid w:val="0"/>
        <w:spacing w:before="156" w:beforeLines="50" w:line="300" w:lineRule="auto"/>
        <w:ind w:firstLine="480" w:firstLineChars="200"/>
        <w:jc w:val="both"/>
        <w:outlineLvl w:val="1"/>
        <w:rPr>
          <w:rFonts w:hint="eastAsia" w:ascii="宋体" w:hAnsi="宋体" w:eastAsia="宋体"/>
          <w:color w:val="000000" w:themeColor="text1"/>
          <w:sz w:val="24"/>
          <w:lang w:val="en-US" w:eastAsia="zh-CN"/>
          <w14:textFill>
            <w14:solidFill>
              <w14:schemeClr w14:val="tx1"/>
            </w14:solidFill>
          </w14:textFill>
        </w:rPr>
      </w:pPr>
      <w:r>
        <w:rPr>
          <w:rFonts w:hint="eastAsia" w:ascii="宋体" w:hAnsi="宋体" w:eastAsia="宋体"/>
          <w:color w:val="000000" w:themeColor="text1"/>
          <w:sz w:val="24"/>
          <w:lang w:val="en-US" w:eastAsia="zh-CN"/>
          <w14:textFill>
            <w14:solidFill>
              <w14:schemeClr w14:val="tx1"/>
            </w14:solidFill>
          </w14:textFill>
        </w:rPr>
        <w:t>在合同签订生效后，</w:t>
      </w:r>
      <w:r>
        <w:rPr>
          <w:rFonts w:hint="default" w:ascii="宋体" w:hAnsi="宋体" w:eastAsia="宋体"/>
          <w:color w:val="000000" w:themeColor="text1"/>
          <w:sz w:val="24"/>
          <w:lang w:eastAsia="zh-CN"/>
          <w14:textFill>
            <w14:solidFill>
              <w14:schemeClr w14:val="tx1"/>
            </w14:solidFill>
          </w14:textFill>
        </w:rPr>
        <w:t>甲方</w:t>
      </w:r>
      <w:r>
        <w:rPr>
          <w:rFonts w:hint="eastAsia" w:ascii="宋体" w:hAnsi="宋体" w:eastAsia="宋体"/>
          <w:color w:val="000000" w:themeColor="text1"/>
          <w:sz w:val="24"/>
          <w:lang w:val="en-US" w:eastAsia="zh-CN"/>
          <w14:textFill>
            <w14:solidFill>
              <w14:schemeClr w14:val="tx1"/>
            </w14:solidFill>
          </w14:textFill>
        </w:rPr>
        <w:t>支付合同总价款的</w:t>
      </w:r>
      <w:r>
        <w:rPr>
          <w:rFonts w:hint="default" w:ascii="宋体" w:hAnsi="宋体" w:eastAsia="宋体"/>
          <w:color w:val="000000" w:themeColor="text1"/>
          <w:sz w:val="24"/>
          <w:lang w:eastAsia="zh-CN"/>
          <w14:textFill>
            <w14:solidFill>
              <w14:schemeClr w14:val="tx1"/>
            </w14:solidFill>
          </w14:textFill>
        </w:rPr>
        <w:t>30</w:t>
      </w:r>
      <w:r>
        <w:rPr>
          <w:rFonts w:hint="eastAsia" w:ascii="宋体" w:hAnsi="宋体" w:eastAsia="宋体"/>
          <w:color w:val="000000" w:themeColor="text1"/>
          <w:sz w:val="24"/>
          <w:lang w:val="en-US" w:eastAsia="zh-CN"/>
          <w14:textFill>
            <w14:solidFill>
              <w14:schemeClr w14:val="tx1"/>
            </w14:solidFill>
          </w14:textFill>
        </w:rPr>
        <w:t>%作为预付款</w:t>
      </w:r>
      <w:r>
        <w:rPr>
          <w:rFonts w:hint="default" w:ascii="宋体" w:hAnsi="宋体" w:eastAsia="宋体"/>
          <w:color w:val="000000" w:themeColor="text1"/>
          <w:sz w:val="24"/>
          <w:lang w:eastAsia="zh-CN"/>
          <w14:textFill>
            <w14:solidFill>
              <w14:schemeClr w14:val="tx1"/>
            </w14:solidFill>
          </w14:textFill>
        </w:rPr>
        <w:t>；第二年服务期结束后</w:t>
      </w:r>
      <w:r>
        <w:rPr>
          <w:rFonts w:hint="eastAsia" w:ascii="宋体" w:hAnsi="宋体" w:eastAsia="宋体"/>
          <w:color w:val="000000" w:themeColor="text1"/>
          <w:sz w:val="24"/>
          <w:lang w:val="en-US" w:eastAsia="zh-CN"/>
          <w14:textFill>
            <w14:solidFill>
              <w14:schemeClr w14:val="tx1"/>
            </w14:solidFill>
          </w14:textFill>
        </w:rPr>
        <w:t>，凭维护服务记录和请款函支付合同总价的</w:t>
      </w:r>
      <w:r>
        <w:rPr>
          <w:rFonts w:hint="default" w:ascii="宋体" w:hAnsi="宋体" w:eastAsia="宋体"/>
          <w:color w:val="000000" w:themeColor="text1"/>
          <w:sz w:val="24"/>
          <w:lang w:eastAsia="zh-CN"/>
          <w14:textFill>
            <w14:solidFill>
              <w14:schemeClr w14:val="tx1"/>
            </w14:solidFill>
          </w14:textFill>
        </w:rPr>
        <w:t>30</w:t>
      </w:r>
      <w:r>
        <w:rPr>
          <w:rFonts w:hint="eastAsia" w:ascii="宋体" w:hAnsi="宋体" w:eastAsia="宋体"/>
          <w:color w:val="000000" w:themeColor="text1"/>
          <w:sz w:val="24"/>
          <w:lang w:val="en-US" w:eastAsia="zh-CN"/>
          <w14:textFill>
            <w14:solidFill>
              <w14:schemeClr w14:val="tx1"/>
            </w14:solidFill>
          </w14:textFill>
        </w:rPr>
        <w:t>%</w:t>
      </w:r>
      <w:r>
        <w:rPr>
          <w:rFonts w:hint="default" w:ascii="宋体" w:hAnsi="宋体" w:eastAsia="宋体"/>
          <w:color w:val="000000" w:themeColor="text1"/>
          <w:sz w:val="24"/>
          <w:lang w:eastAsia="zh-CN"/>
          <w14:textFill>
            <w14:solidFill>
              <w14:schemeClr w14:val="tx1"/>
            </w14:solidFill>
          </w14:textFill>
        </w:rPr>
        <w:t>，</w:t>
      </w:r>
      <w:r>
        <w:rPr>
          <w:rFonts w:hint="eastAsia" w:ascii="宋体" w:hAnsi="宋体" w:eastAsia="宋体" w:cstheme="minorBidi"/>
          <w:color w:val="000000" w:themeColor="text1"/>
          <w:kern w:val="2"/>
          <w:sz w:val="24"/>
          <w:szCs w:val="24"/>
          <w:lang w:val="en-US" w:eastAsia="zh-CN" w:bidi="ar"/>
          <w14:textFill>
            <w14:solidFill>
              <w14:schemeClr w14:val="tx1"/>
            </w14:solidFill>
          </w14:textFill>
        </w:rPr>
        <w:t>甲方依据当</w:t>
      </w:r>
      <w:r>
        <w:rPr>
          <w:rFonts w:hint="default" w:ascii="宋体" w:hAnsi="宋体" w:eastAsia="宋体" w:cstheme="minorBidi"/>
          <w:color w:val="000000" w:themeColor="text1"/>
          <w:kern w:val="2"/>
          <w:sz w:val="24"/>
          <w:szCs w:val="24"/>
          <w:lang w:eastAsia="zh-CN" w:bidi="ar"/>
          <w14:textFill>
            <w14:solidFill>
              <w14:schemeClr w14:val="tx1"/>
            </w14:solidFill>
          </w14:textFill>
        </w:rPr>
        <w:t>年服务评价结果</w:t>
      </w:r>
      <w:r>
        <w:rPr>
          <w:rFonts w:hint="eastAsia" w:ascii="宋体" w:hAnsi="宋体" w:eastAsia="宋体" w:cstheme="minorBidi"/>
          <w:color w:val="000000" w:themeColor="text1"/>
          <w:kern w:val="2"/>
          <w:sz w:val="24"/>
          <w:szCs w:val="24"/>
          <w:lang w:val="en-US" w:eastAsia="zh-CN" w:bidi="ar"/>
          <w14:textFill>
            <w14:solidFill>
              <w14:schemeClr w14:val="tx1"/>
            </w14:solidFill>
          </w14:textFill>
        </w:rPr>
        <w:t>，按照</w:t>
      </w:r>
      <w:r>
        <w:rPr>
          <w:rFonts w:hint="default" w:ascii="宋体" w:hAnsi="宋体" w:eastAsia="宋体" w:cstheme="minorBidi"/>
          <w:color w:val="000000" w:themeColor="text1"/>
          <w:kern w:val="2"/>
          <w:sz w:val="24"/>
          <w:szCs w:val="24"/>
          <w:lang w:eastAsia="zh-CN" w:bidi="ar"/>
          <w14:textFill>
            <w14:solidFill>
              <w14:schemeClr w14:val="tx1"/>
            </w14:solidFill>
          </w14:textFill>
        </w:rPr>
        <w:t>评价分数</w:t>
      </w:r>
      <w:r>
        <w:rPr>
          <w:rFonts w:hint="eastAsia" w:ascii="宋体" w:hAnsi="宋体" w:eastAsia="宋体" w:cstheme="minorBidi"/>
          <w:color w:val="000000" w:themeColor="text1"/>
          <w:kern w:val="2"/>
          <w:sz w:val="24"/>
          <w:szCs w:val="24"/>
          <w:lang w:val="en-US" w:eastAsia="zh-CN" w:bidi="ar"/>
          <w14:textFill>
            <w14:solidFill>
              <w14:schemeClr w14:val="tx1"/>
            </w14:solidFill>
          </w14:textFill>
        </w:rPr>
        <w:t>对应的支付比例完成款项支付</w:t>
      </w:r>
      <w:r>
        <w:rPr>
          <w:rFonts w:hint="default" w:ascii="宋体" w:hAnsi="宋体" w:eastAsia="宋体"/>
          <w:color w:val="000000" w:themeColor="text1"/>
          <w:sz w:val="24"/>
          <w:lang w:eastAsia="zh-CN"/>
          <w14:textFill>
            <w14:solidFill>
              <w14:schemeClr w14:val="tx1"/>
            </w14:solidFill>
          </w14:textFill>
        </w:rPr>
        <w:t>；合同维护服务期结束后，</w:t>
      </w:r>
      <w:r>
        <w:rPr>
          <w:rFonts w:hint="eastAsia" w:ascii="宋体" w:hAnsi="宋体" w:eastAsia="宋体"/>
          <w:color w:val="000000" w:themeColor="text1"/>
          <w:sz w:val="24"/>
          <w:lang w:val="en-US" w:eastAsia="zh-CN"/>
          <w14:textFill>
            <w14:solidFill>
              <w14:schemeClr w14:val="tx1"/>
            </w14:solidFill>
          </w14:textFill>
        </w:rPr>
        <w:t>凭维护服务记录、项目验收报告、请款函支付合同总价的</w:t>
      </w:r>
      <w:r>
        <w:rPr>
          <w:rFonts w:hint="default" w:ascii="宋体" w:hAnsi="宋体" w:eastAsia="宋体"/>
          <w:color w:val="000000" w:themeColor="text1"/>
          <w:sz w:val="24"/>
          <w:lang w:eastAsia="zh-CN"/>
          <w14:textFill>
            <w14:solidFill>
              <w14:schemeClr w14:val="tx1"/>
            </w14:solidFill>
          </w14:textFill>
        </w:rPr>
        <w:t>40</w:t>
      </w:r>
      <w:r>
        <w:rPr>
          <w:rFonts w:hint="eastAsia" w:ascii="宋体" w:hAnsi="宋体" w:eastAsia="宋体"/>
          <w:color w:val="000000" w:themeColor="text1"/>
          <w:sz w:val="24"/>
          <w:lang w:val="en-US" w:eastAsia="zh-CN"/>
          <w14:textFill>
            <w14:solidFill>
              <w14:schemeClr w14:val="tx1"/>
            </w14:solidFill>
          </w14:textFill>
        </w:rPr>
        <w:t>%</w:t>
      </w:r>
      <w:r>
        <w:rPr>
          <w:rFonts w:hint="default" w:ascii="宋体" w:hAnsi="宋体" w:eastAsia="宋体"/>
          <w:color w:val="000000" w:themeColor="text1"/>
          <w:sz w:val="24"/>
          <w:lang w:eastAsia="zh-CN"/>
          <w14:textFill>
            <w14:solidFill>
              <w14:schemeClr w14:val="tx1"/>
            </w14:solidFill>
          </w14:textFill>
        </w:rPr>
        <w:t>，</w:t>
      </w:r>
      <w:r>
        <w:rPr>
          <w:rFonts w:hint="eastAsia" w:ascii="宋体" w:hAnsi="宋体" w:eastAsia="宋体" w:cstheme="minorBidi"/>
          <w:color w:val="000000" w:themeColor="text1"/>
          <w:kern w:val="2"/>
          <w:sz w:val="24"/>
          <w:szCs w:val="24"/>
          <w:lang w:val="en-US" w:eastAsia="zh-CN" w:bidi="ar"/>
          <w14:textFill>
            <w14:solidFill>
              <w14:schemeClr w14:val="tx1"/>
            </w14:solidFill>
          </w14:textFill>
        </w:rPr>
        <w:t>甲方依据当</w:t>
      </w:r>
      <w:r>
        <w:rPr>
          <w:rFonts w:hint="default" w:ascii="宋体" w:hAnsi="宋体" w:eastAsia="宋体" w:cstheme="minorBidi"/>
          <w:color w:val="000000" w:themeColor="text1"/>
          <w:kern w:val="2"/>
          <w:sz w:val="24"/>
          <w:szCs w:val="24"/>
          <w:lang w:eastAsia="zh-CN" w:bidi="ar"/>
          <w14:textFill>
            <w14:solidFill>
              <w14:schemeClr w14:val="tx1"/>
            </w14:solidFill>
          </w14:textFill>
        </w:rPr>
        <w:t>年服务评价结果</w:t>
      </w:r>
      <w:r>
        <w:rPr>
          <w:rFonts w:hint="eastAsia" w:ascii="宋体" w:hAnsi="宋体" w:eastAsia="宋体" w:cstheme="minorBidi"/>
          <w:color w:val="000000" w:themeColor="text1"/>
          <w:kern w:val="2"/>
          <w:sz w:val="24"/>
          <w:szCs w:val="24"/>
          <w:lang w:val="en-US" w:eastAsia="zh-CN" w:bidi="ar"/>
          <w14:textFill>
            <w14:solidFill>
              <w14:schemeClr w14:val="tx1"/>
            </w14:solidFill>
          </w14:textFill>
        </w:rPr>
        <w:t>，按照</w:t>
      </w:r>
      <w:r>
        <w:rPr>
          <w:rFonts w:hint="default" w:ascii="宋体" w:hAnsi="宋体" w:eastAsia="宋体" w:cstheme="minorBidi"/>
          <w:color w:val="000000" w:themeColor="text1"/>
          <w:kern w:val="2"/>
          <w:sz w:val="24"/>
          <w:szCs w:val="24"/>
          <w:lang w:eastAsia="zh-CN" w:bidi="ar"/>
          <w14:textFill>
            <w14:solidFill>
              <w14:schemeClr w14:val="tx1"/>
            </w14:solidFill>
          </w14:textFill>
        </w:rPr>
        <w:t>评价分数</w:t>
      </w:r>
      <w:r>
        <w:rPr>
          <w:rFonts w:hint="eastAsia" w:ascii="宋体" w:hAnsi="宋体" w:eastAsia="宋体" w:cstheme="minorBidi"/>
          <w:color w:val="000000" w:themeColor="text1"/>
          <w:kern w:val="2"/>
          <w:sz w:val="24"/>
          <w:szCs w:val="24"/>
          <w:lang w:val="en-US" w:eastAsia="zh-CN" w:bidi="ar"/>
          <w14:textFill>
            <w14:solidFill>
              <w14:schemeClr w14:val="tx1"/>
            </w14:solidFill>
          </w14:textFill>
        </w:rPr>
        <w:t>对应的支付比例完成款项支付</w:t>
      </w:r>
      <w:r>
        <w:rPr>
          <w:rFonts w:hint="eastAsia" w:ascii="宋体" w:hAnsi="宋体" w:eastAsia="宋体"/>
          <w:color w:val="000000" w:themeColor="text1"/>
          <w:sz w:val="24"/>
          <w:lang w:val="en-US" w:eastAsia="zh-CN"/>
          <w14:textFill>
            <w14:solidFill>
              <w14:schemeClr w14:val="tx1"/>
            </w14:solidFill>
          </w14:textFill>
        </w:rPr>
        <w:t>，以上支付内容，乙方需开具合法有效等额发票，甲方收到发票后的5个工作日内办理支付。</w:t>
      </w:r>
    </w:p>
    <w:p>
      <w:pPr>
        <w:widowControl/>
        <w:numPr>
          <w:ilvl w:val="-1"/>
          <w:numId w:val="0"/>
        </w:numPr>
        <w:autoSpaceDN w:val="0"/>
        <w:snapToGrid w:val="0"/>
        <w:spacing w:line="360" w:lineRule="auto"/>
        <w:ind w:left="0" w:firstLine="0"/>
        <w:jc w:val="both"/>
        <w:rPr>
          <w:rFonts w:hint="default" w:ascii="宋体" w:hAnsi="宋体" w:eastAsia="宋体"/>
          <w:color w:val="000000" w:themeColor="text1"/>
          <w:sz w:val="24"/>
          <w:lang w:eastAsia="zh-CN"/>
          <w14:textFill>
            <w14:solidFill>
              <w14:schemeClr w14:val="tx1"/>
            </w14:solidFill>
          </w14:textFill>
        </w:rPr>
      </w:pPr>
    </w:p>
    <w:sectPr>
      <w:headerReference r:id="rId4" w:type="first"/>
      <w:footerReference r:id="rId6" w:type="first"/>
      <w:headerReference r:id="rId3" w:type="even"/>
      <w:footerReference r:id="rId5"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Light">
    <w:altName w:val="华文宋体"/>
    <w:panose1 w:val="02010600030101010101"/>
    <w:charset w:val="86"/>
    <w:family w:val="auto"/>
    <w:pitch w:val="default"/>
    <w:sig w:usb0="00000000" w:usb1="00000000" w:usb2="00000016" w:usb3="00000000" w:csb0="0004000F" w:csb1="00000000"/>
  </w:font>
  <w:font w:name="华文宋体">
    <w:panose1 w:val="02010600040101010101"/>
    <w:charset w:val="86"/>
    <w:family w:val="auto"/>
    <w:pitch w:val="default"/>
    <w:sig w:usb0="00000287" w:usb1="080F0000" w:usb2="00000000" w:usb3="00000000" w:csb0="0004009F" w:csb1="DFD70000"/>
  </w:font>
  <w:font w:name="仿宋">
    <w:altName w:val="汉仪仿宋KW"/>
    <w:panose1 w:val="02010609060101010101"/>
    <w:charset w:val="86"/>
    <w:family w:val="modern"/>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 w:name="仿宋_GB2312">
    <w:panose1 w:val="02010609030101010101"/>
    <w:charset w:val="86"/>
    <w:family w:val="auto"/>
    <w:pitch w:val="default"/>
    <w:sig w:usb0="00000001" w:usb1="080E0000" w:usb2="00000000" w:usb3="00000000" w:csb0="00040000" w:csb1="00000000"/>
  </w:font>
  <w:font w:name="Arial Regular">
    <w:altName w:val="Arial"/>
    <w:panose1 w:val="00000000000000000000"/>
    <w:charset w:val="00"/>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ABDB87"/>
    <w:multiLevelType w:val="multilevel"/>
    <w:tmpl w:val="A7ABDB87"/>
    <w:lvl w:ilvl="0" w:tentative="0">
      <w:start w:val="1"/>
      <w:numFmt w:val="decimal"/>
      <w:lvlText w:val="%1."/>
      <w:lvlJc w:val="left"/>
      <w:pPr>
        <w:ind w:left="420" w:hanging="420"/>
      </w:pPr>
      <w:rPr>
        <w:rFonts w:hint="default" w:ascii="Times New Roman" w:hAnsi="Times New Roman" w:cs="Times New Roman"/>
      </w:rPr>
    </w:lvl>
    <w:lvl w:ilvl="1" w:tentative="0">
      <w:start w:val="1"/>
      <w:numFmt w:val="lowerLetter"/>
      <w:lvlText w:val="%2)"/>
      <w:lvlJc w:val="left"/>
      <w:pPr>
        <w:ind w:left="840" w:hanging="420"/>
      </w:pPr>
      <w:rPr>
        <w:rFonts w:hint="default" w:ascii="Times New Roman" w:hAnsi="Times New Roman" w:cs="Times New Roman"/>
      </w:rPr>
    </w:lvl>
    <w:lvl w:ilvl="2" w:tentative="0">
      <w:start w:val="1"/>
      <w:numFmt w:val="lowerRoman"/>
      <w:lvlText w:val="%3."/>
      <w:lvlJc w:val="right"/>
      <w:pPr>
        <w:ind w:left="1260" w:hanging="420"/>
      </w:pPr>
      <w:rPr>
        <w:rFonts w:hint="default" w:ascii="Times New Roman" w:hAnsi="Times New Roman" w:cs="Times New Roman"/>
      </w:rPr>
    </w:lvl>
    <w:lvl w:ilvl="3" w:tentative="0">
      <w:start w:val="1"/>
      <w:numFmt w:val="decimal"/>
      <w:lvlText w:val="%4."/>
      <w:lvlJc w:val="left"/>
      <w:pPr>
        <w:ind w:left="1680" w:hanging="420"/>
      </w:pPr>
      <w:rPr>
        <w:rFonts w:hint="default" w:ascii="Times New Roman" w:hAnsi="Times New Roman" w:cs="Times New Roman"/>
      </w:rPr>
    </w:lvl>
    <w:lvl w:ilvl="4" w:tentative="0">
      <w:start w:val="1"/>
      <w:numFmt w:val="lowerLetter"/>
      <w:lvlText w:val="%5)"/>
      <w:lvlJc w:val="left"/>
      <w:pPr>
        <w:ind w:left="2100" w:hanging="420"/>
      </w:pPr>
      <w:rPr>
        <w:rFonts w:hint="default" w:ascii="Times New Roman" w:hAnsi="Times New Roman" w:cs="Times New Roman"/>
      </w:rPr>
    </w:lvl>
    <w:lvl w:ilvl="5" w:tentative="0">
      <w:start w:val="1"/>
      <w:numFmt w:val="lowerRoman"/>
      <w:lvlText w:val="%6."/>
      <w:lvlJc w:val="right"/>
      <w:pPr>
        <w:ind w:left="2520" w:hanging="420"/>
      </w:pPr>
      <w:rPr>
        <w:rFonts w:hint="default" w:ascii="Times New Roman" w:hAnsi="Times New Roman" w:cs="Times New Roman"/>
      </w:rPr>
    </w:lvl>
    <w:lvl w:ilvl="6" w:tentative="0">
      <w:start w:val="1"/>
      <w:numFmt w:val="decimal"/>
      <w:lvlText w:val="%7."/>
      <w:lvlJc w:val="left"/>
      <w:pPr>
        <w:ind w:left="2940" w:hanging="420"/>
      </w:pPr>
      <w:rPr>
        <w:rFonts w:hint="default" w:ascii="Times New Roman" w:hAnsi="Times New Roman" w:cs="Times New Roman"/>
      </w:rPr>
    </w:lvl>
    <w:lvl w:ilvl="7" w:tentative="0">
      <w:start w:val="1"/>
      <w:numFmt w:val="lowerLetter"/>
      <w:lvlText w:val="%8)"/>
      <w:lvlJc w:val="left"/>
      <w:pPr>
        <w:ind w:left="3360" w:hanging="420"/>
      </w:pPr>
      <w:rPr>
        <w:rFonts w:hint="default" w:ascii="Times New Roman" w:hAnsi="Times New Roman" w:cs="Times New Roman"/>
      </w:rPr>
    </w:lvl>
    <w:lvl w:ilvl="8" w:tentative="0">
      <w:start w:val="1"/>
      <w:numFmt w:val="lowerRoman"/>
      <w:lvlText w:val="%9."/>
      <w:lvlJc w:val="right"/>
      <w:pPr>
        <w:ind w:left="3780" w:hanging="420"/>
      </w:pPr>
      <w:rPr>
        <w:rFonts w:hint="default" w:ascii="Times New Roman" w:hAnsi="Times New Roman" w:cs="Times New Roman"/>
      </w:rPr>
    </w:lvl>
  </w:abstractNum>
  <w:abstractNum w:abstractNumId="1">
    <w:nsid w:val="DC5FD80B"/>
    <w:multiLevelType w:val="multilevel"/>
    <w:tmpl w:val="DC5FD80B"/>
    <w:lvl w:ilvl="0" w:tentative="0">
      <w:start w:val="2"/>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
    <w:nsid w:val="EF5A6D1D"/>
    <w:multiLevelType w:val="singleLevel"/>
    <w:tmpl w:val="EF5A6D1D"/>
    <w:lvl w:ilvl="0" w:tentative="0">
      <w:start w:val="1"/>
      <w:numFmt w:val="chineseCounting"/>
      <w:suff w:val="nothing"/>
      <w:lvlText w:val="%1、"/>
      <w:lvlJc w:val="left"/>
      <w:rPr>
        <w:rFonts w:hint="eastAsia"/>
      </w:rPr>
    </w:lvl>
  </w:abstractNum>
  <w:abstractNum w:abstractNumId="3">
    <w:nsid w:val="F3F689AB"/>
    <w:multiLevelType w:val="singleLevel"/>
    <w:tmpl w:val="F3F689AB"/>
    <w:lvl w:ilvl="0" w:tentative="0">
      <w:start w:val="2"/>
      <w:numFmt w:val="decimal"/>
      <w:suff w:val="space"/>
      <w:lvlText w:val="%1."/>
      <w:lvlJc w:val="left"/>
    </w:lvl>
  </w:abstractNum>
  <w:abstractNum w:abstractNumId="4">
    <w:nsid w:val="FCA4B0FA"/>
    <w:multiLevelType w:val="multilevel"/>
    <w:tmpl w:val="FCA4B0FA"/>
    <w:lvl w:ilvl="0" w:tentative="0">
      <w:start w:val="1"/>
      <w:numFmt w:val="decimalEnclosedCircleChinese"/>
      <w:suff w:val="nothing"/>
      <w:lvlText w:val="%1　"/>
      <w:lvlJc w:val="left"/>
      <w:pPr>
        <w:ind w:left="0" w:firstLine="40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5">
    <w:nsid w:val="FDEAC6DB"/>
    <w:multiLevelType w:val="multilevel"/>
    <w:tmpl w:val="FDEAC6DB"/>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6">
    <w:nsid w:val="FFFD4119"/>
    <w:multiLevelType w:val="multilevel"/>
    <w:tmpl w:val="FFFD4119"/>
    <w:lvl w:ilvl="0" w:tentative="0">
      <w:start w:val="1"/>
      <w:numFmt w:val="decimalEnclosedCircleChinese"/>
      <w:suff w:val="nothing"/>
      <w:lvlText w:val="%1　"/>
      <w:lvlJc w:val="left"/>
      <w:pPr>
        <w:ind w:left="0" w:firstLine="40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7">
    <w:nsid w:val="4ADB6A67"/>
    <w:multiLevelType w:val="multilevel"/>
    <w:tmpl w:val="4ADB6A67"/>
    <w:lvl w:ilvl="0" w:tentative="0">
      <w:start w:val="1"/>
      <w:numFmt w:val="decimal"/>
      <w:lvlText w:val="%1"/>
      <w:lvlJc w:val="left"/>
      <w:pPr>
        <w:ind w:left="400" w:hanging="400"/>
      </w:pPr>
      <w:rPr>
        <w:rFonts w:hint="default"/>
      </w:rPr>
    </w:lvl>
    <w:lvl w:ilvl="1" w:tentative="0">
      <w:start w:val="1"/>
      <w:numFmt w:val="decimal"/>
      <w:lvlText w:val="%1.%2"/>
      <w:lvlJc w:val="left"/>
      <w:pPr>
        <w:ind w:left="720" w:hanging="7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440" w:hanging="144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2160" w:hanging="2160"/>
      </w:pPr>
      <w:rPr>
        <w:rFonts w:hint="default"/>
      </w:rPr>
    </w:lvl>
    <w:lvl w:ilvl="8" w:tentative="0">
      <w:start w:val="1"/>
      <w:numFmt w:val="decimal"/>
      <w:lvlText w:val="%1.%2.%3.%4.%5.%6.%7.%8.%9"/>
      <w:lvlJc w:val="left"/>
      <w:pPr>
        <w:ind w:left="2520" w:hanging="2520"/>
      </w:pPr>
      <w:rPr>
        <w:rFonts w:hint="default"/>
      </w:rPr>
    </w:lvl>
  </w:abstractNum>
  <w:abstractNum w:abstractNumId="8">
    <w:nsid w:val="5CE93D19"/>
    <w:multiLevelType w:val="singleLevel"/>
    <w:tmpl w:val="5CE93D19"/>
    <w:lvl w:ilvl="0" w:tentative="0">
      <w:start w:val="5"/>
      <w:numFmt w:val="decimal"/>
      <w:suff w:val="nothing"/>
      <w:lvlText w:val="%1、"/>
      <w:lvlJc w:val="left"/>
    </w:lvl>
  </w:abstractNum>
  <w:abstractNum w:abstractNumId="9">
    <w:nsid w:val="6EAEF5E3"/>
    <w:multiLevelType w:val="multilevel"/>
    <w:tmpl w:val="6EAEF5E3"/>
    <w:lvl w:ilvl="0" w:tentative="0">
      <w:start w:val="1"/>
      <w:numFmt w:val="decimalEnclosedCircleChinese"/>
      <w:suff w:val="nothing"/>
      <w:lvlText w:val="%1　"/>
      <w:lvlJc w:val="left"/>
      <w:pPr>
        <w:ind w:left="0" w:firstLine="40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0">
    <w:nsid w:val="7FE00CEF"/>
    <w:multiLevelType w:val="multilevel"/>
    <w:tmpl w:val="7FE00CEF"/>
    <w:lvl w:ilvl="0" w:tentative="0">
      <w:start w:val="1"/>
      <w:numFmt w:val="decimal"/>
      <w:pStyle w:val="3"/>
      <w:lvlText w:val="%1.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0"/>
  </w:num>
  <w:num w:numId="2">
    <w:abstractNumId w:val="2"/>
  </w:num>
  <w:num w:numId="3">
    <w:abstractNumId w:val="7"/>
  </w:num>
  <w:num w:numId="4">
    <w:abstractNumId w:val="5"/>
  </w:num>
  <w:num w:numId="5">
    <w:abstractNumId w:val="9"/>
  </w:num>
  <w:num w:numId="6">
    <w:abstractNumId w:val="1"/>
  </w:num>
  <w:num w:numId="7">
    <w:abstractNumId w:val="4"/>
  </w:num>
  <w:num w:numId="8">
    <w:abstractNumId w:val="6"/>
  </w:num>
  <w:num w:numId="9">
    <w:abstractNumId w:val="0"/>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ECD"/>
    <w:rsid w:val="00012EF8"/>
    <w:rsid w:val="00071AE8"/>
    <w:rsid w:val="000929F3"/>
    <w:rsid w:val="000D2CF3"/>
    <w:rsid w:val="00115434"/>
    <w:rsid w:val="001645F5"/>
    <w:rsid w:val="00193247"/>
    <w:rsid w:val="001C39DD"/>
    <w:rsid w:val="001C5D40"/>
    <w:rsid w:val="001D3642"/>
    <w:rsid w:val="00213CFD"/>
    <w:rsid w:val="00225EEC"/>
    <w:rsid w:val="00255E94"/>
    <w:rsid w:val="002F09A9"/>
    <w:rsid w:val="003225C0"/>
    <w:rsid w:val="00371843"/>
    <w:rsid w:val="0047118A"/>
    <w:rsid w:val="005454F3"/>
    <w:rsid w:val="005A27EC"/>
    <w:rsid w:val="005C003F"/>
    <w:rsid w:val="005E6519"/>
    <w:rsid w:val="00611E31"/>
    <w:rsid w:val="0063503F"/>
    <w:rsid w:val="006F6B41"/>
    <w:rsid w:val="00706944"/>
    <w:rsid w:val="00754644"/>
    <w:rsid w:val="00755F17"/>
    <w:rsid w:val="0077153F"/>
    <w:rsid w:val="00820FF7"/>
    <w:rsid w:val="00941B35"/>
    <w:rsid w:val="009620A1"/>
    <w:rsid w:val="009A2C75"/>
    <w:rsid w:val="00A061AB"/>
    <w:rsid w:val="00AC0DFD"/>
    <w:rsid w:val="00B068E5"/>
    <w:rsid w:val="00B63C85"/>
    <w:rsid w:val="00C000C1"/>
    <w:rsid w:val="00C27F5A"/>
    <w:rsid w:val="00C4590F"/>
    <w:rsid w:val="00CB48A7"/>
    <w:rsid w:val="00CC12DB"/>
    <w:rsid w:val="00D13A24"/>
    <w:rsid w:val="00D65E4D"/>
    <w:rsid w:val="00D908B3"/>
    <w:rsid w:val="00E86ECD"/>
    <w:rsid w:val="00ED5453"/>
    <w:rsid w:val="00F517C6"/>
    <w:rsid w:val="00F661BF"/>
    <w:rsid w:val="03398C1B"/>
    <w:rsid w:val="047A3A22"/>
    <w:rsid w:val="08E411DC"/>
    <w:rsid w:val="09A03FFB"/>
    <w:rsid w:val="15371E2B"/>
    <w:rsid w:val="1FFE614E"/>
    <w:rsid w:val="25BE2AD9"/>
    <w:rsid w:val="2BE4F0F3"/>
    <w:rsid w:val="2DF331B0"/>
    <w:rsid w:val="2E5FEBE6"/>
    <w:rsid w:val="2EEDDC5F"/>
    <w:rsid w:val="375FD04F"/>
    <w:rsid w:val="3C515C02"/>
    <w:rsid w:val="3E5F9E8C"/>
    <w:rsid w:val="3EF552D5"/>
    <w:rsid w:val="3FA65F41"/>
    <w:rsid w:val="56D723A1"/>
    <w:rsid w:val="57F74B13"/>
    <w:rsid w:val="57FB8C0C"/>
    <w:rsid w:val="58F7CAAA"/>
    <w:rsid w:val="5BBEA0BD"/>
    <w:rsid w:val="5BBF17CD"/>
    <w:rsid w:val="5D980159"/>
    <w:rsid w:val="5E978C5F"/>
    <w:rsid w:val="5F8F595D"/>
    <w:rsid w:val="5FDE921D"/>
    <w:rsid w:val="5FFEA816"/>
    <w:rsid w:val="62FC5E6D"/>
    <w:rsid w:val="6677A7DB"/>
    <w:rsid w:val="6BE77567"/>
    <w:rsid w:val="6E558D3D"/>
    <w:rsid w:val="6EF341A0"/>
    <w:rsid w:val="6FBD847E"/>
    <w:rsid w:val="72E69702"/>
    <w:rsid w:val="74CF8352"/>
    <w:rsid w:val="75FF602A"/>
    <w:rsid w:val="77773D90"/>
    <w:rsid w:val="7B6B2668"/>
    <w:rsid w:val="7BE546BD"/>
    <w:rsid w:val="7CF7B3F3"/>
    <w:rsid w:val="7DE6A8CA"/>
    <w:rsid w:val="7DE79F86"/>
    <w:rsid w:val="7DFE3C48"/>
    <w:rsid w:val="7E2F09D0"/>
    <w:rsid w:val="7E7F3860"/>
    <w:rsid w:val="7F6F103A"/>
    <w:rsid w:val="7F7EEB76"/>
    <w:rsid w:val="7FC9BB79"/>
    <w:rsid w:val="7FE92511"/>
    <w:rsid w:val="7FFBE1D3"/>
    <w:rsid w:val="7FFD988A"/>
    <w:rsid w:val="976712B0"/>
    <w:rsid w:val="9D695CCE"/>
    <w:rsid w:val="9EE74B02"/>
    <w:rsid w:val="9F7FE945"/>
    <w:rsid w:val="9FDFB0BA"/>
    <w:rsid w:val="9FF79E23"/>
    <w:rsid w:val="BB7A1986"/>
    <w:rsid w:val="BBAD291D"/>
    <w:rsid w:val="BBF26FA3"/>
    <w:rsid w:val="BBF8AE10"/>
    <w:rsid w:val="BED4FBA9"/>
    <w:rsid w:val="BFD7243C"/>
    <w:rsid w:val="C3BB026D"/>
    <w:rsid w:val="D65DD950"/>
    <w:rsid w:val="D76B1EAB"/>
    <w:rsid w:val="D7EFECB1"/>
    <w:rsid w:val="DBF74753"/>
    <w:rsid w:val="DDD73567"/>
    <w:rsid w:val="DFDFDC0A"/>
    <w:rsid w:val="DFFA37E8"/>
    <w:rsid w:val="DFFB61DD"/>
    <w:rsid w:val="E7ABA099"/>
    <w:rsid w:val="E88FE9F8"/>
    <w:rsid w:val="EDEF5AD2"/>
    <w:rsid w:val="EE70D636"/>
    <w:rsid w:val="EE75298D"/>
    <w:rsid w:val="EEEE73EC"/>
    <w:rsid w:val="EEF9F7B2"/>
    <w:rsid w:val="F2ABE417"/>
    <w:rsid w:val="F2D3C8B4"/>
    <w:rsid w:val="F3C78400"/>
    <w:rsid w:val="F5FA974D"/>
    <w:rsid w:val="F7BF37B8"/>
    <w:rsid w:val="F8BFE7D0"/>
    <w:rsid w:val="F8FEBB59"/>
    <w:rsid w:val="F8FFCD79"/>
    <w:rsid w:val="FB7F443E"/>
    <w:rsid w:val="FBB5C88B"/>
    <w:rsid w:val="FBBB4431"/>
    <w:rsid w:val="FC53E68C"/>
    <w:rsid w:val="FCFD05FE"/>
    <w:rsid w:val="FDBF2074"/>
    <w:rsid w:val="FDFF93B2"/>
    <w:rsid w:val="FEBFB177"/>
    <w:rsid w:val="FEFBDD93"/>
    <w:rsid w:val="FEFE55B5"/>
    <w:rsid w:val="FF771822"/>
    <w:rsid w:val="FF7F2D20"/>
    <w:rsid w:val="FFB48EAC"/>
    <w:rsid w:val="FFFE620C"/>
    <w:rsid w:val="FFFF662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2"/>
    <w:qFormat/>
    <w:uiPriority w:val="0"/>
    <w:pPr>
      <w:keepNext/>
      <w:keepLines/>
      <w:spacing w:before="240" w:after="240"/>
      <w:outlineLvl w:val="0"/>
    </w:pPr>
    <w:rPr>
      <w:rFonts w:eastAsia="宋体" w:asciiTheme="majorHAnsi" w:hAnsiTheme="majorHAnsi" w:cstheme="majorBidi"/>
      <w:color w:val="000000" w:themeColor="text1"/>
      <w:sz w:val="48"/>
      <w:szCs w:val="48"/>
      <w14:textFill>
        <w14:solidFill>
          <w14:schemeClr w14:val="tx1"/>
        </w14:solidFill>
      </w14:textFill>
    </w:rPr>
  </w:style>
  <w:style w:type="paragraph" w:styleId="3">
    <w:name w:val="heading 2"/>
    <w:basedOn w:val="1"/>
    <w:next w:val="1"/>
    <w:link w:val="23"/>
    <w:unhideWhenUsed/>
    <w:qFormat/>
    <w:uiPriority w:val="9"/>
    <w:pPr>
      <w:keepNext/>
      <w:keepLines/>
      <w:numPr>
        <w:ilvl w:val="0"/>
        <w:numId w:val="1"/>
      </w:numPr>
      <w:spacing w:before="240" w:after="240"/>
      <w:outlineLvl w:val="1"/>
    </w:pPr>
    <w:rPr>
      <w:rFonts w:eastAsia="仿宋" w:asciiTheme="majorHAnsi" w:hAnsiTheme="majorHAnsi" w:cstheme="majorBidi"/>
      <w:sz w:val="30"/>
      <w:szCs w:val="40"/>
    </w:rPr>
  </w:style>
  <w:style w:type="paragraph" w:styleId="4">
    <w:name w:val="heading 3"/>
    <w:basedOn w:val="1"/>
    <w:next w:val="1"/>
    <w:link w:val="24"/>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5"/>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6"/>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7"/>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8"/>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9"/>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0"/>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0">
    <w:name w:val="Default Paragraph Font"/>
    <w:semiHidden/>
    <w:unhideWhenUsed/>
    <w:qFormat/>
    <w:uiPriority w:val="1"/>
  </w:style>
  <w:style w:type="table" w:default="1" w:styleId="18">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1">
    <w:name w:val="annotation text"/>
    <w:basedOn w:val="1"/>
    <w:link w:val="42"/>
    <w:semiHidden/>
    <w:unhideWhenUsed/>
    <w:uiPriority w:val="99"/>
    <w:pPr>
      <w:keepNext w:val="0"/>
      <w:keepLines w:val="0"/>
      <w:widowControl w:val="0"/>
      <w:suppressLineNumbers w:val="0"/>
      <w:spacing w:before="0" w:beforeAutospacing="0" w:after="0" w:afterAutospacing="0"/>
      <w:ind w:left="0" w:right="0"/>
      <w:jc w:val="left"/>
    </w:pPr>
    <w:rPr>
      <w:rFonts w:hint="default" w:ascii="Times New Roman" w:hAnsi="Times New Roman" w:eastAsia="宋体" w:cs="Times New Roman"/>
      <w:kern w:val="2"/>
      <w:sz w:val="21"/>
      <w:szCs w:val="24"/>
      <w:lang w:val="en-US" w:eastAsia="zh-CN" w:bidi="ar"/>
    </w:rPr>
  </w:style>
  <w:style w:type="paragraph" w:styleId="12">
    <w:name w:val="Body Text"/>
    <w:basedOn w:val="1"/>
    <w:link w:val="45"/>
    <w:semiHidden/>
    <w:unhideWhenUsed/>
    <w:qFormat/>
    <w:uiPriority w:val="99"/>
    <w:pPr>
      <w:spacing w:after="120" w:afterLines="0" w:afterAutospacing="0"/>
    </w:pPr>
  </w:style>
  <w:style w:type="paragraph" w:styleId="13">
    <w:name w:val="footer"/>
    <w:basedOn w:val="1"/>
    <w:link w:val="41"/>
    <w:unhideWhenUsed/>
    <w:qFormat/>
    <w:uiPriority w:val="99"/>
    <w:pPr>
      <w:tabs>
        <w:tab w:val="center" w:pos="4153"/>
        <w:tab w:val="right" w:pos="8306"/>
      </w:tabs>
      <w:snapToGrid w:val="0"/>
      <w:jc w:val="left"/>
    </w:pPr>
    <w:rPr>
      <w:sz w:val="18"/>
      <w:szCs w:val="18"/>
    </w:rPr>
  </w:style>
  <w:style w:type="paragraph" w:styleId="14">
    <w:name w:val="header"/>
    <w:basedOn w:val="1"/>
    <w:link w:val="40"/>
    <w:unhideWhenUsed/>
    <w:qFormat/>
    <w:uiPriority w:val="99"/>
    <w:pPr>
      <w:tabs>
        <w:tab w:val="center" w:pos="4153"/>
        <w:tab w:val="right" w:pos="8306"/>
      </w:tabs>
      <w:snapToGrid w:val="0"/>
      <w:jc w:val="center"/>
    </w:pPr>
    <w:rPr>
      <w:sz w:val="18"/>
      <w:szCs w:val="18"/>
    </w:rPr>
  </w:style>
  <w:style w:type="paragraph" w:styleId="15">
    <w:name w:val="Subtitle"/>
    <w:basedOn w:val="1"/>
    <w:next w:val="1"/>
    <w:link w:val="32"/>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Normal (Web)"/>
    <w:basedOn w:val="1"/>
    <w:semiHidden/>
    <w:unhideWhenUsed/>
    <w:qFormat/>
    <w:uiPriority w:val="99"/>
    <w:rPr>
      <w:sz w:val="24"/>
    </w:rPr>
  </w:style>
  <w:style w:type="paragraph" w:styleId="17">
    <w:name w:val="Title"/>
    <w:basedOn w:val="1"/>
    <w:next w:val="1"/>
    <w:link w:val="31"/>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9">
    <w:name w:val="Table Grid"/>
    <w:basedOn w:val="1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rPr>
  </w:style>
  <w:style w:type="character" w:customStyle="1" w:styleId="22">
    <w:name w:val="标题 1 字符"/>
    <w:basedOn w:val="20"/>
    <w:link w:val="2"/>
    <w:qFormat/>
    <w:uiPriority w:val="0"/>
    <w:rPr>
      <w:rFonts w:eastAsia="宋体" w:asciiTheme="majorHAnsi" w:hAnsiTheme="majorHAnsi" w:cstheme="majorBidi"/>
      <w:color w:val="000000" w:themeColor="text1"/>
      <w:sz w:val="48"/>
      <w:szCs w:val="48"/>
      <w14:textFill>
        <w14:solidFill>
          <w14:schemeClr w14:val="tx1"/>
        </w14:solidFill>
      </w14:textFill>
    </w:rPr>
  </w:style>
  <w:style w:type="character" w:customStyle="1" w:styleId="23">
    <w:name w:val="标题 2 字符"/>
    <w:basedOn w:val="20"/>
    <w:link w:val="3"/>
    <w:qFormat/>
    <w:uiPriority w:val="9"/>
    <w:rPr>
      <w:rFonts w:eastAsia="仿宋" w:asciiTheme="majorHAnsi" w:hAnsiTheme="majorHAnsi" w:cstheme="majorBidi"/>
      <w:sz w:val="30"/>
      <w:szCs w:val="40"/>
    </w:rPr>
  </w:style>
  <w:style w:type="character" w:customStyle="1" w:styleId="24">
    <w:name w:val="标题 3 字符"/>
    <w:basedOn w:val="20"/>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5">
    <w:name w:val="标题 4 字符"/>
    <w:basedOn w:val="20"/>
    <w:link w:val="5"/>
    <w:semiHidden/>
    <w:qFormat/>
    <w:uiPriority w:val="9"/>
    <w:rPr>
      <w:rFonts w:cstheme="majorBidi"/>
      <w:color w:val="104862" w:themeColor="accent1" w:themeShade="BF"/>
      <w:sz w:val="28"/>
      <w:szCs w:val="28"/>
    </w:rPr>
  </w:style>
  <w:style w:type="character" w:customStyle="1" w:styleId="26">
    <w:name w:val="标题 5 字符"/>
    <w:basedOn w:val="20"/>
    <w:link w:val="6"/>
    <w:semiHidden/>
    <w:qFormat/>
    <w:uiPriority w:val="9"/>
    <w:rPr>
      <w:rFonts w:cstheme="majorBidi"/>
      <w:color w:val="104862" w:themeColor="accent1" w:themeShade="BF"/>
      <w:sz w:val="24"/>
      <w:szCs w:val="24"/>
    </w:rPr>
  </w:style>
  <w:style w:type="character" w:customStyle="1" w:styleId="27">
    <w:name w:val="标题 6 字符"/>
    <w:basedOn w:val="20"/>
    <w:link w:val="7"/>
    <w:semiHidden/>
    <w:qFormat/>
    <w:uiPriority w:val="9"/>
    <w:rPr>
      <w:rFonts w:cstheme="majorBidi"/>
      <w:b/>
      <w:bCs/>
      <w:color w:val="104862" w:themeColor="accent1" w:themeShade="BF"/>
    </w:rPr>
  </w:style>
  <w:style w:type="character" w:customStyle="1" w:styleId="28">
    <w:name w:val="标题 7 字符"/>
    <w:basedOn w:val="20"/>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9">
    <w:name w:val="标题 8 字符"/>
    <w:basedOn w:val="20"/>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0">
    <w:name w:val="标题 9 字符"/>
    <w:basedOn w:val="20"/>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1">
    <w:name w:val="标题 字符"/>
    <w:basedOn w:val="20"/>
    <w:link w:val="17"/>
    <w:qFormat/>
    <w:uiPriority w:val="10"/>
    <w:rPr>
      <w:rFonts w:asciiTheme="majorHAnsi" w:hAnsiTheme="majorHAnsi" w:eastAsiaTheme="majorEastAsia" w:cstheme="majorBidi"/>
      <w:spacing w:val="-10"/>
      <w:kern w:val="28"/>
      <w:sz w:val="56"/>
      <w:szCs w:val="56"/>
    </w:rPr>
  </w:style>
  <w:style w:type="character" w:customStyle="1" w:styleId="32">
    <w:name w:val="副标题 字符"/>
    <w:basedOn w:val="20"/>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4">
    <w:name w:val="引用 字符"/>
    <w:basedOn w:val="20"/>
    <w:link w:val="33"/>
    <w:qFormat/>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qFormat/>
    <w:uiPriority w:val="34"/>
    <w:pPr>
      <w:ind w:left="720"/>
      <w:contextualSpacing/>
    </w:pPr>
  </w:style>
  <w:style w:type="character" w:customStyle="1" w:styleId="36">
    <w:name w:val="Intense Emphasis"/>
    <w:basedOn w:val="20"/>
    <w:qFormat/>
    <w:uiPriority w:val="21"/>
    <w:rPr>
      <w:i/>
      <w:iCs/>
      <w:color w:val="104862" w:themeColor="accent1" w:themeShade="BF"/>
    </w:rPr>
  </w:style>
  <w:style w:type="paragraph" w:styleId="37">
    <w:name w:val="Intense Quote"/>
    <w:basedOn w:val="1"/>
    <w:next w:val="1"/>
    <w:link w:val="38"/>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8">
    <w:name w:val="明显引用 字符"/>
    <w:basedOn w:val="20"/>
    <w:link w:val="37"/>
    <w:qFormat/>
    <w:uiPriority w:val="30"/>
    <w:rPr>
      <w:i/>
      <w:iCs/>
      <w:color w:val="104862" w:themeColor="accent1" w:themeShade="BF"/>
    </w:rPr>
  </w:style>
  <w:style w:type="character" w:customStyle="1" w:styleId="39">
    <w:name w:val="Intense Reference"/>
    <w:basedOn w:val="20"/>
    <w:qFormat/>
    <w:uiPriority w:val="32"/>
    <w:rPr>
      <w:b/>
      <w:bCs/>
      <w:smallCaps/>
      <w:color w:val="104862" w:themeColor="accent1" w:themeShade="BF"/>
      <w:spacing w:val="5"/>
    </w:rPr>
  </w:style>
  <w:style w:type="character" w:customStyle="1" w:styleId="40">
    <w:name w:val="页眉 字符"/>
    <w:basedOn w:val="20"/>
    <w:link w:val="14"/>
    <w:qFormat/>
    <w:uiPriority w:val="99"/>
    <w:rPr>
      <w:sz w:val="18"/>
      <w:szCs w:val="18"/>
    </w:rPr>
  </w:style>
  <w:style w:type="character" w:customStyle="1" w:styleId="41">
    <w:name w:val="页脚 字符"/>
    <w:basedOn w:val="20"/>
    <w:link w:val="13"/>
    <w:qFormat/>
    <w:uiPriority w:val="99"/>
    <w:rPr>
      <w:sz w:val="18"/>
      <w:szCs w:val="18"/>
    </w:rPr>
  </w:style>
  <w:style w:type="character" w:customStyle="1" w:styleId="42">
    <w:name w:val="批注文字 字符"/>
    <w:basedOn w:val="20"/>
    <w:link w:val="11"/>
    <w:qFormat/>
    <w:uiPriority w:val="0"/>
    <w:rPr>
      <w:kern w:val="2"/>
      <w:sz w:val="21"/>
      <w:szCs w:val="24"/>
    </w:rPr>
  </w:style>
  <w:style w:type="paragraph" w:customStyle="1" w:styleId="43">
    <w:name w:val="段"/>
    <w:basedOn w:val="1"/>
    <w:link w:val="44"/>
    <w:qFormat/>
    <w:uiPriority w:val="0"/>
    <w:pPr>
      <w:keepNext w:val="0"/>
      <w:keepLines w:val="0"/>
      <w:widowControl/>
      <w:suppressLineNumbers w:val="0"/>
      <w:tabs>
        <w:tab w:val="center" w:pos="4201"/>
        <w:tab w:val="right" w:leader="dot" w:pos="9298"/>
      </w:tabs>
      <w:autoSpaceDE w:val="0"/>
      <w:autoSpaceDN w:val="0"/>
      <w:spacing w:before="0" w:beforeAutospacing="0" w:after="0" w:afterAutospacing="0"/>
      <w:ind w:left="0" w:right="0" w:firstLine="420" w:firstLineChars="200"/>
      <w:jc w:val="both"/>
    </w:pPr>
    <w:rPr>
      <w:rFonts w:hint="eastAsia" w:ascii="宋体" w:hAnsi="Times New Roman" w:eastAsia="宋体" w:cs="Times New Roman"/>
      <w:kern w:val="0"/>
      <w:sz w:val="21"/>
      <w:szCs w:val="20"/>
      <w:lang w:val="en-US" w:eastAsia="zh-CN" w:bidi="ar"/>
    </w:rPr>
  </w:style>
  <w:style w:type="character" w:customStyle="1" w:styleId="44">
    <w:name w:val="段 Char"/>
    <w:basedOn w:val="20"/>
    <w:link w:val="43"/>
    <w:qFormat/>
    <w:uiPriority w:val="0"/>
    <w:rPr>
      <w:rFonts w:hint="eastAsia" w:ascii="宋体" w:hAnsi="宋体" w:eastAsia="宋体" w:cs="宋体"/>
      <w:sz w:val="21"/>
    </w:rPr>
  </w:style>
  <w:style w:type="character" w:customStyle="1" w:styleId="45">
    <w:name w:val="正文文本 字符"/>
    <w:basedOn w:val="20"/>
    <w:link w:val="12"/>
    <w:qFormat/>
    <w:uiPriority w:val="0"/>
    <w:rPr>
      <w:kern w:val="2"/>
      <w:sz w:val="21"/>
      <w:szCs w:val="24"/>
    </w:rPr>
  </w:style>
  <w:style w:type="character" w:customStyle="1" w:styleId="46">
    <w:name w:val="10"/>
    <w:basedOn w:val="20"/>
    <w:qFormat/>
    <w:uiPriority w:val="0"/>
    <w:rPr>
      <w:rFonts w:hint="default" w:ascii="Times New Roman" w:hAnsi="Times New Roman" w:cs="Times New Roman"/>
    </w:rPr>
  </w:style>
  <w:style w:type="character" w:customStyle="1" w:styleId="47">
    <w:name w:val="15"/>
    <w:basedOn w:val="20"/>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2118</Words>
  <Characters>2228</Characters>
  <Lines>1</Lines>
  <Paragraphs>1</Paragraphs>
  <TotalTime>0</TotalTime>
  <ScaleCrop>false</ScaleCrop>
  <LinksUpToDate>false</LinksUpToDate>
  <CharactersWithSpaces>2311</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2025-06-05T13:45:00Z</dcterms:created>
  <dc:creator>LYH</dc:creator>
  <cp:lastModifiedBy>黄敏君</cp:lastModifiedBy>
  <dcterms:modified xsi:type="dcterms:W3CDTF">2026-03-07T08:12:58Z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2AE0687176804544B93C628BAC799750_13</vt:lpwstr>
  </property>
  <property fmtid="{D5CDD505-2E9C-101B-9397-08002B2CF9AE}" pid="4" name="KSOTemplateDocerSaveRecord">
    <vt:lpwstr>eyJoZGlkIjoiOTEzZmU1OGUyZmUyNDgyMmQ5NGI5ZTA4NWNjZGRiYjciLCJ1c2VySWQiOiIxNTY1NDIxODU0In0=</vt:lpwstr>
  </property>
</Properties>
</file>