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8B76A5">
      <w:pPr>
        <w:spacing w:line="360" w:lineRule="auto"/>
        <w:jc w:val="center"/>
        <w:rPr>
          <w:rFonts w:ascii="仿宋" w:hAnsi="仿宋" w:eastAsia="仿宋"/>
          <w:b/>
          <w:bCs/>
          <w:sz w:val="30"/>
          <w:szCs w:val="30"/>
        </w:rPr>
      </w:pPr>
      <w:bookmarkStart w:id="2" w:name="_GoBack"/>
      <w:bookmarkEnd w:id="2"/>
      <w:r>
        <w:rPr>
          <w:rFonts w:hint="eastAsia" w:ascii="仿宋" w:hAnsi="仿宋" w:eastAsia="仿宋"/>
          <w:b/>
          <w:bCs/>
          <w:sz w:val="30"/>
          <w:szCs w:val="30"/>
        </w:rPr>
        <w:t>广医附属番禺中心医院</w:t>
      </w:r>
      <w:r>
        <w:rPr>
          <w:rFonts w:hint="eastAsia" w:ascii="仿宋" w:hAnsi="仿宋" w:eastAsia="仿宋" w:cstheme="minorBidi"/>
          <w:b/>
          <w:bCs/>
          <w:i w:val="0"/>
          <w:iCs w:val="0"/>
          <w:caps w:val="0"/>
          <w:color w:val="auto"/>
          <w:spacing w:val="0"/>
          <w:sz w:val="30"/>
          <w:szCs w:val="30"/>
          <w:shd w:val="clear" w:fill="auto"/>
        </w:rPr>
        <w:t>康复治疗数字化管理系统</w:t>
      </w:r>
      <w:r>
        <w:rPr>
          <w:rFonts w:hint="eastAsia" w:ascii="仿宋" w:hAnsi="仿宋" w:eastAsia="仿宋"/>
          <w:b/>
          <w:bCs/>
          <w:sz w:val="30"/>
          <w:szCs w:val="30"/>
        </w:rPr>
        <w:t>采购项目需求书</w:t>
      </w:r>
    </w:p>
    <w:p w14:paraId="4E61E051">
      <w:pPr>
        <w:spacing w:line="360" w:lineRule="auto"/>
        <w:jc w:val="center"/>
        <w:rPr>
          <w:rFonts w:ascii="仿宋" w:hAnsi="仿宋" w:eastAsia="仿宋"/>
          <w:sz w:val="28"/>
          <w:szCs w:val="28"/>
        </w:rPr>
      </w:pPr>
    </w:p>
    <w:p w14:paraId="00ED8FF2">
      <w:pPr>
        <w:pStyle w:val="9"/>
        <w:numPr>
          <w:ilvl w:val="0"/>
          <w:numId w:val="1"/>
        </w:numPr>
        <w:spacing w:line="360" w:lineRule="auto"/>
        <w:jc w:val="left"/>
        <w:rPr>
          <w:rFonts w:ascii="仿宋" w:hAnsi="仿宋" w:eastAsia="仿宋"/>
          <w:b/>
          <w:bCs/>
          <w:sz w:val="28"/>
          <w:szCs w:val="28"/>
        </w:rPr>
      </w:pPr>
      <w:r>
        <w:rPr>
          <w:rFonts w:hint="eastAsia" w:ascii="仿宋" w:hAnsi="仿宋" w:eastAsia="仿宋"/>
          <w:b/>
          <w:bCs/>
          <w:sz w:val="28"/>
          <w:szCs w:val="28"/>
        </w:rPr>
        <w:t>项目建设背景</w:t>
      </w:r>
    </w:p>
    <w:p w14:paraId="7E036F1D">
      <w:pPr>
        <w:spacing w:line="360" w:lineRule="auto"/>
        <w:ind w:firstLine="480" w:firstLineChars="200"/>
        <w:rPr>
          <w:rFonts w:ascii="仿宋" w:hAnsi="仿宋" w:eastAsia="仿宋"/>
          <w:sz w:val="24"/>
          <w:szCs w:val="24"/>
        </w:rPr>
      </w:pPr>
      <w:bookmarkStart w:id="0" w:name="OLE_LINK6"/>
      <w:r>
        <w:rPr>
          <w:rFonts w:ascii="仿宋" w:hAnsi="仿宋" w:eastAsia="仿宋"/>
          <w:sz w:val="24"/>
          <w:szCs w:val="24"/>
        </w:rPr>
        <w:t>随着《国家卫生计生委办公厅关于印发医院信息平台应用功能指引的通知》《电子病历系统功能应用水平分级标准》及《医院信息互联互通标准化成熟度测评方案》等政策文件的出台，康复信息化建设已成为医院现代化发展的核心任务</w:t>
      </w:r>
      <w:r>
        <w:rPr>
          <w:rFonts w:hint="eastAsia" w:ascii="仿宋" w:hAnsi="仿宋" w:eastAsia="仿宋"/>
          <w:sz w:val="24"/>
          <w:szCs w:val="24"/>
        </w:rPr>
        <w:t>。</w:t>
      </w:r>
    </w:p>
    <w:p w14:paraId="11C4C233">
      <w:pPr>
        <w:widowControl/>
        <w:numPr>
          <w:ilvl w:val="0"/>
          <w:numId w:val="2"/>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政策驱动：国家明确要求实现康复治疗全流程信息化管理，覆盖患者管理、康复评估、治疗记录、质控等环节。</w:t>
      </w:r>
    </w:p>
    <w:p w14:paraId="7BF521A3">
      <w:pPr>
        <w:widowControl/>
        <w:numPr>
          <w:ilvl w:val="0"/>
          <w:numId w:val="2"/>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评级需求：电子病历评级（四级以上）、互联互通测评等对康复信息化提出硬性指标。</w:t>
      </w:r>
    </w:p>
    <w:p w14:paraId="502C4DE5">
      <w:pPr>
        <w:widowControl/>
        <w:numPr>
          <w:ilvl w:val="0"/>
          <w:numId w:val="2"/>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科室发展需求：传统手工管理模式已无法满足患者增长、质控精细化和科研数据整合需求，亟需通过数字化升级提升效率与服务能力。</w:t>
      </w:r>
      <w:bookmarkEnd w:id="0"/>
    </w:p>
    <w:p w14:paraId="2F530890">
      <w:pPr>
        <w:widowControl/>
        <w:spacing w:line="360" w:lineRule="auto"/>
        <w:ind w:left="482"/>
        <w:jc w:val="left"/>
        <w:rPr>
          <w:rFonts w:ascii="仿宋" w:hAnsi="仿宋" w:eastAsia="仿宋"/>
          <w:bCs/>
          <w:sz w:val="24"/>
          <w:szCs w:val="24"/>
        </w:rPr>
      </w:pPr>
    </w:p>
    <w:p w14:paraId="04156063">
      <w:pPr>
        <w:pStyle w:val="9"/>
        <w:numPr>
          <w:ilvl w:val="0"/>
          <w:numId w:val="1"/>
        </w:numPr>
        <w:spacing w:line="360" w:lineRule="auto"/>
        <w:jc w:val="left"/>
        <w:rPr>
          <w:rFonts w:ascii="仿宋" w:hAnsi="仿宋" w:eastAsia="仿宋"/>
          <w:b/>
          <w:bCs/>
          <w:sz w:val="28"/>
          <w:szCs w:val="28"/>
        </w:rPr>
      </w:pPr>
      <w:r>
        <w:rPr>
          <w:rFonts w:hint="eastAsia" w:ascii="仿宋" w:hAnsi="仿宋" w:eastAsia="仿宋"/>
          <w:b/>
          <w:bCs/>
          <w:sz w:val="28"/>
          <w:szCs w:val="28"/>
        </w:rPr>
        <w:t>建设目标</w:t>
      </w:r>
    </w:p>
    <w:p w14:paraId="207343D9">
      <w:pPr>
        <w:spacing w:line="360" w:lineRule="auto"/>
        <w:ind w:firstLine="720" w:firstLineChars="300"/>
        <w:rPr>
          <w:rFonts w:ascii="仿宋" w:hAnsi="仿宋" w:eastAsia="仿宋"/>
          <w:sz w:val="24"/>
          <w:szCs w:val="24"/>
        </w:rPr>
      </w:pPr>
      <w:r>
        <w:rPr>
          <w:rFonts w:hint="eastAsia" w:ascii="仿宋" w:hAnsi="仿宋" w:eastAsia="仿宋"/>
          <w:sz w:val="24"/>
          <w:szCs w:val="24"/>
        </w:rPr>
        <w:t>服务于康复科及全院的康复患者，覆盖全周期康复流程，支撑康复早期介入、医治护深度协作、通过信息化手段形成门诊、住院、会诊业务的全流程闭环式管理，为患者提供完整的、可追溯的在院信息档案，解放医务人员非临床作业的多余工作量，提高工作效率，系统的建设需满足科室的高标准管理，发挥专科特色优势，同时亦要满足医院信息化建设电子病历评级、互联互通，三甲复审等各项政策的要求，具体如下：</w:t>
      </w:r>
    </w:p>
    <w:p w14:paraId="71D42C11">
      <w:pPr>
        <w:widowControl/>
        <w:numPr>
          <w:ilvl w:val="0"/>
          <w:numId w:val="3"/>
        </w:numPr>
        <w:spacing w:line="360" w:lineRule="auto"/>
        <w:ind w:left="924" w:hanging="442"/>
        <w:jc w:val="left"/>
        <w:rPr>
          <w:rFonts w:ascii="仿宋" w:hAnsi="仿宋" w:eastAsia="仿宋"/>
          <w:bCs/>
          <w:sz w:val="24"/>
          <w:szCs w:val="24"/>
        </w:rPr>
      </w:pPr>
      <w:bookmarkStart w:id="1" w:name="OLE_LINK4"/>
      <w:r>
        <w:rPr>
          <w:rFonts w:hint="eastAsia" w:ascii="仿宋" w:hAnsi="仿宋" w:eastAsia="仿宋"/>
          <w:bCs/>
          <w:sz w:val="24"/>
          <w:szCs w:val="24"/>
        </w:rPr>
        <w:t>打破信息孤岛：实现与EMR等系统无缝对接，构建临床康复数据中心。</w:t>
      </w:r>
    </w:p>
    <w:p w14:paraId="79DE5CDA">
      <w:pPr>
        <w:widowControl/>
        <w:numPr>
          <w:ilvl w:val="0"/>
          <w:numId w:val="3"/>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实现全院治疗一体化管理：通过治疗系统建设，满足全院治疗项目的执行与统计</w:t>
      </w:r>
    </w:p>
    <w:p w14:paraId="0DACA616">
      <w:pPr>
        <w:widowControl/>
        <w:numPr>
          <w:ilvl w:val="0"/>
          <w:numId w:val="3"/>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实现康复诊疗流程规范化管理：建立标准化康复路径及全流程信息化覆盖。</w:t>
      </w:r>
    </w:p>
    <w:p w14:paraId="001CDD10">
      <w:pPr>
        <w:widowControl/>
        <w:numPr>
          <w:ilvl w:val="0"/>
          <w:numId w:val="3"/>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提升效率与服务：通过智能排班、治疗跟踪、数据统计等功能，提升治疗师效率及患者体验。</w:t>
      </w:r>
    </w:p>
    <w:p w14:paraId="22716720">
      <w:pPr>
        <w:widowControl/>
        <w:numPr>
          <w:ilvl w:val="0"/>
          <w:numId w:val="3"/>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加强康复数据分析和研究能力：整合康复数据（评估结果、治疗记录、他科治疗等）形成可视化报表，辅助科室制定学科发展计划。</w:t>
      </w:r>
    </w:p>
    <w:p w14:paraId="0395DB42">
      <w:pPr>
        <w:widowControl/>
        <w:numPr>
          <w:ilvl w:val="0"/>
          <w:numId w:val="3"/>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满足电子病历五级评审要求</w:t>
      </w:r>
    </w:p>
    <w:p w14:paraId="4B366A7A">
      <w:pPr>
        <w:widowControl/>
        <w:spacing w:line="360" w:lineRule="auto"/>
        <w:ind w:left="482"/>
        <w:jc w:val="left"/>
        <w:rPr>
          <w:rFonts w:ascii="仿宋" w:hAnsi="仿宋" w:eastAsia="仿宋"/>
          <w:bCs/>
          <w:sz w:val="24"/>
          <w:szCs w:val="24"/>
        </w:rPr>
      </w:pPr>
    </w:p>
    <w:p w14:paraId="48AD05C0">
      <w:pPr>
        <w:pStyle w:val="9"/>
        <w:numPr>
          <w:ilvl w:val="0"/>
          <w:numId w:val="1"/>
        </w:numPr>
        <w:spacing w:line="360" w:lineRule="auto"/>
        <w:jc w:val="left"/>
        <w:rPr>
          <w:rFonts w:ascii="仿宋" w:hAnsi="仿宋" w:eastAsia="仿宋"/>
          <w:b/>
          <w:sz w:val="24"/>
          <w:szCs w:val="24"/>
        </w:rPr>
      </w:pPr>
      <w:r>
        <w:rPr>
          <w:rFonts w:hint="eastAsia" w:ascii="仿宋" w:hAnsi="仿宋" w:eastAsia="仿宋"/>
          <w:b/>
          <w:sz w:val="24"/>
          <w:szCs w:val="24"/>
        </w:rPr>
        <w:t>项目建设范围</w:t>
      </w:r>
    </w:p>
    <w:p w14:paraId="38F95D49">
      <w:pPr>
        <w:widowControl/>
        <w:spacing w:line="360" w:lineRule="auto"/>
        <w:ind w:firstLine="480" w:firstLineChars="200"/>
        <w:jc w:val="left"/>
        <w:rPr>
          <w:rFonts w:ascii="仿宋" w:hAnsi="仿宋" w:eastAsia="仿宋"/>
          <w:bCs/>
          <w:sz w:val="24"/>
          <w:szCs w:val="24"/>
        </w:rPr>
      </w:pPr>
      <w:r>
        <w:rPr>
          <w:rFonts w:hint="eastAsia" w:ascii="仿宋" w:hAnsi="仿宋" w:eastAsia="仿宋"/>
          <w:bCs/>
          <w:sz w:val="24"/>
          <w:szCs w:val="24"/>
        </w:rPr>
        <w:t>科室以覆盖康复医学科、高压氧科、中医科为主实现科室闭环管理，全院其他治疗科室为辅，其中其他治疗科室则以通用流程为主提供执行及数据统计功能。</w:t>
      </w:r>
    </w:p>
    <w:p w14:paraId="2CE4636D">
      <w:pPr>
        <w:widowControl/>
        <w:spacing w:line="360" w:lineRule="auto"/>
        <w:ind w:firstLine="480" w:firstLineChars="200"/>
        <w:jc w:val="left"/>
        <w:rPr>
          <w:rFonts w:ascii="仿宋" w:hAnsi="仿宋" w:eastAsia="仿宋"/>
          <w:bCs/>
          <w:sz w:val="24"/>
          <w:szCs w:val="24"/>
        </w:rPr>
      </w:pPr>
    </w:p>
    <w:p w14:paraId="7D8DEF7C">
      <w:pPr>
        <w:pStyle w:val="9"/>
        <w:numPr>
          <w:ilvl w:val="0"/>
          <w:numId w:val="1"/>
        </w:numPr>
        <w:spacing w:line="360" w:lineRule="auto"/>
        <w:jc w:val="left"/>
        <w:rPr>
          <w:rFonts w:ascii="仿宋" w:hAnsi="仿宋" w:eastAsia="仿宋"/>
          <w:b/>
          <w:sz w:val="24"/>
          <w:szCs w:val="24"/>
        </w:rPr>
      </w:pPr>
      <w:r>
        <w:rPr>
          <w:rFonts w:hint="eastAsia" w:ascii="仿宋" w:hAnsi="仿宋" w:eastAsia="仿宋"/>
          <w:b/>
          <w:sz w:val="24"/>
          <w:szCs w:val="24"/>
        </w:rPr>
        <w:t>项目建设内容</w:t>
      </w:r>
    </w:p>
    <w:p w14:paraId="7B184C7B">
      <w:pPr>
        <w:pStyle w:val="9"/>
        <w:numPr>
          <w:ilvl w:val="0"/>
          <w:numId w:val="4"/>
        </w:numPr>
        <w:spacing w:line="360" w:lineRule="auto"/>
        <w:jc w:val="left"/>
        <w:rPr>
          <w:rFonts w:ascii="仿宋" w:hAnsi="仿宋" w:eastAsia="仿宋"/>
          <w:b/>
          <w:sz w:val="24"/>
          <w:szCs w:val="24"/>
        </w:rPr>
      </w:pPr>
      <w:r>
        <w:rPr>
          <w:rFonts w:hint="eastAsia" w:ascii="仿宋" w:hAnsi="仿宋" w:eastAsia="仿宋"/>
          <w:b/>
          <w:sz w:val="24"/>
          <w:szCs w:val="24"/>
        </w:rPr>
        <w:t>全院治疗系统建设内容</w:t>
      </w:r>
    </w:p>
    <w:p w14:paraId="7D842700">
      <w:pPr>
        <w:spacing w:line="360" w:lineRule="auto"/>
        <w:ind w:firstLine="480" w:firstLineChars="200"/>
        <w:jc w:val="left"/>
        <w:rPr>
          <w:rFonts w:ascii="仿宋" w:hAnsi="仿宋" w:eastAsia="仿宋"/>
          <w:bCs/>
          <w:sz w:val="24"/>
          <w:szCs w:val="24"/>
        </w:rPr>
      </w:pPr>
      <w:r>
        <w:rPr>
          <w:rFonts w:hint="eastAsia" w:ascii="仿宋" w:hAnsi="仿宋" w:eastAsia="仿宋"/>
          <w:bCs/>
          <w:sz w:val="24"/>
          <w:szCs w:val="24"/>
        </w:rPr>
        <w:t>全院治疗通用流程说明：</w:t>
      </w:r>
    </w:p>
    <w:p w14:paraId="684E8B41">
      <w:pPr>
        <w:spacing w:line="360" w:lineRule="auto"/>
        <w:ind w:firstLine="480" w:firstLineChars="200"/>
        <w:jc w:val="left"/>
        <w:rPr>
          <w:rFonts w:ascii="仿宋" w:hAnsi="仿宋" w:eastAsia="仿宋"/>
          <w:bCs/>
          <w:sz w:val="24"/>
          <w:szCs w:val="24"/>
        </w:rPr>
      </w:pPr>
      <w:r>
        <w:rPr>
          <w:rFonts w:hint="eastAsia" w:ascii="仿宋" w:hAnsi="仿宋" w:eastAsia="仿宋"/>
          <w:bCs/>
          <w:sz w:val="24"/>
          <w:szCs w:val="24"/>
        </w:rPr>
        <w:t>科室范围：针对康复医学科、高压氧科、中医科以外的治疗科室</w:t>
      </w:r>
    </w:p>
    <w:p w14:paraId="54595F91">
      <w:pPr>
        <w:widowControl/>
        <w:spacing w:line="360" w:lineRule="auto"/>
        <w:ind w:firstLine="480" w:firstLineChars="200"/>
        <w:jc w:val="left"/>
        <w:rPr>
          <w:rFonts w:ascii="仿宋" w:hAnsi="仿宋" w:eastAsia="仿宋"/>
          <w:bCs/>
          <w:sz w:val="24"/>
          <w:szCs w:val="24"/>
        </w:rPr>
      </w:pPr>
      <w:r>
        <w:rPr>
          <w:rFonts w:ascii="仿宋" w:hAnsi="仿宋" w:eastAsia="仿宋"/>
          <w:bCs/>
          <w:sz w:val="24"/>
          <w:szCs w:val="24"/>
        </w:rPr>
        <w:t>门诊流程</w:t>
      </w:r>
      <w:r>
        <w:rPr>
          <w:rFonts w:hint="eastAsia" w:ascii="仿宋" w:hAnsi="仿宋" w:eastAsia="仿宋"/>
          <w:bCs/>
          <w:sz w:val="24"/>
          <w:szCs w:val="24"/>
        </w:rPr>
        <w:t>：门诊医生接诊查体，进行简单评估，并同时下达治疗医嘱，患者缴费后，来到治疗区，系统自动同步治疗医嘱信息，治疗师进行治疗后，通过电脑端为患者提交治疗执行，执行时可备注患者该项治疗治疗效果，完成执行后，查看患者治疗记录，治疗记录自动加载已执行的治疗项目明细及治疗效果。</w:t>
      </w:r>
    </w:p>
    <w:p w14:paraId="2D0EC6FF">
      <w:pPr>
        <w:widowControl/>
        <w:spacing w:line="360" w:lineRule="auto"/>
        <w:ind w:firstLine="480" w:firstLineChars="200"/>
        <w:jc w:val="left"/>
        <w:rPr>
          <w:rFonts w:ascii="仿宋" w:hAnsi="仿宋" w:eastAsia="仿宋"/>
          <w:bCs/>
          <w:sz w:val="24"/>
          <w:szCs w:val="24"/>
        </w:rPr>
      </w:pPr>
      <w:r>
        <w:rPr>
          <w:rFonts w:hint="eastAsia" w:ascii="仿宋" w:hAnsi="仿宋" w:eastAsia="仿宋"/>
          <w:bCs/>
          <w:sz w:val="24"/>
          <w:szCs w:val="24"/>
        </w:rPr>
        <w:t>住院流程说明：患者办理入院， 医生通过问诊、检查等结果下达治疗医嘱，护士审核。患者到达治疗区，治疗完成后，治疗师在治疗系统进行项目执行（执行项目并统计工作量），接口回传费清单用在EMR计费。</w:t>
      </w:r>
    </w:p>
    <w:p w14:paraId="6ACB3CA5">
      <w:pPr>
        <w:widowControl/>
        <w:spacing w:line="360" w:lineRule="auto"/>
        <w:ind w:firstLine="480" w:firstLineChars="200"/>
        <w:jc w:val="left"/>
        <w:rPr>
          <w:rFonts w:ascii="仿宋" w:hAnsi="仿宋" w:eastAsia="仿宋"/>
          <w:bCs/>
          <w:sz w:val="24"/>
          <w:szCs w:val="24"/>
        </w:rPr>
      </w:pPr>
      <w:r>
        <w:rPr>
          <w:rFonts w:hint="eastAsia" w:ascii="仿宋" w:hAnsi="仿宋" w:eastAsia="仿宋"/>
          <w:bCs/>
          <w:sz w:val="24"/>
          <w:szCs w:val="24"/>
        </w:rPr>
        <w:t>会诊流程说明：临床科室发起会诊，治疗科室参与会诊，医生根据会诊结果下达响应执行科室治疗医嘱，护士审核，患者到达治疗区进行治疗。患者治疗完成后，治疗师在治疗系统进行项目执行（执行项目并统计工作量），接口回传费用清单在EMR计费。</w:t>
      </w:r>
    </w:p>
    <w:p w14:paraId="0D4C5840">
      <w:pPr>
        <w:widowControl/>
        <w:spacing w:line="360" w:lineRule="auto"/>
        <w:jc w:val="left"/>
        <w:rPr>
          <w:rFonts w:ascii="仿宋" w:hAnsi="仿宋" w:eastAsia="仿宋"/>
          <w:b/>
          <w:sz w:val="24"/>
          <w:szCs w:val="24"/>
        </w:rPr>
      </w:pPr>
      <w:r>
        <w:rPr>
          <w:rFonts w:hint="eastAsia" w:ascii="仿宋" w:hAnsi="仿宋" w:eastAsia="仿宋"/>
          <w:b/>
          <w:sz w:val="24"/>
          <w:szCs w:val="24"/>
        </w:rPr>
        <w:t xml:space="preserve">   建设功能模块清单</w:t>
      </w:r>
    </w:p>
    <w:tbl>
      <w:tblPr>
        <w:tblStyle w:val="5"/>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1699"/>
        <w:gridCol w:w="6386"/>
      </w:tblGrid>
      <w:tr w14:paraId="58312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6C7955EE">
            <w:pPr>
              <w:keepNext w:val="0"/>
              <w:keepLines w:val="0"/>
              <w:suppressLineNumbers w:val="0"/>
              <w:spacing w:before="0" w:beforeAutospacing="0" w:after="0" w:afterAutospacing="0" w:line="360" w:lineRule="auto"/>
              <w:ind w:left="0" w:right="0"/>
              <w:rPr>
                <w:rFonts w:hint="eastAsia" w:ascii="仿宋" w:hAnsi="仿宋" w:eastAsia="仿宋" w:cs="仿宋"/>
                <w:b/>
                <w:bCs/>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b/>
                <w:bCs/>
                <w:color w:val="262626" w:themeColor="text1" w:themeTint="D9"/>
                <w:kern w:val="0"/>
                <w:sz w:val="24"/>
                <w:szCs w:val="24"/>
                <w14:textFill>
                  <w14:solidFill>
                    <w14:schemeClr w14:val="tx1">
                      <w14:lumMod w14:val="85000"/>
                      <w14:lumOff w14:val="15000"/>
                    </w14:schemeClr>
                  </w14:solidFill>
                </w14:textFill>
              </w:rPr>
              <w:t>序号</w:t>
            </w:r>
          </w:p>
        </w:tc>
        <w:tc>
          <w:tcPr>
            <w:tcW w:w="1699" w:type="dxa"/>
            <w:shd w:val="clear" w:color="auto" w:fill="FFFFFF"/>
            <w:vAlign w:val="center"/>
          </w:tcPr>
          <w:p w14:paraId="297F7546">
            <w:pPr>
              <w:keepNext w:val="0"/>
              <w:keepLines w:val="0"/>
              <w:suppressLineNumbers w:val="0"/>
              <w:spacing w:before="0" w:beforeAutospacing="0" w:after="0" w:afterAutospacing="0" w:line="360" w:lineRule="auto"/>
              <w:ind w:left="0" w:right="0" w:firstLine="422"/>
              <w:jc w:val="center"/>
              <w:rPr>
                <w:rFonts w:hint="eastAsia" w:ascii="仿宋" w:hAnsi="仿宋" w:eastAsia="仿宋" w:cs="仿宋"/>
                <w:b/>
                <w:bCs/>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b/>
                <w:bCs/>
                <w:color w:val="262626" w:themeColor="text1" w:themeTint="D9"/>
                <w:kern w:val="0"/>
                <w:sz w:val="24"/>
                <w:szCs w:val="24"/>
                <w14:textFill>
                  <w14:solidFill>
                    <w14:schemeClr w14:val="tx1">
                      <w14:lumMod w14:val="85000"/>
                      <w14:lumOff w14:val="15000"/>
                    </w14:schemeClr>
                  </w14:solidFill>
                </w14:textFill>
              </w:rPr>
              <w:t>模块名称</w:t>
            </w:r>
          </w:p>
        </w:tc>
        <w:tc>
          <w:tcPr>
            <w:tcW w:w="6386" w:type="dxa"/>
            <w:shd w:val="clear" w:color="auto" w:fill="FFFFFF"/>
            <w:vAlign w:val="center"/>
          </w:tcPr>
          <w:p w14:paraId="5903D48E">
            <w:pPr>
              <w:keepNext w:val="0"/>
              <w:keepLines w:val="0"/>
              <w:suppressLineNumbers w:val="0"/>
              <w:spacing w:before="0" w:beforeAutospacing="0" w:after="0" w:afterAutospacing="0" w:line="360" w:lineRule="auto"/>
              <w:ind w:left="0" w:right="0" w:firstLine="422"/>
              <w:jc w:val="center"/>
              <w:rPr>
                <w:rFonts w:hint="eastAsia" w:ascii="仿宋" w:hAnsi="仿宋" w:eastAsia="仿宋" w:cs="仿宋"/>
                <w:b/>
                <w:bCs/>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b/>
                <w:bCs/>
                <w:color w:val="262626" w:themeColor="text1" w:themeTint="D9"/>
                <w:kern w:val="0"/>
                <w:sz w:val="24"/>
                <w:szCs w:val="24"/>
                <w14:textFill>
                  <w14:solidFill>
                    <w14:schemeClr w14:val="tx1">
                      <w14:lumMod w14:val="85000"/>
                      <w14:lumOff w14:val="15000"/>
                    </w14:schemeClr>
                  </w14:solidFill>
                </w14:textFill>
              </w:rPr>
              <w:t>功能简介</w:t>
            </w:r>
          </w:p>
        </w:tc>
      </w:tr>
      <w:tr w14:paraId="1AED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76CA2F3D">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1</w:t>
            </w:r>
          </w:p>
        </w:tc>
        <w:tc>
          <w:tcPr>
            <w:tcW w:w="1699" w:type="dxa"/>
            <w:shd w:val="clear" w:color="auto" w:fill="FFFFFF"/>
            <w:vAlign w:val="center"/>
          </w:tcPr>
          <w:p w14:paraId="3BCD5128">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宋体"/>
                <w:color w:val="262626"/>
                <w:kern w:val="0"/>
                <w:sz w:val="24"/>
                <w:szCs w:val="24"/>
                <w:lang w:bidi="ar"/>
              </w:rPr>
              <w:t>系统配置</w:t>
            </w:r>
          </w:p>
        </w:tc>
        <w:tc>
          <w:tcPr>
            <w:tcW w:w="6386" w:type="dxa"/>
            <w:shd w:val="clear" w:color="auto" w:fill="FFFFFF"/>
            <w:vAlign w:val="center"/>
          </w:tcPr>
          <w:p w14:paraId="39B79957">
            <w:pPr>
              <w:keepNext w:val="0"/>
              <w:keepLines w:val="0"/>
              <w:widowControl/>
              <w:suppressLineNumbers w:val="0"/>
              <w:spacing w:before="0" w:beforeAutospacing="0" w:after="0" w:afterAutospacing="0" w:line="360" w:lineRule="auto"/>
              <w:ind w:left="0" w:right="0"/>
              <w:jc w:val="left"/>
              <w:textAlignment w:val="center"/>
              <w:rPr>
                <w:rFonts w:hint="eastAsia" w:ascii="仿宋" w:hAnsi="仿宋" w:eastAsia="仿宋" w:cs="仿宋"/>
                <w:color w:val="262626" w:themeColor="text1" w:themeTint="D9"/>
                <w:kern w:val="0"/>
                <w:sz w:val="20"/>
                <w:szCs w:val="21"/>
                <w:lang w:bidi="ar"/>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lang w:bidi="ar"/>
                <w14:textFill>
                  <w14:solidFill>
                    <w14:schemeClr w14:val="tx1">
                      <w14:lumMod w14:val="85000"/>
                      <w14:lumOff w14:val="15000"/>
                    </w14:schemeClr>
                  </w14:solidFill>
                </w14:textFill>
              </w:rPr>
              <w:t xml:space="preserve">提供软件运行基础数据管理，如科室人员信息、治疗项目、治疗区、等业务基础数据；支持对系统运行所需要的基础数据进行管理、维护： </w:t>
            </w:r>
          </w:p>
        </w:tc>
      </w:tr>
      <w:tr w14:paraId="36F0E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4E273194">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2</w:t>
            </w:r>
          </w:p>
        </w:tc>
        <w:tc>
          <w:tcPr>
            <w:tcW w:w="1699" w:type="dxa"/>
            <w:shd w:val="clear" w:color="auto" w:fill="FFFFFF"/>
            <w:vAlign w:val="center"/>
          </w:tcPr>
          <w:p w14:paraId="062FE27D">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接口模块</w:t>
            </w:r>
          </w:p>
        </w:tc>
        <w:tc>
          <w:tcPr>
            <w:tcW w:w="6386" w:type="dxa"/>
            <w:shd w:val="clear" w:color="auto" w:fill="FFFFFF"/>
            <w:vAlign w:val="center"/>
          </w:tcPr>
          <w:p w14:paraId="0627251C">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提供系统运行所需的基础接口标准对接第三方系统接口模块（例如：对接EMR系统，CA等）</w:t>
            </w:r>
          </w:p>
        </w:tc>
      </w:tr>
      <w:tr w14:paraId="0D139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5CB8BA2A">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3</w:t>
            </w:r>
          </w:p>
        </w:tc>
        <w:tc>
          <w:tcPr>
            <w:tcW w:w="1699" w:type="dxa"/>
            <w:shd w:val="clear" w:color="auto" w:fill="FFFFFF"/>
            <w:vAlign w:val="center"/>
          </w:tcPr>
          <w:p w14:paraId="19D5A549">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消息中心</w:t>
            </w:r>
          </w:p>
        </w:tc>
        <w:tc>
          <w:tcPr>
            <w:tcW w:w="6386" w:type="dxa"/>
            <w:shd w:val="clear" w:color="auto" w:fill="FFFFFF"/>
            <w:vAlign w:val="center"/>
          </w:tcPr>
          <w:p w14:paraId="34E58D27">
            <w:pPr>
              <w:keepNext w:val="0"/>
              <w:keepLines w:val="0"/>
              <w:suppressLineNumbers w:val="0"/>
              <w:tabs>
                <w:tab w:val="center" w:pos="2585"/>
              </w:tabs>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提供灵活的消息提示机制，可通过多种通讯方式获取系统发送的提示信息</w:t>
            </w: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ab/>
            </w:r>
          </w:p>
        </w:tc>
      </w:tr>
      <w:tr w14:paraId="007ED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31268591">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4</w:t>
            </w:r>
          </w:p>
        </w:tc>
        <w:tc>
          <w:tcPr>
            <w:tcW w:w="1699" w:type="dxa"/>
            <w:shd w:val="clear" w:color="auto" w:fill="FFFFFF"/>
            <w:vAlign w:val="center"/>
          </w:tcPr>
          <w:p w14:paraId="6004D0AE">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任务中心</w:t>
            </w:r>
          </w:p>
        </w:tc>
        <w:tc>
          <w:tcPr>
            <w:tcW w:w="6386" w:type="dxa"/>
            <w:shd w:val="clear" w:color="auto" w:fill="FFFFFF"/>
            <w:vAlign w:val="center"/>
          </w:tcPr>
          <w:p w14:paraId="5EAD9C6F">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支持针对个人工作信息进行系统化的跟踪,提供每日工作情况总览功能及任务追踪路径，提供治疗执行自动排查功能，支持在治疗登记时提醒显示未执行医嘱</w:t>
            </w:r>
          </w:p>
        </w:tc>
      </w:tr>
      <w:tr w14:paraId="30411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4E7513E5">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5</w:t>
            </w:r>
          </w:p>
        </w:tc>
        <w:tc>
          <w:tcPr>
            <w:tcW w:w="1699" w:type="dxa"/>
            <w:shd w:val="clear" w:color="auto" w:fill="FFFFFF"/>
            <w:vAlign w:val="center"/>
          </w:tcPr>
          <w:p w14:paraId="6BD9C685">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个人中心</w:t>
            </w:r>
          </w:p>
        </w:tc>
        <w:tc>
          <w:tcPr>
            <w:tcW w:w="6386" w:type="dxa"/>
            <w:shd w:val="clear" w:color="auto" w:fill="FFFFFF"/>
            <w:vAlign w:val="center"/>
          </w:tcPr>
          <w:p w14:paraId="645D123B">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个人个性化系统设置，支持对当前账户信息进行编辑维护，实现多病区联合办公，可根据需要切换不同科室/病区进行业务处理，且能实现数据隔离</w:t>
            </w:r>
          </w:p>
        </w:tc>
      </w:tr>
      <w:tr w14:paraId="25263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53321647">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6</w:t>
            </w:r>
          </w:p>
        </w:tc>
        <w:tc>
          <w:tcPr>
            <w:tcW w:w="1699" w:type="dxa"/>
            <w:shd w:val="clear" w:color="auto" w:fill="FFFFFF"/>
            <w:vAlign w:val="center"/>
          </w:tcPr>
          <w:p w14:paraId="74D35F31">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患者</w:t>
            </w:r>
            <w:r>
              <w:rPr>
                <w:rFonts w:hint="default" w:ascii="仿宋" w:hAnsi="仿宋" w:eastAsia="仿宋" w:cs="仿宋"/>
                <w:color w:val="262626" w:themeColor="text1" w:themeTint="D9"/>
                <w:kern w:val="0"/>
                <w:sz w:val="24"/>
                <w:szCs w:val="24"/>
                <w14:textFill>
                  <w14:solidFill>
                    <w14:schemeClr w14:val="tx1">
                      <w14:lumMod w14:val="85000"/>
                      <w14:lumOff w14:val="15000"/>
                    </w14:schemeClr>
                  </w14:solidFill>
                </w14:textFill>
              </w:rPr>
              <w:t>管理</w:t>
            </w:r>
          </w:p>
        </w:tc>
        <w:tc>
          <w:tcPr>
            <w:tcW w:w="6386" w:type="dxa"/>
            <w:shd w:val="clear" w:color="auto" w:fill="FFFFFF"/>
            <w:vAlign w:val="center"/>
          </w:tcPr>
          <w:p w14:paraId="171E33D5">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以患者为中心，提供患者管理功能，支持以名片、列表两种方式进行管理；且能同步EMR患者信息</w:t>
            </w:r>
          </w:p>
        </w:tc>
      </w:tr>
      <w:tr w14:paraId="7E52D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19AC537E">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7</w:t>
            </w:r>
          </w:p>
        </w:tc>
        <w:tc>
          <w:tcPr>
            <w:tcW w:w="1699" w:type="dxa"/>
            <w:shd w:val="clear" w:color="auto" w:fill="FFFFFF"/>
            <w:vAlign w:val="center"/>
          </w:tcPr>
          <w:p w14:paraId="3B04FE16">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治疗工作站</w:t>
            </w:r>
          </w:p>
        </w:tc>
        <w:tc>
          <w:tcPr>
            <w:tcW w:w="6386" w:type="dxa"/>
            <w:shd w:val="clear" w:color="auto" w:fill="FFFFFF"/>
            <w:vAlign w:val="center"/>
          </w:tcPr>
          <w:p w14:paraId="4132D14D">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用于治疗师进行治疗执行、治疗记录查看统计等操作；支持治疗所需要的基础功能，具备待治疗项目查询、治疗登记、治疗记录、收（补）退费等功能</w:t>
            </w:r>
          </w:p>
        </w:tc>
      </w:tr>
      <w:tr w14:paraId="088B6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7B804015">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8</w:t>
            </w:r>
          </w:p>
        </w:tc>
        <w:tc>
          <w:tcPr>
            <w:tcW w:w="1699" w:type="dxa"/>
            <w:shd w:val="clear" w:color="auto" w:fill="FFFFFF"/>
            <w:vAlign w:val="center"/>
          </w:tcPr>
          <w:p w14:paraId="1BF4FECE">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统计报表</w:t>
            </w:r>
          </w:p>
        </w:tc>
        <w:tc>
          <w:tcPr>
            <w:tcW w:w="6386" w:type="dxa"/>
            <w:shd w:val="clear" w:color="auto" w:fill="FFFFFF"/>
            <w:vAlign w:val="center"/>
          </w:tcPr>
          <w:p w14:paraId="1E57F926">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用于整个科室运营综合统计分析，协助科室管理者实时对整个科室治疗项目进行监管；支持统计科室的所有治疗项目，治疗人次、治疗费用、工作量统计、量表统计、患者治疗情况统计功能，报表可集中展示</w:t>
            </w:r>
          </w:p>
        </w:tc>
      </w:tr>
      <w:tr w14:paraId="38C5F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183318FE">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9</w:t>
            </w:r>
          </w:p>
        </w:tc>
        <w:tc>
          <w:tcPr>
            <w:tcW w:w="1699" w:type="dxa"/>
            <w:shd w:val="clear" w:color="auto" w:fill="FFFFFF"/>
            <w:vAlign w:val="center"/>
          </w:tcPr>
          <w:p w14:paraId="17DD0E46">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移动执行系统</w:t>
            </w:r>
          </w:p>
        </w:tc>
        <w:tc>
          <w:tcPr>
            <w:tcW w:w="6386" w:type="dxa"/>
            <w:shd w:val="clear" w:color="auto" w:fill="FFFFFF"/>
            <w:vAlign w:val="center"/>
          </w:tcPr>
          <w:p w14:paraId="1EBF9291">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移动执行系统集成任务中心、消息中心、治疗医嘱管理、治疗执行、治疗记录、患者管理、治疗工作统计等功能，为治疗师工作日常提升便利性，减轻工作压力</w:t>
            </w:r>
          </w:p>
        </w:tc>
      </w:tr>
    </w:tbl>
    <w:p w14:paraId="2FC43557">
      <w:pPr>
        <w:pStyle w:val="9"/>
      </w:pPr>
    </w:p>
    <w:p w14:paraId="4CC45857">
      <w:pPr>
        <w:pStyle w:val="9"/>
        <w:numPr>
          <w:ilvl w:val="0"/>
          <w:numId w:val="4"/>
        </w:numPr>
        <w:spacing w:line="360" w:lineRule="auto"/>
        <w:jc w:val="left"/>
        <w:rPr>
          <w:rFonts w:ascii="仿宋" w:hAnsi="仿宋" w:eastAsia="仿宋"/>
          <w:b/>
          <w:sz w:val="24"/>
          <w:szCs w:val="24"/>
        </w:rPr>
      </w:pPr>
      <w:r>
        <w:rPr>
          <w:rFonts w:hint="eastAsia" w:ascii="仿宋" w:hAnsi="仿宋" w:eastAsia="仿宋"/>
          <w:b/>
          <w:sz w:val="24"/>
          <w:szCs w:val="24"/>
        </w:rPr>
        <w:t>针对康复医学科、高压氧科、中医科建设内容</w:t>
      </w:r>
    </w:p>
    <w:p w14:paraId="0F6847EA">
      <w:pPr>
        <w:widowControl/>
        <w:spacing w:line="360" w:lineRule="auto"/>
        <w:ind w:firstLine="480" w:firstLineChars="200"/>
        <w:jc w:val="left"/>
        <w:rPr>
          <w:rFonts w:ascii="仿宋" w:hAnsi="仿宋" w:eastAsia="仿宋"/>
          <w:bCs/>
          <w:sz w:val="24"/>
          <w:szCs w:val="24"/>
        </w:rPr>
      </w:pPr>
      <w:r>
        <w:rPr>
          <w:rFonts w:hint="eastAsia" w:ascii="仿宋" w:hAnsi="仿宋" w:eastAsia="仿宋"/>
          <w:bCs/>
          <w:sz w:val="24"/>
          <w:szCs w:val="24"/>
        </w:rPr>
        <w:t>流程说明：适配康复医学科，高压氧科，中医科专属康复治疗流程及规范，实现科室全流程闭环式管理</w:t>
      </w:r>
    </w:p>
    <w:p w14:paraId="0C183BB7">
      <w:pPr>
        <w:widowControl/>
        <w:spacing w:line="360" w:lineRule="auto"/>
        <w:ind w:firstLine="480" w:firstLineChars="200"/>
        <w:jc w:val="left"/>
        <w:rPr>
          <w:rFonts w:ascii="仿宋" w:hAnsi="仿宋" w:eastAsia="仿宋"/>
          <w:bCs/>
          <w:sz w:val="24"/>
          <w:szCs w:val="24"/>
        </w:rPr>
      </w:pPr>
      <w:r>
        <w:rPr>
          <w:rFonts w:hint="eastAsia" w:ascii="仿宋" w:hAnsi="仿宋" w:eastAsia="仿宋"/>
          <w:bCs/>
          <w:sz w:val="24"/>
          <w:szCs w:val="24"/>
        </w:rPr>
        <w:t xml:space="preserve">  建设功能模块清单：</w:t>
      </w:r>
    </w:p>
    <w:bookmarkEnd w:id="1"/>
    <w:tbl>
      <w:tblPr>
        <w:tblStyle w:val="5"/>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1699"/>
        <w:gridCol w:w="6386"/>
      </w:tblGrid>
      <w:tr w14:paraId="3B27B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666173E9">
            <w:pPr>
              <w:keepNext w:val="0"/>
              <w:keepLines w:val="0"/>
              <w:suppressLineNumbers w:val="0"/>
              <w:spacing w:before="0" w:beforeAutospacing="0" w:after="0" w:afterAutospacing="0" w:line="360" w:lineRule="auto"/>
              <w:ind w:left="0" w:right="0"/>
              <w:rPr>
                <w:rFonts w:hint="eastAsia" w:ascii="仿宋" w:hAnsi="仿宋" w:eastAsia="仿宋" w:cs="仿宋"/>
                <w:b/>
                <w:bCs/>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b/>
                <w:bCs/>
                <w:color w:val="262626" w:themeColor="text1" w:themeTint="D9"/>
                <w:kern w:val="0"/>
                <w:sz w:val="24"/>
                <w:szCs w:val="24"/>
                <w14:textFill>
                  <w14:solidFill>
                    <w14:schemeClr w14:val="tx1">
                      <w14:lumMod w14:val="85000"/>
                      <w14:lumOff w14:val="15000"/>
                    </w14:schemeClr>
                  </w14:solidFill>
                </w14:textFill>
              </w:rPr>
              <w:t>序号</w:t>
            </w:r>
          </w:p>
        </w:tc>
        <w:tc>
          <w:tcPr>
            <w:tcW w:w="1699" w:type="dxa"/>
            <w:shd w:val="clear" w:color="auto" w:fill="FFFFFF"/>
            <w:vAlign w:val="center"/>
          </w:tcPr>
          <w:p w14:paraId="3139687D">
            <w:pPr>
              <w:keepNext w:val="0"/>
              <w:keepLines w:val="0"/>
              <w:suppressLineNumbers w:val="0"/>
              <w:spacing w:before="0" w:beforeAutospacing="0" w:after="0" w:afterAutospacing="0" w:line="360" w:lineRule="auto"/>
              <w:ind w:left="0" w:right="0" w:firstLine="422"/>
              <w:jc w:val="center"/>
              <w:rPr>
                <w:rFonts w:hint="eastAsia" w:ascii="仿宋" w:hAnsi="仿宋" w:eastAsia="仿宋" w:cs="仿宋"/>
                <w:b/>
                <w:bCs/>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b/>
                <w:bCs/>
                <w:color w:val="262626" w:themeColor="text1" w:themeTint="D9"/>
                <w:kern w:val="0"/>
                <w:sz w:val="24"/>
                <w:szCs w:val="24"/>
                <w14:textFill>
                  <w14:solidFill>
                    <w14:schemeClr w14:val="tx1">
                      <w14:lumMod w14:val="85000"/>
                      <w14:lumOff w14:val="15000"/>
                    </w14:schemeClr>
                  </w14:solidFill>
                </w14:textFill>
              </w:rPr>
              <w:t>模块名称</w:t>
            </w:r>
          </w:p>
        </w:tc>
        <w:tc>
          <w:tcPr>
            <w:tcW w:w="6386" w:type="dxa"/>
            <w:shd w:val="clear" w:color="auto" w:fill="FFFFFF"/>
            <w:vAlign w:val="center"/>
          </w:tcPr>
          <w:p w14:paraId="2ED51795">
            <w:pPr>
              <w:keepNext w:val="0"/>
              <w:keepLines w:val="0"/>
              <w:suppressLineNumbers w:val="0"/>
              <w:spacing w:before="0" w:beforeAutospacing="0" w:after="0" w:afterAutospacing="0" w:line="360" w:lineRule="auto"/>
              <w:ind w:left="0" w:right="0" w:firstLine="422"/>
              <w:jc w:val="center"/>
              <w:rPr>
                <w:rFonts w:hint="eastAsia" w:ascii="仿宋" w:hAnsi="仿宋" w:eastAsia="仿宋" w:cs="仿宋"/>
                <w:b/>
                <w:bCs/>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b/>
                <w:bCs/>
                <w:color w:val="262626" w:themeColor="text1" w:themeTint="D9"/>
                <w:kern w:val="0"/>
                <w:sz w:val="24"/>
                <w:szCs w:val="24"/>
                <w14:textFill>
                  <w14:solidFill>
                    <w14:schemeClr w14:val="tx1">
                      <w14:lumMod w14:val="85000"/>
                      <w14:lumOff w14:val="15000"/>
                    </w14:schemeClr>
                  </w14:solidFill>
                </w14:textFill>
              </w:rPr>
              <w:t>功能简介</w:t>
            </w:r>
          </w:p>
        </w:tc>
      </w:tr>
      <w:tr w14:paraId="5273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76A7239F">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1</w:t>
            </w:r>
          </w:p>
        </w:tc>
        <w:tc>
          <w:tcPr>
            <w:tcW w:w="1699" w:type="dxa"/>
            <w:shd w:val="clear" w:color="auto" w:fill="FFFFFF"/>
            <w:vAlign w:val="center"/>
          </w:tcPr>
          <w:p w14:paraId="03BF91D1">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宋体"/>
                <w:color w:val="262626"/>
                <w:kern w:val="0"/>
                <w:sz w:val="24"/>
                <w:szCs w:val="24"/>
                <w:lang w:bidi="ar"/>
              </w:rPr>
              <w:t>系统配置</w:t>
            </w:r>
          </w:p>
        </w:tc>
        <w:tc>
          <w:tcPr>
            <w:tcW w:w="6386" w:type="dxa"/>
            <w:shd w:val="clear" w:color="auto" w:fill="FFFFFF"/>
            <w:vAlign w:val="center"/>
          </w:tcPr>
          <w:p w14:paraId="09739739">
            <w:pPr>
              <w:keepNext w:val="0"/>
              <w:keepLines w:val="0"/>
              <w:widowControl/>
              <w:suppressLineNumbers w:val="0"/>
              <w:spacing w:before="0" w:beforeAutospacing="0" w:after="0" w:afterAutospacing="0" w:line="360" w:lineRule="auto"/>
              <w:ind w:left="0" w:right="0"/>
              <w:jc w:val="left"/>
              <w:textAlignment w:val="center"/>
              <w:rPr>
                <w:rFonts w:hint="eastAsia" w:ascii="仿宋" w:hAnsi="仿宋" w:eastAsia="仿宋" w:cs="仿宋"/>
                <w:color w:val="262626" w:themeColor="text1" w:themeTint="D9"/>
                <w:kern w:val="0"/>
                <w:sz w:val="20"/>
                <w:szCs w:val="21"/>
                <w:lang w:bidi="ar"/>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lang w:bidi="ar"/>
                <w14:textFill>
                  <w14:solidFill>
                    <w14:schemeClr w14:val="tx1">
                      <w14:lumMod w14:val="85000"/>
                      <w14:lumOff w14:val="15000"/>
                    </w14:schemeClr>
                  </w14:solidFill>
                </w14:textFill>
              </w:rPr>
              <w:t>提供软件运行基础数据管理，如科室人员信息、治疗项目、治疗区、人员排班数据，设备排班数据、评估量表等业务基础数据；支持对系统运行所需要的基础数据进行管理、维护：可分别配置评定报告、治疗文书、团队会议文书等报告个性化多级审核流程。</w:t>
            </w: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提供科室业务开展流程配置参数管理，支持角色对应权限管理功能，并能将分配的权限应用到相应员工个人权限中。且具备核心业务参数配置功能以满足不同需求管理流程需要</w:t>
            </w:r>
          </w:p>
        </w:tc>
      </w:tr>
      <w:tr w14:paraId="66D99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218F9E35">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2</w:t>
            </w:r>
          </w:p>
        </w:tc>
        <w:tc>
          <w:tcPr>
            <w:tcW w:w="1699" w:type="dxa"/>
            <w:shd w:val="clear" w:color="auto" w:fill="FFFFFF"/>
            <w:vAlign w:val="center"/>
          </w:tcPr>
          <w:p w14:paraId="5A1E0A83">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接口模块</w:t>
            </w:r>
          </w:p>
        </w:tc>
        <w:tc>
          <w:tcPr>
            <w:tcW w:w="6386" w:type="dxa"/>
            <w:shd w:val="clear" w:color="auto" w:fill="FFFFFF"/>
            <w:vAlign w:val="center"/>
          </w:tcPr>
          <w:p w14:paraId="0355A7BA">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提供系统运行所需的基础接口及电子病历过级所需的业务接口和数据接口，标准对接第三方系统接口模块（例如：对接EMR系统、CA等）</w:t>
            </w:r>
          </w:p>
        </w:tc>
      </w:tr>
      <w:tr w14:paraId="47961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7945B56C">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3</w:t>
            </w:r>
          </w:p>
        </w:tc>
        <w:tc>
          <w:tcPr>
            <w:tcW w:w="1699" w:type="dxa"/>
            <w:shd w:val="clear" w:color="auto" w:fill="FFFFFF"/>
            <w:vAlign w:val="center"/>
          </w:tcPr>
          <w:p w14:paraId="49D6DDDB">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消息中心</w:t>
            </w:r>
          </w:p>
        </w:tc>
        <w:tc>
          <w:tcPr>
            <w:tcW w:w="6386" w:type="dxa"/>
            <w:shd w:val="clear" w:color="auto" w:fill="FFFFFF"/>
            <w:vAlign w:val="center"/>
          </w:tcPr>
          <w:p w14:paraId="21A029E7">
            <w:pPr>
              <w:keepNext w:val="0"/>
              <w:keepLines w:val="0"/>
              <w:suppressLineNumbers w:val="0"/>
              <w:tabs>
                <w:tab w:val="center" w:pos="2585"/>
              </w:tabs>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提供灵活的消息提示机制，可通过多种通讯方式获取系统发送的提示信息；支持根据角色对应权限业务有针对性获取系统中的提示消息，可根据院方需要针对性的选择科室、病区、人员接受消息并处理</w:t>
            </w: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ab/>
            </w:r>
          </w:p>
        </w:tc>
      </w:tr>
      <w:tr w14:paraId="227E6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0812797E">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4</w:t>
            </w:r>
          </w:p>
        </w:tc>
        <w:tc>
          <w:tcPr>
            <w:tcW w:w="1699" w:type="dxa"/>
            <w:shd w:val="clear" w:color="auto" w:fill="FFFFFF"/>
            <w:vAlign w:val="center"/>
          </w:tcPr>
          <w:p w14:paraId="5C68AE7D">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任务中心</w:t>
            </w:r>
          </w:p>
        </w:tc>
        <w:tc>
          <w:tcPr>
            <w:tcW w:w="6386" w:type="dxa"/>
            <w:shd w:val="clear" w:color="auto" w:fill="FFFFFF"/>
            <w:vAlign w:val="center"/>
          </w:tcPr>
          <w:p w14:paraId="5F26D634">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支持针对个人工作信息进行系统化的跟踪,提供每日工作情况总览功能及任务追踪路径，提供治疗执行自动排查功能，支持在治疗登记时提醒显示未执行医嘱</w:t>
            </w:r>
          </w:p>
        </w:tc>
      </w:tr>
      <w:tr w14:paraId="3DFF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113774FB">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5</w:t>
            </w:r>
          </w:p>
        </w:tc>
        <w:tc>
          <w:tcPr>
            <w:tcW w:w="1699" w:type="dxa"/>
            <w:shd w:val="clear" w:color="auto" w:fill="FFFFFF"/>
            <w:vAlign w:val="center"/>
          </w:tcPr>
          <w:p w14:paraId="27182FB3">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个人中心</w:t>
            </w:r>
          </w:p>
        </w:tc>
        <w:tc>
          <w:tcPr>
            <w:tcW w:w="6386" w:type="dxa"/>
            <w:shd w:val="clear" w:color="auto" w:fill="FFFFFF"/>
            <w:vAlign w:val="center"/>
          </w:tcPr>
          <w:p w14:paraId="4DF0CAA7">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个人个性化系统设置，支持对当前账户信息进行编辑维护，实现多病区联合办公，可根据需要切换不同科室/病区进行业务处理，且能实现数据隔离</w:t>
            </w:r>
          </w:p>
        </w:tc>
      </w:tr>
      <w:tr w14:paraId="4B3D5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5EEAA59E">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6</w:t>
            </w:r>
          </w:p>
        </w:tc>
        <w:tc>
          <w:tcPr>
            <w:tcW w:w="1699" w:type="dxa"/>
            <w:shd w:val="clear" w:color="auto" w:fill="FFFFFF"/>
            <w:vAlign w:val="center"/>
          </w:tcPr>
          <w:p w14:paraId="0CE3CC79">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患者</w:t>
            </w:r>
            <w:r>
              <w:rPr>
                <w:rFonts w:hint="default" w:ascii="仿宋" w:hAnsi="仿宋" w:eastAsia="仿宋" w:cs="仿宋"/>
                <w:color w:val="262626" w:themeColor="text1" w:themeTint="D9"/>
                <w:kern w:val="0"/>
                <w:sz w:val="24"/>
                <w:szCs w:val="24"/>
                <w14:textFill>
                  <w14:solidFill>
                    <w14:schemeClr w14:val="tx1">
                      <w14:lumMod w14:val="85000"/>
                      <w14:lumOff w14:val="15000"/>
                    </w14:schemeClr>
                  </w14:solidFill>
                </w14:textFill>
              </w:rPr>
              <w:t>管理</w:t>
            </w:r>
          </w:p>
        </w:tc>
        <w:tc>
          <w:tcPr>
            <w:tcW w:w="6386" w:type="dxa"/>
            <w:shd w:val="clear" w:color="auto" w:fill="FFFFFF"/>
            <w:vAlign w:val="center"/>
          </w:tcPr>
          <w:p w14:paraId="2FEDDF0C">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以患者为中心，提供患者管理功能，支持以名片、列表两种方式进行管理；且能同步EMR患者信息</w:t>
            </w:r>
          </w:p>
        </w:tc>
      </w:tr>
      <w:tr w14:paraId="09BE5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4E9FD628">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7</w:t>
            </w:r>
          </w:p>
        </w:tc>
        <w:tc>
          <w:tcPr>
            <w:tcW w:w="1699" w:type="dxa"/>
            <w:shd w:val="clear" w:color="auto" w:fill="FFFFFF"/>
            <w:vAlign w:val="center"/>
          </w:tcPr>
          <w:p w14:paraId="05093A08">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康复评估工作站</w:t>
            </w:r>
          </w:p>
        </w:tc>
        <w:tc>
          <w:tcPr>
            <w:tcW w:w="6386" w:type="dxa"/>
            <w:shd w:val="clear" w:color="auto" w:fill="FFFFFF"/>
            <w:vAlign w:val="center"/>
          </w:tcPr>
          <w:p w14:paraId="5A25CC47">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用于评估师对患者不同阶段病情情况的评估，并对评估结果进行报告汇总、对比。支持评估所需要的基础功能,满足创建评估方案-&gt;调整评估量表-&gt;执行评估-&gt;书写评估报告-&gt;完成评估-&gt;评估查看-&gt;评估对比的业务要求</w:t>
            </w:r>
          </w:p>
        </w:tc>
      </w:tr>
      <w:tr w14:paraId="0D3E0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7A317C2B">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8</w:t>
            </w:r>
          </w:p>
        </w:tc>
        <w:tc>
          <w:tcPr>
            <w:tcW w:w="1699" w:type="dxa"/>
            <w:shd w:val="clear" w:color="auto" w:fill="FFFFFF"/>
            <w:vAlign w:val="center"/>
          </w:tcPr>
          <w:p w14:paraId="4140CDE5">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康复治疗工作站</w:t>
            </w:r>
          </w:p>
        </w:tc>
        <w:tc>
          <w:tcPr>
            <w:tcW w:w="6386" w:type="dxa"/>
            <w:shd w:val="clear" w:color="auto" w:fill="FFFFFF"/>
            <w:vAlign w:val="center"/>
          </w:tcPr>
          <w:p w14:paraId="76C6B4D7">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用于治疗师进行治疗、排队治疗、治疗记录查看统计等操作；支持治疗所需要的基础功能，具备待治疗项目查询、治疗登记、治疗记录、收（补）退费等功能</w:t>
            </w:r>
          </w:p>
        </w:tc>
      </w:tr>
      <w:tr w14:paraId="09081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35F6CB22">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9</w:t>
            </w:r>
          </w:p>
        </w:tc>
        <w:tc>
          <w:tcPr>
            <w:tcW w:w="1699" w:type="dxa"/>
            <w:shd w:val="clear" w:color="auto" w:fill="FFFFFF"/>
            <w:vAlign w:val="center"/>
          </w:tcPr>
          <w:p w14:paraId="65DE4DBF">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康复护士工作站</w:t>
            </w:r>
          </w:p>
        </w:tc>
        <w:tc>
          <w:tcPr>
            <w:tcW w:w="6386" w:type="dxa"/>
            <w:shd w:val="clear" w:color="auto" w:fill="FFFFFF"/>
            <w:vAlign w:val="center"/>
          </w:tcPr>
          <w:p w14:paraId="428B1325">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此工作站用于护士对患者的康复医疗信息进行查看、记录和编辑，旨在使护士能够有效地管理患者的康复过程，并记录必要的医疗信息以确保信息的完整性。</w:t>
            </w:r>
          </w:p>
        </w:tc>
      </w:tr>
      <w:tr w14:paraId="3AB29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587EBB93">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10</w:t>
            </w:r>
          </w:p>
        </w:tc>
        <w:tc>
          <w:tcPr>
            <w:tcW w:w="1699" w:type="dxa"/>
            <w:shd w:val="clear" w:color="auto" w:fill="FFFFFF"/>
            <w:vAlign w:val="center"/>
          </w:tcPr>
          <w:p w14:paraId="3727F686">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高压氧工作站</w:t>
            </w:r>
          </w:p>
        </w:tc>
        <w:tc>
          <w:tcPr>
            <w:tcW w:w="6386" w:type="dxa"/>
            <w:shd w:val="clear" w:color="auto" w:fill="FFFFFF"/>
            <w:vAlign w:val="center"/>
          </w:tcPr>
          <w:p w14:paraId="24F223F0">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含高压氧医嘱下单，可实现医生护士对患者不同阶段病情情况的评估相关操作，提供多种评估模板并支持自定义模板添加，需满足患者氧舱排班，文书书写，氧舱管理、科室经营等。实现电子化、结构化的操舱记录单，具备氧舱方案、三步安检、患者记录、舱内记录、患者交接、治疗确认等均通过高压氧工作站完成，实现无纸化记录。</w:t>
            </w:r>
          </w:p>
        </w:tc>
      </w:tr>
      <w:tr w14:paraId="7BF1B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46C3DC9F">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11</w:t>
            </w:r>
          </w:p>
        </w:tc>
        <w:tc>
          <w:tcPr>
            <w:tcW w:w="1699" w:type="dxa"/>
            <w:shd w:val="clear" w:color="auto" w:fill="FFFFFF"/>
            <w:vAlign w:val="center"/>
          </w:tcPr>
          <w:p w14:paraId="5734CBD2">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统计报表</w:t>
            </w:r>
          </w:p>
        </w:tc>
        <w:tc>
          <w:tcPr>
            <w:tcW w:w="6386" w:type="dxa"/>
            <w:shd w:val="clear" w:color="auto" w:fill="FFFFFF"/>
            <w:vAlign w:val="center"/>
          </w:tcPr>
          <w:p w14:paraId="6A15878C">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用于整个科室运营综合统计分析，协助科室管理者实时对整个科室运营状况及绩效考核进行监管；支持统计科室的所有项目，设备使用率、治疗人次、治疗费用、工作量统计、量表统计、绩效统计，患者治疗情况统计功能，报表可集中展示</w:t>
            </w:r>
          </w:p>
        </w:tc>
      </w:tr>
      <w:tr w14:paraId="7F0A9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1197EA53">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12</w:t>
            </w:r>
          </w:p>
        </w:tc>
        <w:tc>
          <w:tcPr>
            <w:tcW w:w="1699" w:type="dxa"/>
            <w:shd w:val="clear" w:color="auto" w:fill="FFFFFF"/>
            <w:vAlign w:val="center"/>
          </w:tcPr>
          <w:p w14:paraId="1F8133F5">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智能排程管理</w:t>
            </w:r>
          </w:p>
        </w:tc>
        <w:tc>
          <w:tcPr>
            <w:tcW w:w="6386" w:type="dxa"/>
            <w:shd w:val="clear" w:color="auto" w:fill="FFFFFF"/>
            <w:vAlign w:val="center"/>
          </w:tcPr>
          <w:p w14:paraId="1DC2B272">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具备智能化排班排队功能，提供一键智能排班、智能排队两种方式；支持对患者进行治疗安排，结合医院资源情况，提供排班、排队等方式进行患者日程安排。且系统提供多级任务分配+精细化排班、患者分配+患者排队、排队等组合方式供医院选择</w:t>
            </w:r>
          </w:p>
        </w:tc>
      </w:tr>
      <w:tr w14:paraId="48D97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00FD67A5">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13</w:t>
            </w:r>
          </w:p>
        </w:tc>
        <w:tc>
          <w:tcPr>
            <w:tcW w:w="1699" w:type="dxa"/>
            <w:shd w:val="clear" w:color="auto" w:fill="FFFFFF"/>
            <w:vAlign w:val="center"/>
          </w:tcPr>
          <w:p w14:paraId="3F8D3113">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康复文书</w:t>
            </w:r>
          </w:p>
        </w:tc>
        <w:tc>
          <w:tcPr>
            <w:tcW w:w="6386" w:type="dxa"/>
            <w:shd w:val="clear" w:color="auto" w:fill="FFFFFF"/>
            <w:vAlign w:val="center"/>
          </w:tcPr>
          <w:p w14:paraId="52A02202">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主要实现中医康复治疗文书管理，其中包括首次治疗记录、上级治疗师查房记录等和其他文书如出院小结、评定报告等。提供各类康复文书的编辑与存储功能</w:t>
            </w:r>
          </w:p>
        </w:tc>
      </w:tr>
      <w:tr w14:paraId="26DF6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3D7FE7DC">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14</w:t>
            </w:r>
          </w:p>
        </w:tc>
        <w:tc>
          <w:tcPr>
            <w:tcW w:w="1699" w:type="dxa"/>
            <w:shd w:val="clear" w:color="auto" w:fill="FFFFFF"/>
            <w:vAlign w:val="center"/>
          </w:tcPr>
          <w:p w14:paraId="616C105B">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康复看板</w:t>
            </w:r>
          </w:p>
        </w:tc>
        <w:tc>
          <w:tcPr>
            <w:tcW w:w="6386" w:type="dxa"/>
            <w:shd w:val="clear" w:color="auto" w:fill="FFFFFF"/>
            <w:vAlign w:val="center"/>
          </w:tcPr>
          <w:p w14:paraId="721D764B">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为医师、治疗师、康复护士提供患者的汇总信息，让治疗组人员可以随时随地快速了解患者的任何信息，满足患者信息整合需要</w:t>
            </w:r>
          </w:p>
        </w:tc>
      </w:tr>
      <w:tr w14:paraId="0B714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44233AEA">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15</w:t>
            </w:r>
          </w:p>
        </w:tc>
        <w:tc>
          <w:tcPr>
            <w:tcW w:w="1699" w:type="dxa"/>
            <w:shd w:val="clear" w:color="auto" w:fill="FFFFFF"/>
            <w:vAlign w:val="center"/>
          </w:tcPr>
          <w:p w14:paraId="2B906FFB">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患者病历夹</w:t>
            </w:r>
          </w:p>
        </w:tc>
        <w:tc>
          <w:tcPr>
            <w:tcW w:w="6386" w:type="dxa"/>
            <w:shd w:val="clear" w:color="auto" w:fill="FFFFFF"/>
            <w:vAlign w:val="center"/>
          </w:tcPr>
          <w:p w14:paraId="20670AE6">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集中展示患者的康复电子病历，并可查阅历史病历，可对接EMR进行双向调用；能实现在同一界面集成患者本次就诊与历史就诊信息快速查看功能</w:t>
            </w:r>
          </w:p>
        </w:tc>
      </w:tr>
      <w:tr w14:paraId="68C1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shd w:val="clear" w:color="auto" w:fill="FFFFFF"/>
            <w:vAlign w:val="center"/>
          </w:tcPr>
          <w:p w14:paraId="3A667204">
            <w:pPr>
              <w:keepNext w:val="0"/>
              <w:keepLines w:val="0"/>
              <w:suppressLineNumbers w:val="0"/>
              <w:spacing w:before="0" w:beforeAutospacing="0" w:after="0" w:afterAutospacing="0" w:line="360" w:lineRule="auto"/>
              <w:ind w:left="0" w:right="0"/>
              <w:jc w:val="cente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16</w:t>
            </w:r>
          </w:p>
        </w:tc>
        <w:tc>
          <w:tcPr>
            <w:tcW w:w="1699" w:type="dxa"/>
            <w:shd w:val="clear" w:color="auto" w:fill="FFFFFF"/>
            <w:vAlign w:val="center"/>
          </w:tcPr>
          <w:p w14:paraId="01115F24">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4"/>
                <w:szCs w:val="24"/>
                <w14:textFill>
                  <w14:solidFill>
                    <w14:schemeClr w14:val="tx1">
                      <w14:lumMod w14:val="85000"/>
                      <w14:lumOff w14:val="15000"/>
                    </w14:schemeClr>
                  </w14:solidFill>
                </w14:textFill>
              </w:rPr>
              <w:t>移动治疗系统</w:t>
            </w:r>
          </w:p>
        </w:tc>
        <w:tc>
          <w:tcPr>
            <w:tcW w:w="6386" w:type="dxa"/>
            <w:shd w:val="clear" w:color="auto" w:fill="FFFFFF"/>
            <w:vAlign w:val="center"/>
          </w:tcPr>
          <w:p w14:paraId="7A38039E">
            <w:pPr>
              <w:keepNext w:val="0"/>
              <w:keepLines w:val="0"/>
              <w:suppressLineNumbers w:val="0"/>
              <w:spacing w:before="0" w:beforeAutospacing="0" w:after="0" w:afterAutospacing="0" w:line="360" w:lineRule="auto"/>
              <w:ind w:left="0" w:right="0"/>
              <w:jc w:val="left"/>
              <w:rPr>
                <w:rFonts w:hint="eastAsia" w:ascii="仿宋" w:hAnsi="仿宋" w:eastAsia="仿宋" w:cs="仿宋"/>
                <w:color w:val="262626" w:themeColor="text1" w:themeTint="D9"/>
                <w:kern w:val="0"/>
                <w:sz w:val="20"/>
                <w:szCs w:val="21"/>
                <w14:textFill>
                  <w14:solidFill>
                    <w14:schemeClr w14:val="tx1">
                      <w14:lumMod w14:val="85000"/>
                      <w14:lumOff w14:val="15000"/>
                    </w14:schemeClr>
                  </w14:solidFill>
                </w14:textFill>
              </w:rPr>
            </w:pPr>
            <w:r>
              <w:rPr>
                <w:rFonts w:hint="eastAsia" w:ascii="仿宋" w:hAnsi="仿宋" w:eastAsia="仿宋" w:cs="仿宋"/>
                <w:color w:val="262626" w:themeColor="text1" w:themeTint="D9"/>
                <w:kern w:val="0"/>
                <w:sz w:val="21"/>
                <w:szCs w:val="21"/>
                <w14:textFill>
                  <w14:solidFill>
                    <w14:schemeClr w14:val="tx1">
                      <w14:lumMod w14:val="85000"/>
                      <w14:lumOff w14:val="15000"/>
                    </w14:schemeClr>
                  </w14:solidFill>
                </w14:textFill>
              </w:rPr>
              <w:t>移动执行系统集成治疗执行，身份识别，设备识别，治疗快捷评估等功能，为治疗师工作日常提升便利性，减轻工作压力</w:t>
            </w:r>
          </w:p>
        </w:tc>
      </w:tr>
    </w:tbl>
    <w:p w14:paraId="3E4ABF7E">
      <w:pPr>
        <w:pStyle w:val="9"/>
        <w:numPr>
          <w:ilvl w:val="0"/>
          <w:numId w:val="4"/>
        </w:numPr>
        <w:spacing w:line="360" w:lineRule="auto"/>
        <w:jc w:val="left"/>
        <w:rPr>
          <w:rFonts w:ascii="仿宋" w:hAnsi="仿宋" w:eastAsia="仿宋"/>
          <w:b/>
          <w:sz w:val="24"/>
          <w:szCs w:val="24"/>
        </w:rPr>
      </w:pPr>
      <w:r>
        <w:rPr>
          <w:rFonts w:hint="eastAsia" w:ascii="仿宋" w:hAnsi="仿宋" w:eastAsia="仿宋"/>
          <w:b/>
          <w:sz w:val="24"/>
          <w:szCs w:val="24"/>
        </w:rPr>
        <w:t>其他接口</w:t>
      </w:r>
    </w:p>
    <w:p w14:paraId="7E115A73">
      <w:pPr>
        <w:widowControl/>
        <w:spacing w:line="360" w:lineRule="auto"/>
        <w:ind w:firstLine="480" w:firstLineChars="200"/>
        <w:jc w:val="left"/>
        <w:rPr>
          <w:rFonts w:ascii="仿宋" w:hAnsi="仿宋" w:eastAsia="仿宋"/>
          <w:bCs/>
          <w:sz w:val="24"/>
          <w:szCs w:val="24"/>
        </w:rPr>
      </w:pPr>
      <w:r>
        <w:rPr>
          <w:rFonts w:hint="eastAsia" w:ascii="仿宋" w:hAnsi="仿宋" w:eastAsia="仿宋"/>
          <w:bCs/>
          <w:sz w:val="24"/>
          <w:szCs w:val="24"/>
        </w:rPr>
        <w:t>需完整对接我院在用EMR系统的患者数据，门诊住院治疗开单信息、治疗回写、病历文书回写、职工信息、科室信息、费用项目信息、医保接口等，并包含双向对接费用。</w:t>
      </w:r>
    </w:p>
    <w:p w14:paraId="6802C5FE">
      <w:pPr>
        <w:widowControl/>
        <w:spacing w:line="360" w:lineRule="auto"/>
        <w:ind w:firstLine="480" w:firstLineChars="200"/>
        <w:jc w:val="left"/>
        <w:rPr>
          <w:rFonts w:ascii="仿宋" w:hAnsi="仿宋" w:eastAsia="仿宋"/>
          <w:bCs/>
          <w:sz w:val="24"/>
          <w:szCs w:val="24"/>
        </w:rPr>
      </w:pPr>
    </w:p>
    <w:p w14:paraId="28C3E3E1">
      <w:pPr>
        <w:pStyle w:val="9"/>
        <w:numPr>
          <w:ilvl w:val="0"/>
          <w:numId w:val="1"/>
        </w:numPr>
        <w:spacing w:line="360" w:lineRule="auto"/>
        <w:jc w:val="left"/>
        <w:rPr>
          <w:rFonts w:ascii="仿宋" w:hAnsi="仿宋" w:eastAsia="仿宋"/>
          <w:b/>
          <w:sz w:val="24"/>
          <w:szCs w:val="24"/>
        </w:rPr>
      </w:pPr>
      <w:r>
        <w:rPr>
          <w:rFonts w:hint="eastAsia" w:ascii="仿宋" w:hAnsi="仿宋" w:eastAsia="仿宋"/>
          <w:b/>
          <w:sz w:val="24"/>
          <w:szCs w:val="24"/>
        </w:rPr>
        <w:t>实施要求</w:t>
      </w:r>
    </w:p>
    <w:p w14:paraId="6B390A5C">
      <w:pPr>
        <w:widowControl/>
        <w:numPr>
          <w:ilvl w:val="0"/>
          <w:numId w:val="5"/>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供应商承诺在合同签订后3个月内完成系统部署、开发、测试、培训、上线和验收等工作。</w:t>
      </w:r>
    </w:p>
    <w:p w14:paraId="14DE58AD">
      <w:pPr>
        <w:widowControl/>
        <w:numPr>
          <w:ilvl w:val="0"/>
          <w:numId w:val="5"/>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供应商应具有健全的项目管理制度和流程，以及合格的项目实施人员，对本项目建设进行全过程质量管理，确保项目实施的顺利。</w:t>
      </w:r>
    </w:p>
    <w:p w14:paraId="6CA8EEA0">
      <w:pPr>
        <w:widowControl/>
        <w:numPr>
          <w:ilvl w:val="0"/>
          <w:numId w:val="5"/>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供应商应成立针对本项目的项目工作组，在项目签约后，供应商须提供常驻项目实施人员在医院现场工作直至项目结束；</w:t>
      </w:r>
    </w:p>
    <w:p w14:paraId="4BAE8DD3">
      <w:pPr>
        <w:widowControl/>
        <w:numPr>
          <w:ilvl w:val="0"/>
          <w:numId w:val="5"/>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项目实施进度要求及控制：要求供应商根据项目建设单位的实际情况，科学合理的定出项目集成实施的时间表；对项目实施的进度计划及控制中各阶段中供应商所要做的工作及保障措施做出详细安排。</w:t>
      </w:r>
    </w:p>
    <w:p w14:paraId="7A723D4B">
      <w:pPr>
        <w:pStyle w:val="9"/>
        <w:spacing w:line="360" w:lineRule="auto"/>
        <w:ind w:left="0"/>
        <w:jc w:val="left"/>
        <w:rPr>
          <w:rFonts w:ascii="仿宋" w:hAnsi="仿宋" w:eastAsia="仿宋"/>
          <w:b/>
          <w:sz w:val="24"/>
          <w:szCs w:val="24"/>
        </w:rPr>
      </w:pPr>
    </w:p>
    <w:p w14:paraId="4590525E">
      <w:pPr>
        <w:pStyle w:val="9"/>
        <w:numPr>
          <w:ilvl w:val="0"/>
          <w:numId w:val="1"/>
        </w:numPr>
        <w:spacing w:line="360" w:lineRule="auto"/>
        <w:jc w:val="left"/>
        <w:rPr>
          <w:rFonts w:ascii="仿宋" w:hAnsi="仿宋" w:eastAsia="仿宋"/>
          <w:b/>
          <w:sz w:val="24"/>
          <w:szCs w:val="24"/>
        </w:rPr>
      </w:pPr>
      <w:r>
        <w:rPr>
          <w:rFonts w:hint="eastAsia" w:ascii="仿宋" w:hAnsi="仿宋" w:eastAsia="仿宋"/>
          <w:b/>
          <w:sz w:val="24"/>
          <w:szCs w:val="24"/>
        </w:rPr>
        <w:t>运维服务响应要求</w:t>
      </w:r>
    </w:p>
    <w:p w14:paraId="39F44EBE">
      <w:pPr>
        <w:widowControl/>
        <w:numPr>
          <w:ilvl w:val="0"/>
          <w:numId w:val="6"/>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服务方式包括：热线电话服务、远程服务和现场服务等。</w:t>
      </w:r>
    </w:p>
    <w:p w14:paraId="6D074D17">
      <w:pPr>
        <w:widowControl/>
        <w:numPr>
          <w:ilvl w:val="0"/>
          <w:numId w:val="6"/>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服务响应：提供7×24小时的呼叫响应服务，包括对所有技术支持、服务请求、问题解决的电话、邮件、即时通讯服务，对用户提出的要求进行记录、分派、跟踪、管理和分析；若故障发生时，要求快速响应，提供远程故障诊断，不能通过远程方式解决的，要求在2小时内到达故障现场，对问题进行诊断、分析及处理。服务次数不限。</w:t>
      </w:r>
    </w:p>
    <w:p w14:paraId="62C1BC75">
      <w:pPr>
        <w:widowControl/>
        <w:numPr>
          <w:ilvl w:val="0"/>
          <w:numId w:val="6"/>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供应商需承诺，本项目在终验后需免费提供1年的运维服务,在1年免费运维期间根据医保政策调整要求对接口进行免费改造适配开发，对医院变更EMR等系统时对接口进行免费改造适配开发。</w:t>
      </w:r>
    </w:p>
    <w:p w14:paraId="3CB6F167">
      <w:pPr>
        <w:pStyle w:val="9"/>
        <w:spacing w:line="360" w:lineRule="auto"/>
        <w:ind w:left="0"/>
        <w:jc w:val="left"/>
        <w:rPr>
          <w:rFonts w:ascii="仿宋" w:hAnsi="仿宋" w:eastAsia="仿宋"/>
          <w:b/>
          <w:sz w:val="24"/>
          <w:szCs w:val="24"/>
        </w:rPr>
      </w:pPr>
    </w:p>
    <w:p w14:paraId="01A3CF3E">
      <w:pPr>
        <w:pStyle w:val="9"/>
        <w:numPr>
          <w:ilvl w:val="0"/>
          <w:numId w:val="1"/>
        </w:numPr>
        <w:spacing w:line="360" w:lineRule="auto"/>
        <w:jc w:val="left"/>
        <w:rPr>
          <w:rFonts w:ascii="仿宋" w:hAnsi="仿宋" w:eastAsia="仿宋"/>
          <w:b/>
          <w:sz w:val="24"/>
          <w:szCs w:val="24"/>
        </w:rPr>
      </w:pPr>
      <w:r>
        <w:rPr>
          <w:rFonts w:hint="eastAsia" w:ascii="仿宋" w:hAnsi="仿宋" w:eastAsia="仿宋"/>
          <w:b/>
          <w:sz w:val="24"/>
          <w:szCs w:val="24"/>
        </w:rPr>
        <w:t>培训要求</w:t>
      </w:r>
    </w:p>
    <w:p w14:paraId="76EBCFB6">
      <w:pPr>
        <w:widowControl/>
        <w:spacing w:line="360" w:lineRule="auto"/>
        <w:ind w:left="868" w:leftChars="402" w:hanging="24" w:hangingChars="10"/>
        <w:jc w:val="left"/>
        <w:rPr>
          <w:rFonts w:ascii="仿宋" w:hAnsi="仿宋" w:eastAsia="仿宋"/>
          <w:bCs/>
          <w:sz w:val="24"/>
          <w:szCs w:val="24"/>
        </w:rPr>
      </w:pPr>
      <w:r>
        <w:rPr>
          <w:rFonts w:hint="eastAsia" w:ascii="仿宋" w:hAnsi="仿宋" w:eastAsia="仿宋"/>
          <w:bCs/>
          <w:sz w:val="24"/>
          <w:szCs w:val="24"/>
        </w:rPr>
        <w:t>供应商需根据本项目的招标要求和实施经验，按照实施进度提供完整的、切实可行的技术培训方案，使系统管理人员和系统使用人员能够熟练管理、维护系统。</w:t>
      </w:r>
    </w:p>
    <w:p w14:paraId="2240B0C9">
      <w:pPr>
        <w:widowControl/>
        <w:spacing w:line="360" w:lineRule="auto"/>
        <w:ind w:left="868" w:leftChars="402" w:hanging="24" w:hangingChars="10"/>
        <w:jc w:val="left"/>
        <w:rPr>
          <w:rFonts w:ascii="仿宋" w:hAnsi="仿宋" w:eastAsia="仿宋"/>
          <w:bCs/>
          <w:sz w:val="24"/>
          <w:szCs w:val="24"/>
        </w:rPr>
      </w:pPr>
    </w:p>
    <w:p w14:paraId="1822F8B4">
      <w:pPr>
        <w:pStyle w:val="9"/>
        <w:numPr>
          <w:ilvl w:val="0"/>
          <w:numId w:val="1"/>
        </w:numPr>
        <w:spacing w:line="360" w:lineRule="auto"/>
        <w:jc w:val="left"/>
        <w:rPr>
          <w:rFonts w:ascii="仿宋" w:hAnsi="仿宋" w:eastAsia="仿宋"/>
          <w:b/>
          <w:sz w:val="24"/>
          <w:szCs w:val="24"/>
        </w:rPr>
      </w:pPr>
      <w:r>
        <w:rPr>
          <w:rFonts w:hint="eastAsia" w:ascii="仿宋" w:hAnsi="仿宋" w:eastAsia="仿宋"/>
          <w:b/>
          <w:sz w:val="24"/>
          <w:szCs w:val="24"/>
        </w:rPr>
        <w:t>保密要求</w:t>
      </w:r>
    </w:p>
    <w:p w14:paraId="663B79F4">
      <w:pPr>
        <w:widowControl/>
        <w:numPr>
          <w:ilvl w:val="0"/>
          <w:numId w:val="7"/>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供应商应签订保密协议，对其因身份、职务、职业或技术关系而知悉的采购人商业秘密和党政机关保密信息应严格保守，未经建设单位书面许可，供应商不得以任何形式向第三方透露本项目标书、本项目内容，保证不被披露或使用，包括意外或过失。</w:t>
      </w:r>
    </w:p>
    <w:p w14:paraId="13170E79">
      <w:pPr>
        <w:widowControl/>
        <w:numPr>
          <w:ilvl w:val="0"/>
          <w:numId w:val="7"/>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 xml:space="preserve">供应商不得以竞争为目的、或出于私利、或为第三人谋利而擅自保存、披露、使用采购人商业秘密和党政机关保密、项目信息（包含内部资料、技术文档、数据和信息等）；不得直接或间接地向无关人员泄露采购人的商业秘密和党政机关保密信息项目信息（包含内部资料、技术文档、数据和信息等）；不得向不承担保密义务的任何第三人披露采购人的商业秘密和党政机关保密信息、项目信息（包含内部资料、技术文档、数据和信息等）。供应商在从事政府项目时，不得擅自记录、复制、拍摄、摘抄、收藏在工作中涉及的保密信息，严禁将涉及政府项目的任何资料、数据透露或以其他方式提供给项目以外的其他方或供应商内部与该项目无关的任何人员。 </w:t>
      </w:r>
    </w:p>
    <w:p w14:paraId="4A178EFA">
      <w:pPr>
        <w:widowControl/>
        <w:numPr>
          <w:ilvl w:val="0"/>
          <w:numId w:val="7"/>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供应商对于工作期间知悉采购人的商业秘密和党政机关保密信息（包括业务信息在内）或工作过程中接触到的政府机关文件（包括内部发文、各类通知及会议记录等）的内容，同样承担保密责任，严禁将政府机关内部会议、谈话内容泄露给无关人员；不得翻阅与工作无关的文件和资料。</w:t>
      </w:r>
    </w:p>
    <w:p w14:paraId="54625A73">
      <w:pPr>
        <w:widowControl/>
        <w:spacing w:line="360" w:lineRule="auto"/>
        <w:ind w:left="482"/>
        <w:jc w:val="left"/>
        <w:rPr>
          <w:rFonts w:ascii="仿宋" w:hAnsi="仿宋" w:eastAsia="仿宋"/>
          <w:bCs/>
          <w:sz w:val="24"/>
          <w:szCs w:val="24"/>
        </w:rPr>
      </w:pPr>
    </w:p>
    <w:p w14:paraId="75D0B0C8">
      <w:pPr>
        <w:pStyle w:val="9"/>
        <w:numPr>
          <w:ilvl w:val="0"/>
          <w:numId w:val="1"/>
        </w:numPr>
        <w:spacing w:line="360" w:lineRule="auto"/>
        <w:jc w:val="left"/>
        <w:rPr>
          <w:rFonts w:ascii="仿宋" w:hAnsi="仿宋" w:eastAsia="仿宋"/>
          <w:b/>
          <w:sz w:val="24"/>
          <w:szCs w:val="24"/>
        </w:rPr>
      </w:pPr>
      <w:r>
        <w:rPr>
          <w:rFonts w:hint="eastAsia" w:ascii="仿宋" w:hAnsi="仿宋" w:eastAsia="仿宋"/>
          <w:b/>
          <w:sz w:val="24"/>
          <w:szCs w:val="24"/>
        </w:rPr>
        <w:t>验收标准</w:t>
      </w:r>
    </w:p>
    <w:p w14:paraId="5601E26D">
      <w:pPr>
        <w:widowControl/>
        <w:spacing w:line="360" w:lineRule="auto"/>
        <w:ind w:left="482"/>
        <w:jc w:val="left"/>
        <w:rPr>
          <w:rFonts w:ascii="仿宋" w:hAnsi="仿宋" w:eastAsia="仿宋"/>
          <w:bCs/>
          <w:sz w:val="24"/>
          <w:szCs w:val="24"/>
        </w:rPr>
      </w:pPr>
      <w:r>
        <w:rPr>
          <w:rFonts w:hint="eastAsia" w:ascii="仿宋" w:hAnsi="仿宋" w:eastAsia="仿宋"/>
          <w:bCs/>
          <w:sz w:val="24"/>
          <w:szCs w:val="24"/>
        </w:rPr>
        <w:t>本项目的验收应遵循下列标准：</w:t>
      </w:r>
    </w:p>
    <w:p w14:paraId="451326F3">
      <w:pPr>
        <w:widowControl/>
        <w:numPr>
          <w:ilvl w:val="0"/>
          <w:numId w:val="8"/>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完成合同和招标文件、投标文件中列举的全部平台功能，并符合设计要求；</w:t>
      </w:r>
    </w:p>
    <w:p w14:paraId="6E37E01D">
      <w:pPr>
        <w:widowControl/>
        <w:numPr>
          <w:ilvl w:val="0"/>
          <w:numId w:val="8"/>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完成所投系统的测试，具备可上线运行的条件；</w:t>
      </w:r>
    </w:p>
    <w:p w14:paraId="6B3A499E">
      <w:pPr>
        <w:widowControl/>
        <w:numPr>
          <w:ilvl w:val="0"/>
          <w:numId w:val="8"/>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提交了合同规定的文档；</w:t>
      </w:r>
    </w:p>
    <w:p w14:paraId="453596D4">
      <w:pPr>
        <w:widowControl/>
        <w:numPr>
          <w:ilvl w:val="0"/>
          <w:numId w:val="8"/>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完成系统业务培训工作，用户意见书均达到基本满意或以上；</w:t>
      </w:r>
    </w:p>
    <w:p w14:paraId="4816CAE7">
      <w:pPr>
        <w:widowControl/>
        <w:numPr>
          <w:ilvl w:val="0"/>
          <w:numId w:val="8"/>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经项目建设单位同意。</w:t>
      </w:r>
    </w:p>
    <w:p w14:paraId="2C285289">
      <w:pPr>
        <w:rPr>
          <w:rFonts w:ascii="仿宋" w:hAnsi="仿宋" w:eastAsia="仿宋"/>
          <w:sz w:val="28"/>
          <w:szCs w:val="28"/>
        </w:rPr>
      </w:pPr>
    </w:p>
    <w:p w14:paraId="6DF158B5">
      <w:pPr>
        <w:pStyle w:val="9"/>
        <w:numPr>
          <w:ilvl w:val="0"/>
          <w:numId w:val="1"/>
        </w:numPr>
        <w:spacing w:line="360" w:lineRule="auto"/>
        <w:jc w:val="left"/>
        <w:rPr>
          <w:rFonts w:ascii="仿宋" w:hAnsi="仿宋" w:eastAsia="仿宋"/>
          <w:b/>
          <w:sz w:val="24"/>
          <w:szCs w:val="24"/>
        </w:rPr>
      </w:pPr>
      <w:r>
        <w:rPr>
          <w:rFonts w:hint="eastAsia" w:ascii="仿宋" w:hAnsi="仿宋" w:eastAsia="仿宋"/>
          <w:b/>
          <w:sz w:val="24"/>
          <w:szCs w:val="24"/>
        </w:rPr>
        <w:t>付款方式</w:t>
      </w:r>
    </w:p>
    <w:p w14:paraId="7E81D670">
      <w:pPr>
        <w:widowControl/>
        <w:spacing w:line="360" w:lineRule="auto"/>
        <w:ind w:left="482"/>
        <w:jc w:val="left"/>
        <w:rPr>
          <w:rFonts w:ascii="仿宋" w:hAnsi="仿宋" w:eastAsia="仿宋"/>
          <w:bCs/>
          <w:sz w:val="24"/>
          <w:szCs w:val="24"/>
        </w:rPr>
      </w:pPr>
      <w:r>
        <w:rPr>
          <w:rFonts w:hint="eastAsia" w:ascii="仿宋" w:hAnsi="仿宋" w:eastAsia="仿宋"/>
          <w:bCs/>
          <w:sz w:val="24"/>
          <w:szCs w:val="24"/>
        </w:rPr>
        <w:t>本项目计划分3期支付，具体支付方式和时间如下：</w:t>
      </w:r>
    </w:p>
    <w:p w14:paraId="32A3E9E3">
      <w:pPr>
        <w:widowControl/>
        <w:numPr>
          <w:ilvl w:val="0"/>
          <w:numId w:val="9"/>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首期款：签订合同后10个工作日内，乙方书面提出支付申请函及拟支付金额等额的符合甲方财务管理要求的相应发票，甲方确认后启动首期款支付流程，占合同总金额的30%。</w:t>
      </w:r>
    </w:p>
    <w:p w14:paraId="17057B16">
      <w:pPr>
        <w:widowControl/>
        <w:numPr>
          <w:ilvl w:val="0"/>
          <w:numId w:val="9"/>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初验款：</w:t>
      </w:r>
      <w:r>
        <w:rPr>
          <w:rFonts w:hint="eastAsia" w:ascii="仿宋" w:hAnsi="仿宋" w:eastAsia="仿宋" w:cs="Times New Roman"/>
          <w:bCs/>
          <w:sz w:val="24"/>
          <w:szCs w:val="24"/>
          <w:lang w:val="en-US" w:eastAsia="zh-CN" w:bidi="ar"/>
        </w:rPr>
        <w:t>本项目</w:t>
      </w:r>
      <w:r>
        <w:rPr>
          <w:rFonts w:hint="eastAsia" w:ascii="仿宋" w:hAnsi="仿宋" w:eastAsia="仿宋"/>
          <w:bCs/>
          <w:sz w:val="24"/>
          <w:szCs w:val="24"/>
        </w:rPr>
        <w:t>建设内容初验后的10个工作日内，乙方书面提出支付申请函及拟支付金额等额的符合甲方财务管理要求的相应发票，甲方确认后启动初验款支付流程，占合同总金额的50%。</w:t>
      </w:r>
    </w:p>
    <w:p w14:paraId="0B6337B3">
      <w:pPr>
        <w:widowControl/>
        <w:numPr>
          <w:ilvl w:val="0"/>
          <w:numId w:val="9"/>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终验款：项目验收后10个工作日内，乙方书面提出支付申请函及拟支付金额等额的符合甲方财务管理要求的相应发票，甲方确认后启动终验款支付流程，占合同总金额的20%。</w:t>
      </w:r>
    </w:p>
    <w:p w14:paraId="585C8D23">
      <w:pPr>
        <w:widowControl/>
        <w:numPr>
          <w:ilvl w:val="0"/>
          <w:numId w:val="9"/>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免费运维期结束后，承诺无发生重大网络安全事件，未发生重大运维故障事件。如发生重大网络安全事件（如被上级单位或公安、网信、国安等通报）、重大运维故障事件的，应积极响应迅速解决。</w:t>
      </w:r>
    </w:p>
    <w:p w14:paraId="30F4FDC7">
      <w:pPr>
        <w:widowControl/>
        <w:spacing w:line="360" w:lineRule="auto"/>
        <w:ind w:left="482"/>
        <w:jc w:val="left"/>
        <w:rPr>
          <w:rFonts w:ascii="仿宋" w:hAnsi="仿宋" w:eastAsia="仿宋"/>
          <w:bCs/>
          <w:sz w:val="24"/>
          <w:szCs w:val="24"/>
        </w:rPr>
      </w:pPr>
    </w:p>
    <w:p w14:paraId="0CEA0684">
      <w:pPr>
        <w:pStyle w:val="9"/>
        <w:numPr>
          <w:ilvl w:val="0"/>
          <w:numId w:val="1"/>
        </w:numPr>
        <w:spacing w:line="360" w:lineRule="auto"/>
        <w:jc w:val="left"/>
        <w:rPr>
          <w:rFonts w:ascii="仿宋" w:hAnsi="仿宋" w:eastAsia="仿宋"/>
          <w:b/>
          <w:sz w:val="24"/>
          <w:szCs w:val="24"/>
        </w:rPr>
      </w:pPr>
      <w:r>
        <w:rPr>
          <w:rFonts w:hint="eastAsia" w:ascii="仿宋" w:hAnsi="仿宋" w:eastAsia="仿宋"/>
          <w:b/>
          <w:sz w:val="24"/>
          <w:szCs w:val="24"/>
        </w:rPr>
        <w:t>其它说明</w:t>
      </w:r>
    </w:p>
    <w:p w14:paraId="2D27C337">
      <w:pPr>
        <w:widowControl/>
        <w:numPr>
          <w:ilvl w:val="0"/>
          <w:numId w:val="10"/>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供应商应按计划完工交付验收，如在合同预定的工期内，无法达成规定的技术指标，供应商应负责无条件返工并承担所造成的直接经济损失。</w:t>
      </w:r>
    </w:p>
    <w:p w14:paraId="40C6CFE4">
      <w:pPr>
        <w:widowControl/>
        <w:numPr>
          <w:ilvl w:val="0"/>
          <w:numId w:val="10"/>
        </w:numPr>
        <w:spacing w:line="360" w:lineRule="auto"/>
        <w:ind w:left="924" w:hanging="442"/>
        <w:jc w:val="left"/>
        <w:rPr>
          <w:rFonts w:ascii="仿宋" w:hAnsi="仿宋" w:eastAsia="仿宋"/>
          <w:bCs/>
          <w:sz w:val="24"/>
          <w:szCs w:val="24"/>
        </w:rPr>
      </w:pPr>
      <w:r>
        <w:rPr>
          <w:rFonts w:hint="eastAsia" w:ascii="仿宋" w:hAnsi="仿宋" w:eastAsia="仿宋"/>
          <w:bCs/>
          <w:sz w:val="24"/>
          <w:szCs w:val="24"/>
        </w:rPr>
        <w:t>若因供应商原因造成项目延期的，供应商承担工期违约责任，导致项目建设资金被财政压减，压减部分的资金，由供应商承担；每延期一天，采购人有权根据实际情况扣除项目建设款中的500元；累计超期60天，采购人有权根据实际情况自主确定无条件终止合同，供应商须退还项目所有建设资金。</w:t>
      </w:r>
    </w:p>
    <w:p w14:paraId="75000FB9">
      <w:pPr>
        <w:widowControl/>
        <w:spacing w:line="360" w:lineRule="auto"/>
        <w:ind w:left="482"/>
        <w:jc w:val="left"/>
        <w:rPr>
          <w:rFonts w:ascii="仿宋" w:hAnsi="仿宋" w:eastAsia="仿宋"/>
          <w:bCs/>
          <w:sz w:val="24"/>
          <w:szCs w:val="24"/>
        </w:rPr>
      </w:pPr>
    </w:p>
    <w:p w14:paraId="00041B19">
      <w:pPr>
        <w:pStyle w:val="9"/>
        <w:spacing w:line="360" w:lineRule="auto"/>
        <w:ind w:left="0"/>
        <w:jc w:val="left"/>
        <w:rPr>
          <w:rFonts w:ascii="仿宋" w:hAnsi="仿宋" w:eastAsia="仿宋"/>
          <w:b/>
          <w:sz w:val="24"/>
          <w:szCs w:val="24"/>
        </w:rPr>
      </w:pPr>
    </w:p>
    <w:p w14:paraId="6EDC7D03">
      <w:pPr>
        <w:pStyle w:val="9"/>
        <w:spacing w:line="360" w:lineRule="auto"/>
        <w:ind w:left="482"/>
        <w:jc w:val="left"/>
        <w:rPr>
          <w:rFonts w:ascii="仿宋" w:hAnsi="仿宋" w:eastAsia="仿宋"/>
          <w:b/>
          <w:sz w:val="24"/>
          <w:szCs w:val="24"/>
        </w:rPr>
      </w:pPr>
    </w:p>
    <w:p w14:paraId="256209A8">
      <w:pPr>
        <w:spacing w:line="360" w:lineRule="auto"/>
        <w:jc w:val="left"/>
        <w:rPr>
          <w:rFonts w:ascii="仿宋" w:hAnsi="仿宋" w:eastAsia="仿宋"/>
          <w:szCs w:val="21"/>
        </w:rPr>
      </w:pPr>
    </w:p>
    <w:p w14:paraId="71046904"/>
    <w:p w14:paraId="4FAD88B0"/>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AFF29">
    <w:pPr>
      <w:spacing w:line="100" w:lineRule="auto"/>
      <w:ind w:firstLine="20"/>
      <w:jc w:val="right"/>
    </w:pPr>
    <w:r>
      <w:rPr>
        <w:rFonts w:hint="eastAsia" w:ascii="Calibri" w:hAnsi="Calibri" w:eastAsia="Calibri"/>
        <w:color w:val="000000"/>
        <w:sz w:val="34"/>
      </w:rPr>
      <w:t>-3-</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5D9C53"/>
    <w:multiLevelType w:val="multilevel"/>
    <w:tmpl w:val="825D9C53"/>
    <w:lvl w:ilvl="0" w:tentative="0">
      <w:start w:val="1"/>
      <w:numFmt w:val="decimal"/>
      <w:lvlText w:val="%1."/>
      <w:lvlJc w:val="left"/>
      <w:pPr>
        <w:ind w:left="920"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1">
    <w:nsid w:val="B4A1F53F"/>
    <w:multiLevelType w:val="multilevel"/>
    <w:tmpl w:val="B4A1F53F"/>
    <w:lvl w:ilvl="0" w:tentative="0">
      <w:start w:val="1"/>
      <w:numFmt w:val="decimal"/>
      <w:lvlText w:val="%1."/>
      <w:lvlJc w:val="left"/>
      <w:pPr>
        <w:ind w:left="920"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2">
    <w:nsid w:val="D01A4DF9"/>
    <w:multiLevelType w:val="multilevel"/>
    <w:tmpl w:val="D01A4DF9"/>
    <w:lvl w:ilvl="0" w:tentative="0">
      <w:start w:val="1"/>
      <w:numFmt w:val="decimal"/>
      <w:lvlText w:val="%1."/>
      <w:lvlJc w:val="left"/>
      <w:pPr>
        <w:ind w:left="920"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3">
    <w:nsid w:val="EE736B57"/>
    <w:multiLevelType w:val="multilevel"/>
    <w:tmpl w:val="EE736B57"/>
    <w:lvl w:ilvl="0" w:tentative="0">
      <w:start w:val="1"/>
      <w:numFmt w:val="decimal"/>
      <w:lvlText w:val="%1."/>
      <w:lvlJc w:val="left"/>
      <w:pPr>
        <w:ind w:left="920"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4">
    <w:nsid w:val="071A1362"/>
    <w:multiLevelType w:val="multilevel"/>
    <w:tmpl w:val="071A1362"/>
    <w:lvl w:ilvl="0" w:tentative="0">
      <w:start w:val="1"/>
      <w:numFmt w:val="decimal"/>
      <w:lvlText w:val="%1."/>
      <w:lvlJc w:val="left"/>
      <w:pPr>
        <w:ind w:left="920"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5">
    <w:nsid w:val="0ACEDC61"/>
    <w:multiLevelType w:val="multilevel"/>
    <w:tmpl w:val="0ACEDC61"/>
    <w:lvl w:ilvl="0" w:tentative="0">
      <w:start w:val="1"/>
      <w:numFmt w:val="decimal"/>
      <w:lvlText w:val="%1."/>
      <w:lvlJc w:val="left"/>
      <w:pPr>
        <w:ind w:left="920"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6">
    <w:nsid w:val="3EED6B8E"/>
    <w:multiLevelType w:val="multilevel"/>
    <w:tmpl w:val="3EED6B8E"/>
    <w:lvl w:ilvl="0" w:tentative="0">
      <w:start w:val="1"/>
      <w:numFmt w:val="decimal"/>
      <w:lvlText w:val="%1."/>
      <w:lvlJc w:val="left"/>
      <w:pPr>
        <w:ind w:left="920"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7">
    <w:nsid w:val="56D97CC6"/>
    <w:multiLevelType w:val="multilevel"/>
    <w:tmpl w:val="56D97CC6"/>
    <w:lvl w:ilvl="0" w:tentative="0">
      <w:start w:val="1"/>
      <w:numFmt w:val="decimal"/>
      <w:lvlText w:val="%1."/>
      <w:lvlJc w:val="left"/>
      <w:pPr>
        <w:ind w:left="920"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8">
    <w:nsid w:val="7C813208"/>
    <w:multiLevelType w:val="multilevel"/>
    <w:tmpl w:val="7C813208"/>
    <w:lvl w:ilvl="0" w:tentative="0">
      <w:start w:val="1"/>
      <w:numFmt w:val="decimal"/>
      <w:lvlText w:val="%1."/>
      <w:lvlJc w:val="left"/>
      <w:pPr>
        <w:ind w:left="922" w:hanging="440"/>
      </w:pPr>
      <w:rPr>
        <w:rFonts w:hint="eastAsia"/>
      </w:r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9">
    <w:nsid w:val="7F291E12"/>
    <w:multiLevelType w:val="multilevel"/>
    <w:tmpl w:val="7F291E12"/>
    <w:lvl w:ilvl="0" w:tentative="0">
      <w:start w:val="1"/>
      <w:numFmt w:val="japaneseCounting"/>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9"/>
  </w:num>
  <w:num w:numId="2">
    <w:abstractNumId w:val="4"/>
  </w:num>
  <w:num w:numId="3">
    <w:abstractNumId w:val="7"/>
  </w:num>
  <w:num w:numId="4">
    <w:abstractNumId w:val="8"/>
  </w:num>
  <w:num w:numId="5">
    <w:abstractNumId w:val="6"/>
  </w:num>
  <w:num w:numId="6">
    <w:abstractNumId w:val="0"/>
  </w:num>
  <w:num w:numId="7">
    <w:abstractNumId w:val="5"/>
  </w:num>
  <w:num w:numId="8">
    <w:abstractNumId w:val="2"/>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40A"/>
    <w:rsid w:val="004B7B5C"/>
    <w:rsid w:val="00741AC3"/>
    <w:rsid w:val="00766789"/>
    <w:rsid w:val="00950A53"/>
    <w:rsid w:val="00BA640A"/>
    <w:rsid w:val="00BC35EC"/>
    <w:rsid w:val="1EEBD249"/>
    <w:rsid w:val="577E7DBE"/>
    <w:rsid w:val="5D5F008D"/>
    <w:rsid w:val="6B8661A9"/>
    <w:rsid w:val="7DF7A358"/>
    <w:rsid w:val="7FED7261"/>
    <w:rsid w:val="CB6FF01B"/>
    <w:rsid w:val="F737990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6">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eastAsia" w:ascii="等线" w:hAnsi="等线" w:eastAsia="等线" w:cs="等线"/>
      <w:kern w:val="2"/>
      <w:sz w:val="21"/>
      <w:szCs w:val="22"/>
    </w:rPr>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rPr>
      <w:rFonts w:ascii="Times New Roman" w:hAnsi="Times New Roman" w:eastAsia="宋体" w:cs="Times New Roman"/>
      <w:kern w:val="0"/>
      <w:sz w:val="20"/>
      <w:szCs w:val="20"/>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styleId="9">
    <w:name w:val="List Paragraph"/>
    <w:basedOn w:val="1"/>
    <w:link w:val="10"/>
    <w:qFormat/>
    <w:uiPriority w:val="0"/>
    <w:pPr>
      <w:ind w:left="720"/>
      <w:contextualSpacing/>
    </w:pPr>
  </w:style>
  <w:style w:type="character" w:customStyle="1" w:styleId="10">
    <w:name w:val="列出段落 字符"/>
    <w:basedOn w:val="6"/>
    <w:link w:val="9"/>
    <w:qFormat/>
    <w:uiPriority w:val="0"/>
    <w:rPr>
      <w14:ligatures w14:val="standardContextu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2037</Words>
  <Characters>2048</Characters>
  <Lines>38</Lines>
  <Paragraphs>10</Paragraphs>
  <TotalTime>2</TotalTime>
  <ScaleCrop>false</ScaleCrop>
  <LinksUpToDate>false</LinksUpToDate>
  <CharactersWithSpaces>2056</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2026-04-09T04:02:00Z</dcterms:created>
  <dc:creator>工作</dc:creator>
  <cp:lastModifiedBy>肖翔</cp:lastModifiedBy>
  <dcterms:modified xsi:type="dcterms:W3CDTF">2026-04-08T08:54:34Z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KSOTemplateDocerSaveRecord">
    <vt:lpwstr>eyJoZGlkIjoiMjVlYTZlZWQ5Yjg4MDQ0MDA4NWJlYWRhNmI5YzFmMGYiLCJ1c2VySWQiOiIxODA2MzU4NDY2In0=</vt:lpwstr>
  </property>
  <property fmtid="{D5CDD505-2E9C-101B-9397-08002B2CF9AE}" pid="4" name="ICV">
    <vt:lpwstr>FFF3AA03E30C4E4CA32A8D4F9A349ABF_12</vt:lpwstr>
  </property>
</Properties>
</file>