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32"/>
          <w:szCs w:val="32"/>
        </w:rPr>
      </w:pPr>
      <w:bookmarkStart w:id="0" w:name="OLE_LINK5"/>
      <w:r>
        <w:rPr>
          <w:rFonts w:hint="eastAsia" w:ascii="宋体" w:hAnsi="宋体" w:eastAsia="宋体"/>
          <w:b/>
          <w:sz w:val="32"/>
          <w:szCs w:val="32"/>
        </w:rPr>
        <w:t>广州医科大学附属番禺中心医院医疗集团一批心电监护仪采购项目</w:t>
      </w:r>
    </w:p>
    <w:bookmarkEnd w:id="0"/>
    <w:p>
      <w:pPr>
        <w:jc w:val="center"/>
        <w:rPr>
          <w:rFonts w:ascii="宋体" w:hAnsi="宋体" w:eastAsia="宋体"/>
          <w:b/>
          <w:sz w:val="32"/>
          <w:szCs w:val="32"/>
        </w:rPr>
      </w:pPr>
      <w:r>
        <w:rPr>
          <w:rFonts w:hint="eastAsia" w:ascii="宋体" w:hAnsi="宋体" w:eastAsia="宋体"/>
          <w:b/>
          <w:sz w:val="32"/>
          <w:szCs w:val="32"/>
        </w:rPr>
        <w:t>用户需求</w:t>
      </w:r>
    </w:p>
    <w:p>
      <w:pPr>
        <w:pStyle w:val="15"/>
        <w:widowControl/>
        <w:numPr>
          <w:ilvl w:val="0"/>
          <w:numId w:val="1"/>
        </w:numPr>
        <w:tabs>
          <w:tab w:val="left" w:pos="709"/>
        </w:tabs>
        <w:ind w:firstLine="0" w:firstLineChars="0"/>
        <w:jc w:val="left"/>
        <w:rPr>
          <w:rFonts w:ascii="宋体" w:hAnsi="宋体" w:eastAsia="宋体"/>
          <w:b/>
          <w:sz w:val="28"/>
          <w:szCs w:val="28"/>
        </w:rPr>
      </w:pPr>
      <w:r>
        <w:rPr>
          <w:rFonts w:hint="eastAsia" w:ascii="宋体" w:hAnsi="宋体" w:eastAsia="宋体"/>
          <w:b/>
          <w:sz w:val="28"/>
          <w:szCs w:val="28"/>
        </w:rPr>
        <w:t>项目</w:t>
      </w:r>
      <w:r>
        <w:rPr>
          <w:rFonts w:ascii="宋体" w:hAnsi="宋体" w:eastAsia="宋体"/>
          <w:b/>
          <w:sz w:val="28"/>
          <w:szCs w:val="28"/>
        </w:rPr>
        <w:t>概况</w:t>
      </w:r>
    </w:p>
    <w:tbl>
      <w:tblPr>
        <w:tblStyle w:val="10"/>
        <w:tblpPr w:leftFromText="180" w:rightFromText="180" w:vertAnchor="text" w:horzAnchor="margin" w:tblpY="248"/>
        <w:tblW w:w="9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3"/>
        <w:gridCol w:w="2172"/>
        <w:gridCol w:w="1984"/>
        <w:gridCol w:w="1583"/>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2133"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项目</w:t>
            </w:r>
          </w:p>
        </w:tc>
        <w:tc>
          <w:tcPr>
            <w:tcW w:w="2172"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项目名称</w:t>
            </w:r>
          </w:p>
        </w:tc>
        <w:tc>
          <w:tcPr>
            <w:tcW w:w="1984"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单价</w:t>
            </w:r>
            <w:r>
              <w:rPr>
                <w:rFonts w:hint="eastAsia" w:ascii="宋体" w:hAnsi="宋体" w:eastAsia="宋体" w:cs="宋体"/>
                <w:b/>
                <w:color w:val="000000"/>
                <w:szCs w:val="21"/>
              </w:rPr>
              <w:t>（万元）</w:t>
            </w:r>
          </w:p>
        </w:tc>
        <w:tc>
          <w:tcPr>
            <w:tcW w:w="1583"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数量</w:t>
            </w:r>
          </w:p>
        </w:tc>
        <w:tc>
          <w:tcPr>
            <w:tcW w:w="1984"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33" w:type="dxa"/>
            <w:vMerge w:val="restart"/>
            <w:vAlign w:val="center"/>
          </w:tcPr>
          <w:p>
            <w:pPr>
              <w:widowControl/>
              <w:jc w:val="center"/>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172"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 xml:space="preserve">一批监护仪 </w:t>
            </w:r>
          </w:p>
        </w:tc>
        <w:tc>
          <w:tcPr>
            <w:tcW w:w="1984"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54.18</w:t>
            </w:r>
          </w:p>
        </w:tc>
        <w:tc>
          <w:tcPr>
            <w:tcW w:w="1583"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一批</w:t>
            </w:r>
          </w:p>
        </w:tc>
        <w:tc>
          <w:tcPr>
            <w:tcW w:w="1984"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54.18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133" w:type="dxa"/>
            <w:vMerge w:val="continue"/>
            <w:vAlign w:val="center"/>
          </w:tcPr>
          <w:p>
            <w:pPr>
              <w:widowControl/>
              <w:jc w:val="center"/>
              <w:textAlignment w:val="center"/>
              <w:rPr>
                <w:rFonts w:ascii="宋体" w:hAnsi="宋体" w:eastAsia="宋体" w:cs="宋体"/>
                <w:color w:val="000000"/>
                <w:kern w:val="0"/>
                <w:sz w:val="24"/>
                <w:szCs w:val="24"/>
              </w:rPr>
            </w:pPr>
          </w:p>
        </w:tc>
        <w:tc>
          <w:tcPr>
            <w:tcW w:w="2172" w:type="dxa"/>
            <w:vMerge w:val="continue"/>
            <w:vAlign w:val="center"/>
          </w:tcPr>
          <w:p>
            <w:pPr>
              <w:widowControl/>
              <w:jc w:val="center"/>
              <w:textAlignment w:val="center"/>
              <w:rPr>
                <w:rFonts w:ascii="宋体" w:hAnsi="宋体" w:eastAsia="宋体" w:cs="宋体"/>
                <w:color w:val="000000"/>
                <w:kern w:val="0"/>
                <w:sz w:val="22"/>
                <w:lang w:bidi="ar"/>
              </w:rPr>
            </w:pPr>
          </w:p>
        </w:tc>
        <w:tc>
          <w:tcPr>
            <w:tcW w:w="1984" w:type="dxa"/>
            <w:vMerge w:val="continue"/>
            <w:vAlign w:val="center"/>
          </w:tcPr>
          <w:p>
            <w:pPr>
              <w:widowControl/>
              <w:jc w:val="center"/>
              <w:textAlignment w:val="center"/>
              <w:rPr>
                <w:rFonts w:ascii="宋体" w:hAnsi="宋体" w:eastAsia="宋体" w:cs="宋体"/>
                <w:color w:val="000000"/>
                <w:kern w:val="0"/>
                <w:sz w:val="22"/>
                <w:lang w:bidi="ar"/>
              </w:rPr>
            </w:pPr>
          </w:p>
        </w:tc>
        <w:tc>
          <w:tcPr>
            <w:tcW w:w="1583" w:type="dxa"/>
            <w:vMerge w:val="continue"/>
            <w:vAlign w:val="center"/>
          </w:tcPr>
          <w:p>
            <w:pPr>
              <w:widowControl/>
              <w:jc w:val="center"/>
              <w:textAlignment w:val="center"/>
              <w:rPr>
                <w:rFonts w:ascii="宋体" w:hAnsi="宋体" w:eastAsia="宋体" w:cs="宋体"/>
                <w:color w:val="000000"/>
                <w:kern w:val="0"/>
                <w:sz w:val="22"/>
                <w:lang w:bidi="ar"/>
              </w:rPr>
            </w:pPr>
          </w:p>
        </w:tc>
        <w:tc>
          <w:tcPr>
            <w:tcW w:w="1984" w:type="dxa"/>
            <w:vMerge w:val="continue"/>
            <w:vAlign w:val="center"/>
          </w:tcPr>
          <w:p>
            <w:pPr>
              <w:widowControl/>
              <w:jc w:val="center"/>
              <w:textAlignment w:val="center"/>
              <w:rPr>
                <w:rFonts w:ascii="宋体" w:hAnsi="宋体" w:eastAsia="宋体" w:cs="宋体"/>
                <w:color w:val="000000"/>
                <w:kern w:val="0"/>
                <w:sz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2133" w:type="dxa"/>
            <w:vMerge w:val="continue"/>
            <w:vAlign w:val="center"/>
          </w:tcPr>
          <w:p>
            <w:pPr>
              <w:widowControl/>
              <w:jc w:val="center"/>
              <w:textAlignment w:val="center"/>
              <w:rPr>
                <w:rFonts w:ascii="宋体" w:hAnsi="宋体" w:eastAsia="宋体" w:cs="宋体"/>
                <w:color w:val="000000"/>
                <w:kern w:val="0"/>
                <w:sz w:val="24"/>
                <w:szCs w:val="24"/>
              </w:rPr>
            </w:pPr>
          </w:p>
        </w:tc>
        <w:tc>
          <w:tcPr>
            <w:tcW w:w="2172" w:type="dxa"/>
            <w:vMerge w:val="continue"/>
            <w:vAlign w:val="center"/>
          </w:tcPr>
          <w:p>
            <w:pPr>
              <w:widowControl/>
              <w:jc w:val="center"/>
              <w:textAlignment w:val="center"/>
              <w:rPr>
                <w:rFonts w:ascii="宋体" w:hAnsi="宋体" w:eastAsia="宋体" w:cs="宋体"/>
                <w:color w:val="000000"/>
                <w:kern w:val="0"/>
                <w:sz w:val="22"/>
                <w:lang w:bidi="ar"/>
              </w:rPr>
            </w:pPr>
          </w:p>
        </w:tc>
        <w:tc>
          <w:tcPr>
            <w:tcW w:w="1984" w:type="dxa"/>
            <w:vMerge w:val="continue"/>
            <w:vAlign w:val="center"/>
          </w:tcPr>
          <w:p>
            <w:pPr>
              <w:widowControl/>
              <w:jc w:val="center"/>
              <w:textAlignment w:val="center"/>
              <w:rPr>
                <w:rFonts w:ascii="宋体" w:hAnsi="宋体" w:eastAsia="宋体" w:cs="宋体"/>
                <w:color w:val="000000"/>
                <w:kern w:val="0"/>
                <w:sz w:val="22"/>
                <w:lang w:bidi="ar"/>
              </w:rPr>
            </w:pPr>
          </w:p>
        </w:tc>
        <w:tc>
          <w:tcPr>
            <w:tcW w:w="1583" w:type="dxa"/>
            <w:vMerge w:val="continue"/>
            <w:vAlign w:val="center"/>
          </w:tcPr>
          <w:p>
            <w:pPr>
              <w:widowControl/>
              <w:jc w:val="center"/>
              <w:textAlignment w:val="center"/>
              <w:rPr>
                <w:rFonts w:ascii="宋体" w:hAnsi="宋体" w:eastAsia="宋体" w:cs="宋体"/>
                <w:color w:val="000000"/>
                <w:kern w:val="0"/>
                <w:sz w:val="22"/>
                <w:lang w:bidi="ar"/>
              </w:rPr>
            </w:pPr>
          </w:p>
        </w:tc>
        <w:tc>
          <w:tcPr>
            <w:tcW w:w="1984" w:type="dxa"/>
            <w:vMerge w:val="continue"/>
            <w:vAlign w:val="center"/>
          </w:tcPr>
          <w:p>
            <w:pPr>
              <w:widowControl/>
              <w:jc w:val="center"/>
              <w:textAlignment w:val="center"/>
              <w:rPr>
                <w:rFonts w:ascii="宋体" w:hAnsi="宋体" w:eastAsia="宋体" w:cs="宋体"/>
                <w:color w:val="000000"/>
                <w:kern w:val="0"/>
                <w:sz w:val="22"/>
                <w:lang w:bidi="ar"/>
              </w:rPr>
            </w:pPr>
          </w:p>
        </w:tc>
      </w:tr>
    </w:tbl>
    <w:p>
      <w:pPr>
        <w:pStyle w:val="15"/>
        <w:numPr>
          <w:ilvl w:val="0"/>
          <w:numId w:val="1"/>
        </w:numPr>
        <w:tabs>
          <w:tab w:val="left" w:pos="709"/>
        </w:tabs>
        <w:spacing w:line="360" w:lineRule="auto"/>
        <w:ind w:left="0" w:firstLine="0" w:firstLineChars="0"/>
        <w:rPr>
          <w:rFonts w:ascii="宋体" w:hAnsi="宋体" w:eastAsia="宋体" w:cs="宋体"/>
          <w:kern w:val="0"/>
          <w:sz w:val="24"/>
          <w:szCs w:val="24"/>
        </w:rPr>
      </w:pPr>
      <w:r>
        <w:rPr>
          <w:rFonts w:hint="eastAsia" w:ascii="宋体" w:hAnsi="宋体" w:eastAsia="宋体" w:cs="宋体"/>
          <w:b/>
          <w:bCs/>
          <w:kern w:val="0"/>
          <w:sz w:val="24"/>
          <w:szCs w:val="24"/>
        </w:rPr>
        <w:t>项目需求简述</w:t>
      </w:r>
    </w:p>
    <w:p>
      <w:pPr>
        <w:widowControl/>
        <w:numPr>
          <w:ilvl w:val="0"/>
          <w:numId w:val="2"/>
        </w:numPr>
        <w:adjustRightInd w:val="0"/>
        <w:snapToGrid w:val="0"/>
        <w:spacing w:line="360" w:lineRule="auto"/>
        <w:rPr>
          <w:rFonts w:ascii="宋体" w:hAnsi="宋体" w:eastAsia="宋体" w:cs="宋体"/>
          <w:kern w:val="0"/>
          <w:sz w:val="22"/>
        </w:rPr>
      </w:pPr>
      <w:r>
        <w:rPr>
          <w:rFonts w:hint="eastAsia" w:ascii="宋体" w:hAnsi="宋体" w:eastAsia="宋体" w:cs="宋体"/>
          <w:kern w:val="0"/>
          <w:sz w:val="22"/>
        </w:rPr>
        <w:t>项目背景：广州医科大学附属番禺中心医院和</w:t>
      </w:r>
      <w:r>
        <w:rPr>
          <w:rFonts w:ascii="宋体" w:hAnsi="宋体" w:eastAsia="宋体" w:cs="宋体"/>
          <w:kern w:val="0"/>
          <w:sz w:val="22"/>
        </w:rPr>
        <w:t>广州市</w:t>
      </w:r>
      <w:r>
        <w:rPr>
          <w:rFonts w:hint="eastAsia" w:ascii="宋体" w:hAnsi="宋体" w:eastAsia="宋体" w:cs="宋体"/>
          <w:kern w:val="0"/>
          <w:sz w:val="22"/>
        </w:rPr>
        <w:t>番禺区第七人民医院多个科室拟在预算内采购一批心电监护仪。清单如下（需全</w:t>
      </w:r>
      <w:r>
        <w:rPr>
          <w:rFonts w:ascii="宋体" w:hAnsi="宋体" w:eastAsia="宋体" w:cs="宋体"/>
          <w:kern w:val="0"/>
          <w:sz w:val="22"/>
        </w:rPr>
        <w:t>清单报价，不能只对部分清单进行报价</w:t>
      </w:r>
      <w:r>
        <w:rPr>
          <w:rFonts w:hint="eastAsia" w:ascii="宋体" w:hAnsi="宋体" w:eastAsia="宋体" w:cs="宋体"/>
          <w:kern w:val="0"/>
          <w:sz w:val="22"/>
        </w:rPr>
        <w:t>）：</w:t>
      </w:r>
    </w:p>
    <w:tbl>
      <w:tblPr>
        <w:tblStyle w:val="10"/>
        <w:tblpPr w:leftFromText="180" w:rightFromText="180" w:vertAnchor="text" w:horzAnchor="margin" w:tblpXSpec="right" w:tblpY="120"/>
        <w:tblOverlap w:val="never"/>
        <w:tblW w:w="0" w:type="auto"/>
        <w:tblInd w:w="0" w:type="dxa"/>
        <w:tblLayout w:type="fixed"/>
        <w:tblCellMar>
          <w:top w:w="0" w:type="dxa"/>
          <w:left w:w="108" w:type="dxa"/>
          <w:bottom w:w="0" w:type="dxa"/>
          <w:right w:w="108" w:type="dxa"/>
        </w:tblCellMar>
      </w:tblPr>
      <w:tblGrid>
        <w:gridCol w:w="846"/>
        <w:gridCol w:w="2551"/>
        <w:gridCol w:w="2127"/>
        <w:gridCol w:w="1701"/>
        <w:gridCol w:w="2345"/>
      </w:tblGrid>
      <w:tr>
        <w:tblPrEx>
          <w:tblCellMar>
            <w:top w:w="0" w:type="dxa"/>
            <w:left w:w="108" w:type="dxa"/>
            <w:bottom w:w="0" w:type="dxa"/>
            <w:right w:w="108" w:type="dxa"/>
          </w:tblCellMar>
        </w:tblPrEx>
        <w:trPr>
          <w:trHeight w:val="558" w:hRule="atLeast"/>
        </w:trPr>
        <w:tc>
          <w:tcPr>
            <w:tcW w:w="957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spacing w:line="360" w:lineRule="auto"/>
              <w:jc w:val="center"/>
              <w:rPr>
                <w:rFonts w:ascii="宋体" w:hAnsi="宋体" w:eastAsia="宋体" w:cs="宋体"/>
                <w:b/>
                <w:bCs/>
                <w:color w:val="000000"/>
                <w:kern w:val="0"/>
                <w:sz w:val="20"/>
                <w:szCs w:val="20"/>
                <w:lang w:bidi="ar"/>
              </w:rPr>
            </w:pPr>
            <w:r>
              <w:rPr>
                <w:rFonts w:hint="eastAsia" w:ascii="宋体" w:hAnsi="宋体" w:eastAsia="宋体" w:cs="宋体"/>
                <w:b/>
                <w:bCs/>
                <w:kern w:val="0"/>
                <w:sz w:val="22"/>
              </w:rPr>
              <w:t>各类型设备拦标价</w:t>
            </w:r>
          </w:p>
        </w:tc>
      </w:tr>
      <w:tr>
        <w:tblPrEx>
          <w:tblCellMar>
            <w:top w:w="0" w:type="dxa"/>
            <w:left w:w="108" w:type="dxa"/>
            <w:bottom w:w="0" w:type="dxa"/>
            <w:right w:w="108" w:type="dxa"/>
          </w:tblCellMar>
        </w:tblPrEx>
        <w:trPr>
          <w:trHeight w:val="57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kern w:val="0"/>
                <w:sz w:val="20"/>
                <w:szCs w:val="20"/>
                <w:lang w:bidi="ar"/>
              </w:rPr>
            </w:pPr>
            <w:r>
              <w:rPr>
                <w:rFonts w:hint="eastAsia" w:ascii="宋体" w:hAnsi="宋体" w:eastAsia="宋体" w:cs="宋体"/>
                <w:b/>
                <w:bCs/>
                <w:color w:val="000000"/>
                <w:kern w:val="0"/>
                <w:sz w:val="20"/>
                <w:szCs w:val="20"/>
                <w:lang w:bidi="ar"/>
              </w:rPr>
              <w:t>序号</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lang w:bidi="ar"/>
              </w:rPr>
              <w:t>设备类型</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lang w:bidi="ar"/>
              </w:rPr>
              <w:t>数量（台）</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lang w:bidi="ar"/>
              </w:rPr>
              <w:t>预算单价（元）</w:t>
            </w:r>
          </w:p>
        </w:tc>
        <w:tc>
          <w:tcPr>
            <w:tcW w:w="2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lang w:bidi="ar"/>
              </w:rPr>
              <w:t>拦标价小计（元）</w:t>
            </w:r>
          </w:p>
        </w:tc>
      </w:tr>
      <w:tr>
        <w:tblPrEx>
          <w:tblCellMar>
            <w:top w:w="0" w:type="dxa"/>
            <w:left w:w="108" w:type="dxa"/>
            <w:bottom w:w="0" w:type="dxa"/>
            <w:right w:w="108" w:type="dxa"/>
          </w:tblCellMar>
        </w:tblPrEx>
        <w:trPr>
          <w:trHeight w:val="5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清单1</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普通心电监护仪</w:t>
            </w:r>
          </w:p>
          <w:p>
            <w:pPr>
              <w:widowControl/>
              <w:jc w:val="center"/>
              <w:textAlignment w:val="center"/>
              <w:rPr>
                <w:rFonts w:ascii="宋体" w:hAnsi="宋体" w:eastAsia="宋体" w:cs="宋体"/>
                <w:color w:val="000000"/>
                <w:kern w:val="0"/>
                <w:sz w:val="20"/>
                <w:szCs w:val="20"/>
                <w:lang w:bidi="ar"/>
              </w:rPr>
            </w:pPr>
          </w:p>
          <w:p>
            <w:pPr>
              <w:widowControl/>
              <w:jc w:val="center"/>
              <w:textAlignment w:val="center"/>
              <w:rPr>
                <w:rFonts w:ascii="宋体" w:hAnsi="宋体" w:eastAsia="宋体" w:cs="宋体"/>
                <w:color w:val="000000"/>
                <w:sz w:val="20"/>
                <w:szCs w:val="20"/>
              </w:rPr>
            </w:pP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26台</w:t>
            </w:r>
          </w:p>
          <w:p>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（备注：含有番禺区第七人民医院4台）</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13300</w:t>
            </w:r>
          </w:p>
        </w:tc>
        <w:tc>
          <w:tcPr>
            <w:tcW w:w="2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345800</w:t>
            </w:r>
          </w:p>
          <w:p>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（备注：含有番禺区第七人民医院4台，小计53200元）</w:t>
            </w:r>
          </w:p>
        </w:tc>
      </w:tr>
      <w:tr>
        <w:tblPrEx>
          <w:tblCellMar>
            <w:top w:w="0" w:type="dxa"/>
            <w:left w:w="108" w:type="dxa"/>
            <w:bottom w:w="0" w:type="dxa"/>
            <w:right w:w="108" w:type="dxa"/>
          </w:tblCellMar>
        </w:tblPrEx>
        <w:trPr>
          <w:trHeight w:val="5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清单</w:t>
            </w:r>
            <w:r>
              <w:rPr>
                <w:rFonts w:hint="eastAsia" w:ascii="宋体" w:hAnsi="宋体" w:eastAsia="宋体" w:cs="宋体"/>
                <w:color w:val="000000"/>
                <w:kern w:val="0"/>
                <w:sz w:val="20"/>
                <w:szCs w:val="20"/>
                <w:lang w:bidi="ar"/>
              </w:rPr>
              <w:t>2</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转运心电监护仪</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2台</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18000</w:t>
            </w:r>
          </w:p>
        </w:tc>
        <w:tc>
          <w:tcPr>
            <w:tcW w:w="2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36000</w:t>
            </w:r>
          </w:p>
        </w:tc>
      </w:tr>
      <w:tr>
        <w:tblPrEx>
          <w:tblCellMar>
            <w:top w:w="0" w:type="dxa"/>
            <w:left w:w="108" w:type="dxa"/>
            <w:bottom w:w="0" w:type="dxa"/>
            <w:right w:w="108" w:type="dxa"/>
          </w:tblCellMar>
        </w:tblPrEx>
        <w:trPr>
          <w:trHeight w:val="61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清单</w:t>
            </w:r>
            <w:r>
              <w:rPr>
                <w:rFonts w:hint="eastAsia" w:ascii="宋体" w:hAnsi="宋体" w:eastAsia="宋体" w:cs="宋体"/>
                <w:color w:val="000000"/>
                <w:kern w:val="0"/>
                <w:sz w:val="20"/>
                <w:szCs w:val="20"/>
                <w:lang w:bidi="ar"/>
              </w:rPr>
              <w:t>3</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中央心电监护工作台</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1台</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25000</w:t>
            </w:r>
          </w:p>
        </w:tc>
        <w:tc>
          <w:tcPr>
            <w:tcW w:w="2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25000</w:t>
            </w:r>
          </w:p>
        </w:tc>
      </w:tr>
      <w:tr>
        <w:tblPrEx>
          <w:tblCellMar>
            <w:top w:w="0" w:type="dxa"/>
            <w:left w:w="108" w:type="dxa"/>
            <w:bottom w:w="0" w:type="dxa"/>
            <w:right w:w="108" w:type="dxa"/>
          </w:tblCellMar>
        </w:tblPrEx>
        <w:trPr>
          <w:trHeight w:val="307"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清单</w:t>
            </w:r>
            <w:r>
              <w:rPr>
                <w:rFonts w:hint="eastAsia" w:ascii="宋体" w:hAnsi="宋体" w:eastAsia="宋体" w:cs="宋体"/>
                <w:color w:val="000000"/>
                <w:kern w:val="0"/>
                <w:sz w:val="20"/>
                <w:szCs w:val="20"/>
                <w:lang w:bidi="ar"/>
              </w:rPr>
              <w:t>4</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高档心电监护仪（含有创血压监测模块）</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1台</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45000</w:t>
            </w:r>
          </w:p>
        </w:tc>
        <w:tc>
          <w:tcPr>
            <w:tcW w:w="2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45000</w:t>
            </w:r>
          </w:p>
        </w:tc>
      </w:tr>
      <w:tr>
        <w:tblPrEx>
          <w:tblCellMar>
            <w:top w:w="0" w:type="dxa"/>
            <w:left w:w="108" w:type="dxa"/>
            <w:bottom w:w="0" w:type="dxa"/>
            <w:right w:w="108" w:type="dxa"/>
          </w:tblCellMar>
        </w:tblPrEx>
        <w:trPr>
          <w:trHeight w:val="116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清单</w:t>
            </w:r>
            <w:r>
              <w:rPr>
                <w:rFonts w:hint="eastAsia" w:ascii="宋体" w:hAnsi="宋体" w:eastAsia="宋体" w:cs="宋体"/>
                <w:color w:val="000000"/>
                <w:kern w:val="0"/>
                <w:sz w:val="20"/>
                <w:szCs w:val="20"/>
                <w:lang w:bidi="ar"/>
              </w:rPr>
              <w:t>5</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高档心电监护仪（呼气末二氧化碳监测+有创血压监测模块）（七院）</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2台</w:t>
            </w:r>
          </w:p>
          <w:p>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（备注：番禺区第七人民医院）</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45000</w:t>
            </w:r>
          </w:p>
        </w:tc>
        <w:tc>
          <w:tcPr>
            <w:tcW w:w="2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90000</w:t>
            </w:r>
          </w:p>
          <w:p>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（备注：番禺区第七人民医院）</w:t>
            </w:r>
          </w:p>
        </w:tc>
      </w:tr>
    </w:tbl>
    <w:p>
      <w:pPr>
        <w:widowControl/>
        <w:adjustRightInd w:val="0"/>
        <w:snapToGrid w:val="0"/>
        <w:spacing w:line="360" w:lineRule="auto"/>
        <w:rPr>
          <w:rFonts w:ascii="宋体" w:hAnsi="宋体" w:eastAsia="宋体" w:cs="宋体"/>
          <w:kern w:val="0"/>
          <w:sz w:val="22"/>
        </w:rPr>
      </w:pPr>
    </w:p>
    <w:p>
      <w:pPr>
        <w:pStyle w:val="7"/>
        <w:widowControl/>
        <w:numPr>
          <w:ilvl w:val="0"/>
          <w:numId w:val="2"/>
        </w:numPr>
        <w:adjustRightInd w:val="0"/>
        <w:snapToGrid w:val="0"/>
        <w:spacing w:line="360" w:lineRule="auto"/>
        <w:rPr>
          <w:rFonts w:hint="default" w:cs="宋体"/>
          <w:sz w:val="22"/>
          <w:szCs w:val="22"/>
        </w:rPr>
      </w:pPr>
      <w:r>
        <w:rPr>
          <w:rFonts w:cs="宋体"/>
          <w:sz w:val="22"/>
          <w:szCs w:val="22"/>
        </w:rPr>
        <w:t>预算情况：拟拦标价13300元/台采购26台普通心电监护仪共345800元；拟拦标价18000元/台采购2台转运心电监护仪共36000元；拟拦标价25000元/台采购1台中央心电监护工作台共25000元；拟拦标价45000元/台采购1台高档心电监护仪（含有创血压监测模块）；拟拦标价45000元/台采购2台高档心电监护仪（含有呼气末二氧化碳监测+有创血压监测模块）。</w:t>
      </w:r>
      <w:r>
        <w:rPr>
          <w:color w:val="333333"/>
          <w:sz w:val="21"/>
          <w:szCs w:val="21"/>
        </w:rPr>
        <w:t>采购预算54.18万元（其中：中心医院预算39.86万元、区七人民医院预算14.32万元）。</w:t>
      </w:r>
      <w:r>
        <w:rPr>
          <w:rFonts w:cs="宋体"/>
          <w:sz w:val="22"/>
          <w:szCs w:val="22"/>
        </w:rPr>
        <w:t>以上按照设备预算的院区归属签</w:t>
      </w:r>
      <w:r>
        <w:rPr>
          <w:rFonts w:hint="default" w:cs="宋体"/>
          <w:sz w:val="22"/>
          <w:szCs w:val="22"/>
        </w:rPr>
        <w:t>订</w:t>
      </w:r>
      <w:r>
        <w:rPr>
          <w:rFonts w:cs="宋体"/>
          <w:sz w:val="22"/>
          <w:szCs w:val="22"/>
        </w:rPr>
        <w:t>各院区的合同。</w:t>
      </w:r>
    </w:p>
    <w:p>
      <w:pPr>
        <w:widowControl/>
        <w:numPr>
          <w:ilvl w:val="0"/>
          <w:numId w:val="2"/>
        </w:numPr>
        <w:adjustRightInd w:val="0"/>
        <w:snapToGrid w:val="0"/>
        <w:spacing w:line="360" w:lineRule="auto"/>
        <w:rPr>
          <w:rFonts w:ascii="宋体" w:hAnsi="宋体" w:eastAsia="宋体" w:cs="宋体"/>
          <w:kern w:val="0"/>
          <w:sz w:val="24"/>
          <w:szCs w:val="24"/>
        </w:rPr>
      </w:pPr>
      <w:r>
        <w:rPr>
          <w:rFonts w:hint="eastAsia" w:ascii="宋体" w:hAnsi="宋体" w:eastAsia="宋体" w:cs="宋体"/>
          <w:b/>
          <w:kern w:val="0"/>
          <w:sz w:val="22"/>
        </w:rPr>
        <w:t>供应商资质要求：</w:t>
      </w:r>
      <w:r>
        <w:rPr>
          <w:rFonts w:hint="eastAsia" w:ascii="宋体" w:hAnsi="宋体" w:eastAsia="宋体" w:cs="宋体"/>
          <w:kern w:val="0"/>
          <w:sz w:val="22"/>
        </w:rPr>
        <w:t>产品具备医疗器械产品注册证，投标人具有独立法人资格，具有有效的且与所投项目相适应的医疗器械生产许可或经营许可。</w:t>
      </w:r>
    </w:p>
    <w:p>
      <w:pPr>
        <w:spacing w:line="360" w:lineRule="auto"/>
        <w:rPr>
          <w:rFonts w:ascii="宋体" w:hAnsi="宋体" w:eastAsia="宋体" w:cs="宋体"/>
          <w:b/>
          <w:bCs/>
          <w:sz w:val="24"/>
          <w:szCs w:val="24"/>
        </w:rPr>
      </w:pPr>
      <w:r>
        <w:rPr>
          <w:rFonts w:hint="eastAsia" w:ascii="宋体" w:hAnsi="宋体" w:eastAsia="宋体" w:cs="宋体"/>
          <w:b/>
          <w:bCs/>
          <w:sz w:val="24"/>
          <w:szCs w:val="24"/>
        </w:rPr>
        <w:t>（四）技术参数：</w:t>
      </w:r>
    </w:p>
    <w:p>
      <w:pPr>
        <w:spacing w:line="360" w:lineRule="auto"/>
        <w:rPr>
          <w:rFonts w:ascii="宋体" w:hAnsi="宋体" w:eastAsia="宋体" w:cs="宋体"/>
          <w:b/>
          <w:bCs/>
          <w:color w:val="FF0000"/>
          <w:sz w:val="24"/>
          <w:szCs w:val="24"/>
        </w:rPr>
      </w:pPr>
      <w:r>
        <w:rPr>
          <w:rFonts w:ascii="宋体" w:hAnsi="宋体" w:eastAsia="宋体" w:cs="宋体"/>
          <w:b/>
          <w:bCs/>
          <w:color w:val="FF0000"/>
          <w:sz w:val="24"/>
          <w:szCs w:val="24"/>
          <w:lang w:bidi="ar"/>
        </w:rPr>
        <w:t>清单</w:t>
      </w:r>
      <w:r>
        <w:rPr>
          <w:rFonts w:hint="eastAsia" w:ascii="宋体" w:hAnsi="宋体" w:eastAsia="宋体" w:cs="宋体"/>
          <w:b/>
          <w:bCs/>
          <w:color w:val="FF0000"/>
          <w:sz w:val="24"/>
          <w:szCs w:val="24"/>
        </w:rPr>
        <w:t>1 普通心电监护仪</w:t>
      </w:r>
    </w:p>
    <w:p>
      <w:pPr>
        <w:numPr>
          <w:ilvl w:val="0"/>
          <w:numId w:val="3"/>
        </w:numPr>
        <w:rPr>
          <w:rFonts w:ascii="宋体" w:hAnsi="宋体" w:eastAsia="宋体" w:cs="宋体"/>
          <w:szCs w:val="24"/>
        </w:rPr>
      </w:pPr>
      <w:r>
        <w:rPr>
          <w:rFonts w:hint="eastAsia" w:ascii="宋体" w:hAnsi="宋体" w:eastAsia="宋体" w:cs="宋体"/>
          <w:szCs w:val="24"/>
        </w:rPr>
        <w:t xml:space="preserve">一体化便携监护仪，整机无风扇设计，配置提手,方便移动。 </w:t>
      </w:r>
    </w:p>
    <w:p>
      <w:pPr>
        <w:numPr>
          <w:ilvl w:val="0"/>
          <w:numId w:val="3"/>
        </w:numPr>
        <w:rPr>
          <w:rFonts w:ascii="宋体" w:hAnsi="宋体" w:eastAsia="宋体" w:cs="宋体"/>
          <w:szCs w:val="24"/>
        </w:rPr>
      </w:pPr>
      <w:r>
        <w:rPr>
          <w:rFonts w:hint="eastAsia" w:ascii="宋体" w:hAnsi="宋体" w:eastAsia="宋体" w:cs="宋体"/>
          <w:szCs w:val="24"/>
        </w:rPr>
        <w:t>≥10英寸彩色液晶触摸屏，分辨率≥1280*800，显示屏采用宽视角技术。≥8通道波形显示。</w:t>
      </w:r>
    </w:p>
    <w:p>
      <w:pPr>
        <w:numPr>
          <w:ilvl w:val="0"/>
          <w:numId w:val="3"/>
        </w:numPr>
        <w:rPr>
          <w:rFonts w:ascii="宋体" w:hAnsi="宋体" w:eastAsia="宋体" w:cs="宋体"/>
          <w:szCs w:val="24"/>
        </w:rPr>
      </w:pPr>
      <w:r>
        <w:rPr>
          <w:rFonts w:hint="eastAsia" w:ascii="宋体" w:hAnsi="宋体" w:eastAsia="宋体" w:cs="宋体"/>
          <w:szCs w:val="24"/>
        </w:rPr>
        <w:t>配置3/5导心电，呼吸，无创血压，血氧饱和度，脉搏和双通道体温参数监测，以上参数适用于成人、小儿、新生儿患者。</w:t>
      </w:r>
    </w:p>
    <w:p>
      <w:pPr>
        <w:numPr>
          <w:ilvl w:val="0"/>
          <w:numId w:val="3"/>
        </w:numPr>
        <w:rPr>
          <w:rFonts w:ascii="宋体" w:hAnsi="宋体" w:eastAsia="宋体" w:cs="宋体"/>
          <w:szCs w:val="24"/>
        </w:rPr>
      </w:pPr>
      <w:r>
        <w:rPr>
          <w:rFonts w:hint="eastAsia" w:ascii="宋体" w:hAnsi="宋体" w:eastAsia="宋体" w:cs="宋体"/>
          <w:szCs w:val="24"/>
        </w:rPr>
        <w:t>心电监护支持心率，ST段测量，心律失常分析，QT/QTc连续实时测量和对应报警功能，支持成人、小儿、新生儿患者。</w:t>
      </w:r>
    </w:p>
    <w:p>
      <w:pPr>
        <w:numPr>
          <w:ilvl w:val="0"/>
          <w:numId w:val="3"/>
        </w:numPr>
        <w:rPr>
          <w:rFonts w:ascii="宋体" w:hAnsi="宋体" w:eastAsia="宋体" w:cs="宋体"/>
          <w:szCs w:val="24"/>
        </w:rPr>
      </w:pPr>
      <w:r>
        <w:rPr>
          <w:rFonts w:hint="eastAsia" w:ascii="宋体" w:hAnsi="宋体" w:eastAsia="宋体" w:cs="宋体"/>
          <w:szCs w:val="24"/>
        </w:rPr>
        <w:t>心电波形扫描速度支持6.25mm/s、12.5 mm/s、25 mm/s和50 mm/s。</w:t>
      </w:r>
    </w:p>
    <w:p>
      <w:pPr>
        <w:numPr>
          <w:ilvl w:val="0"/>
          <w:numId w:val="3"/>
        </w:numPr>
        <w:rPr>
          <w:rFonts w:ascii="宋体" w:hAnsi="宋体" w:eastAsia="宋体" w:cs="宋体"/>
          <w:szCs w:val="24"/>
        </w:rPr>
      </w:pPr>
      <w:r>
        <w:rPr>
          <w:rFonts w:hint="eastAsia" w:ascii="宋体" w:hAnsi="宋体" w:eastAsia="宋体" w:cs="宋体"/>
          <w:szCs w:val="24"/>
        </w:rPr>
        <w:t>支持室上性心动过速和SVCs/min等室上性心律失常分析。</w:t>
      </w:r>
    </w:p>
    <w:p>
      <w:pPr>
        <w:numPr>
          <w:ilvl w:val="0"/>
          <w:numId w:val="3"/>
        </w:numPr>
        <w:rPr>
          <w:rFonts w:ascii="宋体" w:hAnsi="宋体" w:eastAsia="宋体" w:cs="宋体"/>
          <w:szCs w:val="24"/>
        </w:rPr>
      </w:pPr>
      <w:r>
        <w:rPr>
          <w:rFonts w:hint="eastAsia" w:ascii="宋体" w:hAnsi="宋体" w:eastAsia="宋体" w:cs="宋体"/>
          <w:szCs w:val="24"/>
        </w:rPr>
        <w:t>QT和QTc实时监测参数测量范围：200～800 ms。</w:t>
      </w:r>
    </w:p>
    <w:p>
      <w:pPr>
        <w:numPr>
          <w:ilvl w:val="0"/>
          <w:numId w:val="3"/>
        </w:numPr>
        <w:rPr>
          <w:rFonts w:ascii="宋体" w:hAnsi="宋体" w:eastAsia="宋体" w:cs="宋体"/>
          <w:szCs w:val="24"/>
        </w:rPr>
      </w:pPr>
      <w:r>
        <w:rPr>
          <w:rFonts w:hint="eastAsia" w:ascii="宋体" w:hAnsi="宋体" w:eastAsia="宋体" w:cs="宋体"/>
          <w:szCs w:val="24"/>
        </w:rPr>
        <w:t>心电支持≥3个分析导联实时动态同步分析。</w:t>
      </w:r>
    </w:p>
    <w:p>
      <w:pPr>
        <w:numPr>
          <w:ilvl w:val="0"/>
          <w:numId w:val="3"/>
        </w:numPr>
        <w:rPr>
          <w:rFonts w:ascii="宋体" w:hAnsi="宋体" w:eastAsia="宋体" w:cs="宋体"/>
          <w:szCs w:val="24"/>
        </w:rPr>
      </w:pPr>
      <w:r>
        <w:rPr>
          <w:rFonts w:hint="eastAsia" w:ascii="宋体" w:hAnsi="宋体" w:eastAsia="宋体" w:cs="宋体"/>
          <w:szCs w:val="24"/>
        </w:rPr>
        <w:t>提供SpO2,PR和PI参数的实时监测，适用于成人，小儿和新生儿。来自SpO2的PR测量范围：20bpm-300bpm.</w:t>
      </w:r>
    </w:p>
    <w:p>
      <w:pPr>
        <w:numPr>
          <w:ilvl w:val="0"/>
          <w:numId w:val="3"/>
        </w:numPr>
        <w:rPr>
          <w:rFonts w:ascii="宋体" w:hAnsi="宋体" w:eastAsia="宋体" w:cs="宋体"/>
          <w:szCs w:val="24"/>
        </w:rPr>
      </w:pPr>
      <w:r>
        <w:rPr>
          <w:rFonts w:hint="eastAsia" w:ascii="宋体" w:hAnsi="宋体" w:eastAsia="宋体" w:cs="宋体"/>
          <w:szCs w:val="24"/>
        </w:rPr>
        <w:t>支持指套式血氧探头，IPX7防水等级，支持液体浸泡消毒和清洁。</w:t>
      </w:r>
    </w:p>
    <w:p>
      <w:pPr>
        <w:numPr>
          <w:ilvl w:val="0"/>
          <w:numId w:val="3"/>
        </w:numPr>
        <w:rPr>
          <w:rFonts w:ascii="宋体" w:hAnsi="宋体" w:eastAsia="宋体" w:cs="宋体"/>
          <w:szCs w:val="24"/>
        </w:rPr>
      </w:pPr>
      <w:r>
        <w:rPr>
          <w:rFonts w:hint="eastAsia" w:ascii="宋体" w:hAnsi="宋体" w:eastAsia="宋体" w:cs="宋体"/>
          <w:szCs w:val="24"/>
        </w:rPr>
        <w:t>无创血压测量提供手动，自动，连续、序列和整点5种测量模式，提供24小时血压统计结果。</w:t>
      </w:r>
    </w:p>
    <w:p>
      <w:pPr>
        <w:numPr>
          <w:ilvl w:val="0"/>
          <w:numId w:val="3"/>
        </w:numPr>
        <w:rPr>
          <w:rFonts w:ascii="宋体" w:hAnsi="宋体" w:eastAsia="宋体" w:cs="宋体"/>
          <w:szCs w:val="24"/>
        </w:rPr>
      </w:pPr>
      <w:r>
        <w:rPr>
          <w:rFonts w:hint="eastAsia" w:ascii="宋体" w:hAnsi="宋体" w:eastAsia="宋体" w:cs="宋体"/>
          <w:szCs w:val="24"/>
        </w:rPr>
        <w:t>提供呼吸测量，适用于成人、小儿和新生儿。呼吸测量范围：1-200 rpm。</w:t>
      </w:r>
    </w:p>
    <w:p>
      <w:pPr>
        <w:numPr>
          <w:ilvl w:val="0"/>
          <w:numId w:val="3"/>
        </w:numPr>
        <w:rPr>
          <w:rFonts w:ascii="宋体" w:hAnsi="宋体" w:eastAsia="宋体" w:cs="宋体"/>
          <w:szCs w:val="24"/>
        </w:rPr>
      </w:pPr>
      <w:r>
        <w:rPr>
          <w:rFonts w:hint="eastAsia" w:ascii="宋体" w:hAnsi="宋体" w:eastAsia="宋体" w:cs="宋体"/>
          <w:szCs w:val="24"/>
        </w:rPr>
        <w:t>配置无创血压测量，适用于成人，小儿和新生儿。无创血压成人测量范围：收缩压25~290mmH。</w:t>
      </w:r>
    </w:p>
    <w:p>
      <w:pPr>
        <w:numPr>
          <w:ilvl w:val="0"/>
          <w:numId w:val="3"/>
        </w:numPr>
        <w:rPr>
          <w:rFonts w:ascii="宋体" w:hAnsi="宋体" w:eastAsia="宋体" w:cs="宋体"/>
          <w:szCs w:val="24"/>
        </w:rPr>
      </w:pPr>
      <w:r>
        <w:rPr>
          <w:rFonts w:hint="eastAsia" w:ascii="宋体" w:hAnsi="宋体" w:eastAsia="宋体" w:cs="宋体"/>
          <w:szCs w:val="24"/>
        </w:rPr>
        <w:t>提供双通道体温和温差参数的监测。</w:t>
      </w:r>
    </w:p>
    <w:p>
      <w:pPr>
        <w:numPr>
          <w:ilvl w:val="0"/>
          <w:numId w:val="3"/>
        </w:numPr>
        <w:rPr>
          <w:rFonts w:ascii="宋体" w:hAnsi="宋体" w:eastAsia="宋体" w:cs="宋体"/>
          <w:szCs w:val="24"/>
        </w:rPr>
      </w:pPr>
      <w:r>
        <w:rPr>
          <w:rFonts w:hint="eastAsia" w:ascii="宋体" w:hAnsi="宋体" w:eastAsia="宋体" w:cs="宋体"/>
          <w:szCs w:val="24"/>
        </w:rPr>
        <w:t>内置锂电池，锂电池支持监护仪工作时间≥4小时。</w:t>
      </w:r>
    </w:p>
    <w:p>
      <w:pPr>
        <w:numPr>
          <w:ilvl w:val="0"/>
          <w:numId w:val="3"/>
        </w:numPr>
        <w:rPr>
          <w:rFonts w:ascii="宋体" w:hAnsi="宋体" w:eastAsia="宋体" w:cs="宋体"/>
          <w:szCs w:val="24"/>
        </w:rPr>
      </w:pPr>
      <w:r>
        <w:rPr>
          <w:rFonts w:hint="eastAsia" w:ascii="宋体" w:hAnsi="宋体" w:eastAsia="宋体" w:cs="宋体"/>
          <w:szCs w:val="24"/>
        </w:rPr>
        <w:t>安全规格：ECG, TEMP, SpO2 , NIBP监测参数抗电击程度为防除颤CF型。</w:t>
      </w:r>
    </w:p>
    <w:p>
      <w:pPr>
        <w:numPr>
          <w:ilvl w:val="0"/>
          <w:numId w:val="3"/>
        </w:numPr>
        <w:rPr>
          <w:rFonts w:ascii="宋体" w:hAnsi="宋体" w:eastAsia="宋体" w:cs="宋体"/>
          <w:szCs w:val="24"/>
        </w:rPr>
      </w:pPr>
      <w:r>
        <w:rPr>
          <w:rFonts w:hint="eastAsia" w:ascii="宋体" w:hAnsi="宋体" w:eastAsia="宋体" w:cs="宋体"/>
          <w:szCs w:val="24"/>
        </w:rPr>
        <w:t>主机防水等级≥IPX1，整机抗跌落设计跌落测试。</w:t>
      </w:r>
    </w:p>
    <w:p>
      <w:pPr>
        <w:numPr>
          <w:ilvl w:val="0"/>
          <w:numId w:val="3"/>
        </w:numPr>
        <w:rPr>
          <w:rFonts w:ascii="宋体" w:hAnsi="宋体" w:eastAsia="宋体" w:cs="宋体"/>
          <w:szCs w:val="24"/>
        </w:rPr>
      </w:pPr>
      <w:r>
        <w:rPr>
          <w:rFonts w:hint="eastAsia" w:ascii="宋体" w:hAnsi="宋体" w:eastAsia="宋体" w:cs="宋体"/>
          <w:szCs w:val="24"/>
        </w:rPr>
        <w:t>监护仪清洁消毒维护支持的消毒剂≥</w:t>
      </w:r>
      <w:r>
        <w:rPr>
          <w:rFonts w:ascii="宋体" w:hAnsi="宋体" w:eastAsia="宋体" w:cs="宋体"/>
          <w:szCs w:val="24"/>
        </w:rPr>
        <w:t>2</w:t>
      </w:r>
      <w:r>
        <w:rPr>
          <w:rFonts w:hint="eastAsia" w:ascii="宋体" w:hAnsi="宋体" w:eastAsia="宋体" w:cs="宋体"/>
          <w:szCs w:val="24"/>
        </w:rPr>
        <w:t>0种，在使用说明书中清晰列举消毒剂的种类。</w:t>
      </w:r>
    </w:p>
    <w:p>
      <w:pPr>
        <w:numPr>
          <w:ilvl w:val="0"/>
          <w:numId w:val="3"/>
        </w:numPr>
        <w:spacing w:beforeAutospacing="1"/>
        <w:ind w:left="420" w:hanging="420"/>
        <w:rPr>
          <w:rFonts w:ascii="宋体" w:hAnsi="宋体" w:eastAsia="宋体" w:cs="宋体"/>
          <w:szCs w:val="24"/>
        </w:rPr>
      </w:pPr>
      <w:r>
        <w:rPr>
          <w:rFonts w:hint="eastAsia" w:ascii="宋体" w:hAnsi="宋体" w:eastAsia="宋体" w:cs="宋体"/>
          <w:sz w:val="24"/>
          <w:szCs w:val="24"/>
        </w:rPr>
        <w:t>▲</w:t>
      </w:r>
      <w:r>
        <w:rPr>
          <w:rFonts w:hint="eastAsia" w:ascii="宋体" w:hAnsi="宋体" w:eastAsia="宋体" w:cs="宋体"/>
          <w:szCs w:val="24"/>
        </w:rPr>
        <w:t>具有动态趋势界面，可支持统计</w:t>
      </w:r>
      <w:r>
        <w:rPr>
          <w:rFonts w:ascii="宋体" w:hAnsi="宋体" w:eastAsia="宋体" w:cs="宋体"/>
          <w:szCs w:val="24"/>
        </w:rPr>
        <w:t>1-24小时心律失常报警、参数超限报警信息并</w:t>
      </w:r>
      <w:r>
        <w:rPr>
          <w:rFonts w:hint="eastAsia" w:ascii="宋体" w:hAnsi="宋体" w:eastAsia="宋体" w:cs="宋体"/>
          <w:szCs w:val="24"/>
        </w:rPr>
        <w:t>高亮显示，</w:t>
      </w:r>
      <w:r>
        <w:rPr>
          <w:rFonts w:ascii="宋体" w:hAnsi="宋体" w:eastAsia="宋体" w:cs="宋体"/>
          <w:szCs w:val="24"/>
        </w:rPr>
        <w:t>以便</w:t>
      </w:r>
      <w:r>
        <w:rPr>
          <w:rFonts w:hint="eastAsia" w:ascii="宋体" w:hAnsi="宋体" w:eastAsia="宋体" w:cs="宋体"/>
          <w:szCs w:val="24"/>
        </w:rPr>
        <w:t>快速识别异常趋势信息</w:t>
      </w:r>
      <w:r>
        <w:rPr>
          <w:rFonts w:ascii="宋体" w:hAnsi="宋体" w:eastAsia="宋体" w:cs="宋体"/>
          <w:szCs w:val="24"/>
        </w:rPr>
        <w:t>（提供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r>
        <w:rPr>
          <w:rFonts w:hint="eastAsia" w:ascii="宋体" w:hAnsi="宋体" w:eastAsia="宋体" w:cs="宋体"/>
          <w:szCs w:val="24"/>
        </w:rPr>
        <w:t>。</w:t>
      </w:r>
    </w:p>
    <w:p>
      <w:pPr>
        <w:numPr>
          <w:ilvl w:val="0"/>
          <w:numId w:val="3"/>
        </w:numPr>
        <w:rPr>
          <w:rFonts w:ascii="宋体" w:hAnsi="宋体" w:eastAsia="宋体" w:cs="宋体"/>
          <w:szCs w:val="24"/>
        </w:rPr>
      </w:pPr>
      <w:r>
        <w:rPr>
          <w:rFonts w:hint="eastAsia" w:ascii="宋体" w:hAnsi="宋体" w:eastAsia="宋体" w:cs="宋体"/>
          <w:szCs w:val="24"/>
        </w:rPr>
        <w:t>提供目标监测界面，能够显示</w:t>
      </w:r>
      <w:r>
        <w:rPr>
          <w:rFonts w:ascii="宋体" w:hAnsi="宋体" w:eastAsia="宋体" w:cs="宋体"/>
          <w:szCs w:val="24"/>
        </w:rPr>
        <w:t>ECG,SpO2,IBP,CO2等多种参数测量值和波形（提供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p>
    <w:p>
      <w:pPr>
        <w:numPr>
          <w:ilvl w:val="0"/>
          <w:numId w:val="3"/>
        </w:numPr>
        <w:rPr>
          <w:rFonts w:ascii="宋体" w:hAnsi="宋体" w:eastAsia="宋体" w:cs="宋体"/>
          <w:szCs w:val="24"/>
        </w:rPr>
      </w:pPr>
      <w:r>
        <w:rPr>
          <w:rFonts w:hint="eastAsia" w:ascii="宋体" w:hAnsi="宋体" w:eastAsia="宋体" w:cs="宋体"/>
          <w:szCs w:val="24"/>
        </w:rPr>
        <w:t>支持≥1000条事件回顾。支持≥120小时（分辨率1分钟）ST模板存储与回顾。</w:t>
      </w:r>
    </w:p>
    <w:p>
      <w:pPr>
        <w:numPr>
          <w:ilvl w:val="0"/>
          <w:numId w:val="3"/>
        </w:numPr>
        <w:rPr>
          <w:rFonts w:ascii="宋体" w:hAnsi="宋体" w:eastAsia="宋体" w:cs="宋体"/>
          <w:szCs w:val="24"/>
        </w:rPr>
      </w:pPr>
      <w:r>
        <w:rPr>
          <w:rFonts w:hint="eastAsia" w:ascii="宋体" w:hAnsi="宋体" w:eastAsia="宋体" w:cs="宋体"/>
          <w:szCs w:val="24"/>
        </w:rPr>
        <w:t>具有特殊报警音，当监护仪在病人发生致命性参数报警时，发出特殊的报警音进行提示病人处于危急状态，提供产品使用说明书截图等证明资料。</w:t>
      </w:r>
    </w:p>
    <w:p>
      <w:pPr>
        <w:numPr>
          <w:ilvl w:val="0"/>
          <w:numId w:val="3"/>
        </w:numPr>
        <w:rPr>
          <w:rFonts w:ascii="宋体" w:hAnsi="宋体" w:eastAsia="宋体" w:cs="宋体"/>
          <w:szCs w:val="24"/>
        </w:rPr>
      </w:pPr>
      <w:r>
        <w:rPr>
          <w:rFonts w:hint="eastAsia" w:ascii="宋体" w:hAnsi="宋体" w:eastAsia="宋体" w:cs="宋体"/>
          <w:szCs w:val="24"/>
        </w:rPr>
        <w:t>支持RJ45接口进行有线网络通信，和除颤监护仪一起联网通信到中心监护系统。</w:t>
      </w:r>
    </w:p>
    <w:p>
      <w:pPr>
        <w:numPr>
          <w:ilvl w:val="0"/>
          <w:numId w:val="3"/>
        </w:numPr>
        <w:rPr>
          <w:rFonts w:ascii="宋体" w:hAnsi="宋体" w:eastAsia="宋体" w:cs="宋体"/>
          <w:szCs w:val="24"/>
        </w:rPr>
      </w:pPr>
      <w:r>
        <w:rPr>
          <w:rFonts w:hint="eastAsia" w:ascii="宋体" w:hAnsi="宋体" w:eastAsia="宋体" w:cs="宋体"/>
          <w:szCs w:val="24"/>
        </w:rPr>
        <w:t>标配2.4G/5G无线WiFi，方便无线联网。</w:t>
      </w:r>
    </w:p>
    <w:p>
      <w:pPr>
        <w:numPr>
          <w:ilvl w:val="0"/>
          <w:numId w:val="3"/>
        </w:numPr>
        <w:rPr>
          <w:rFonts w:ascii="宋体" w:hAnsi="宋体" w:eastAsia="宋体" w:cs="宋体"/>
          <w:szCs w:val="24"/>
        </w:rPr>
      </w:pPr>
      <w:r>
        <w:rPr>
          <w:rFonts w:hint="eastAsia" w:ascii="宋体" w:hAnsi="宋体" w:eastAsia="宋体" w:cs="宋体"/>
          <w:szCs w:val="24"/>
        </w:rPr>
        <w:t>设备使用年限≥10年，并要求设备铭牌照片佐证。</w:t>
      </w:r>
    </w:p>
    <w:p>
      <w:pPr>
        <w:rPr>
          <w:rFonts w:ascii="宋体" w:hAnsi="宋体" w:eastAsia="宋体" w:cs="宋体"/>
          <w:szCs w:val="24"/>
        </w:rPr>
      </w:pPr>
    </w:p>
    <w:p>
      <w:pPr>
        <w:jc w:val="center"/>
        <w:rPr>
          <w:rFonts w:ascii="宋体" w:hAnsi="宋体" w:eastAsia="宋体" w:cs="宋体"/>
          <w:b/>
          <w:bCs/>
          <w:sz w:val="22"/>
          <w:szCs w:val="28"/>
        </w:rPr>
      </w:pPr>
      <w:r>
        <w:rPr>
          <w:rFonts w:ascii="宋体" w:hAnsi="宋体" w:eastAsia="宋体" w:cs="宋体"/>
          <w:b/>
          <w:bCs/>
          <w:sz w:val="22"/>
          <w:szCs w:val="28"/>
        </w:rPr>
        <w:t>普通心电</w:t>
      </w:r>
      <w:r>
        <w:rPr>
          <w:rFonts w:hint="eastAsia" w:ascii="宋体" w:hAnsi="宋体" w:eastAsia="宋体" w:cs="宋体"/>
          <w:b/>
          <w:bCs/>
          <w:sz w:val="22"/>
          <w:szCs w:val="28"/>
        </w:rPr>
        <w:t>监护仪</w:t>
      </w:r>
      <w:r>
        <w:rPr>
          <w:rFonts w:ascii="宋体" w:hAnsi="宋体" w:eastAsia="宋体" w:cs="宋体"/>
          <w:b/>
          <w:bCs/>
          <w:sz w:val="22"/>
          <w:szCs w:val="28"/>
        </w:rPr>
        <w:t xml:space="preserve"> 单台</w:t>
      </w:r>
      <w:r>
        <w:rPr>
          <w:rFonts w:hint="eastAsia" w:ascii="宋体" w:hAnsi="宋体" w:eastAsia="宋体" w:cs="宋体"/>
          <w:b/>
          <w:bCs/>
          <w:sz w:val="22"/>
          <w:szCs w:val="28"/>
        </w:rPr>
        <w:t>配置清单（不限于）</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3997"/>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rPr>
                <w:rFonts w:ascii="宋体" w:hAnsi="宋体" w:eastAsia="宋体" w:cs="宋体"/>
                <w:szCs w:val="24"/>
              </w:rPr>
            </w:pPr>
            <w:r>
              <w:rPr>
                <w:rFonts w:hint="eastAsia" w:ascii="宋体" w:hAnsi="宋体" w:eastAsia="宋体" w:cs="宋体"/>
                <w:szCs w:val="24"/>
              </w:rPr>
              <w:t>序号</w:t>
            </w:r>
          </w:p>
        </w:tc>
        <w:tc>
          <w:tcPr>
            <w:tcW w:w="3997" w:type="dxa"/>
          </w:tcPr>
          <w:p>
            <w:pPr>
              <w:rPr>
                <w:rFonts w:ascii="宋体" w:hAnsi="宋体" w:eastAsia="宋体" w:cs="宋体"/>
                <w:szCs w:val="24"/>
              </w:rPr>
            </w:pPr>
            <w:r>
              <w:rPr>
                <w:rFonts w:hint="eastAsia" w:ascii="宋体" w:hAnsi="宋体" w:eastAsia="宋体" w:cs="宋体"/>
                <w:szCs w:val="24"/>
              </w:rPr>
              <w:t>名称</w:t>
            </w:r>
          </w:p>
        </w:tc>
        <w:tc>
          <w:tcPr>
            <w:tcW w:w="1883" w:type="dxa"/>
          </w:tcPr>
          <w:p>
            <w:pPr>
              <w:rPr>
                <w:rFonts w:ascii="宋体" w:hAnsi="宋体" w:eastAsia="宋体" w:cs="宋体"/>
                <w:szCs w:val="24"/>
              </w:rPr>
            </w:pPr>
            <w:r>
              <w:rPr>
                <w:rFonts w:hint="eastAsia" w:ascii="宋体" w:hAnsi="宋体" w:eastAsia="宋体" w:cs="宋体"/>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rPr>
                <w:rFonts w:ascii="宋体" w:hAnsi="宋体" w:eastAsia="宋体" w:cs="宋体"/>
                <w:szCs w:val="24"/>
              </w:rPr>
            </w:pPr>
            <w:r>
              <w:rPr>
                <w:rFonts w:hint="eastAsia" w:ascii="宋体" w:hAnsi="宋体" w:eastAsia="宋体" w:cs="宋体"/>
                <w:szCs w:val="24"/>
              </w:rPr>
              <w:t>1</w:t>
            </w:r>
          </w:p>
        </w:tc>
        <w:tc>
          <w:tcPr>
            <w:tcW w:w="3997" w:type="dxa"/>
          </w:tcPr>
          <w:p>
            <w:pPr>
              <w:rPr>
                <w:rFonts w:ascii="宋体" w:hAnsi="宋体" w:eastAsia="宋体" w:cs="宋体"/>
                <w:szCs w:val="24"/>
              </w:rPr>
            </w:pPr>
            <w:r>
              <w:rPr>
                <w:rFonts w:hint="eastAsia" w:ascii="宋体" w:hAnsi="宋体" w:eastAsia="宋体" w:cs="宋体"/>
                <w:szCs w:val="24"/>
              </w:rPr>
              <w:t>主机（含打印功能）</w:t>
            </w:r>
          </w:p>
        </w:tc>
        <w:tc>
          <w:tcPr>
            <w:tcW w:w="1883" w:type="dxa"/>
          </w:tcPr>
          <w:p>
            <w:pPr>
              <w:rPr>
                <w:rFonts w:ascii="宋体" w:hAnsi="宋体" w:eastAsia="宋体" w:cs="宋体"/>
                <w:szCs w:val="24"/>
              </w:rPr>
            </w:pPr>
            <w:r>
              <w:rPr>
                <w:rFonts w:hint="eastAsia" w:ascii="宋体" w:hAnsi="宋体" w:eastAsia="宋体" w:cs="宋体"/>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rPr>
                <w:rFonts w:ascii="宋体" w:hAnsi="宋体" w:eastAsia="宋体" w:cs="宋体"/>
                <w:szCs w:val="24"/>
              </w:rPr>
            </w:pPr>
            <w:r>
              <w:rPr>
                <w:rFonts w:hint="eastAsia" w:ascii="宋体" w:hAnsi="宋体" w:eastAsia="宋体" w:cs="宋体"/>
                <w:szCs w:val="24"/>
              </w:rPr>
              <w:t>2</w:t>
            </w:r>
          </w:p>
        </w:tc>
        <w:tc>
          <w:tcPr>
            <w:tcW w:w="3997" w:type="dxa"/>
          </w:tcPr>
          <w:p>
            <w:pPr>
              <w:rPr>
                <w:rFonts w:ascii="宋体" w:hAnsi="宋体" w:eastAsia="宋体" w:cs="宋体"/>
                <w:szCs w:val="24"/>
              </w:rPr>
            </w:pPr>
            <w:r>
              <w:rPr>
                <w:rFonts w:hint="eastAsia" w:ascii="宋体" w:hAnsi="宋体" w:eastAsia="宋体" w:cs="宋体"/>
                <w:szCs w:val="24"/>
              </w:rPr>
              <w:t>锂电池</w:t>
            </w:r>
          </w:p>
        </w:tc>
        <w:tc>
          <w:tcPr>
            <w:tcW w:w="1883" w:type="dxa"/>
          </w:tcPr>
          <w:p>
            <w:pPr>
              <w:rPr>
                <w:rFonts w:ascii="宋体" w:hAnsi="宋体" w:eastAsia="宋体" w:cs="宋体"/>
                <w:szCs w:val="24"/>
              </w:rPr>
            </w:pPr>
            <w:r>
              <w:rPr>
                <w:rFonts w:hint="eastAsia" w:ascii="宋体" w:hAnsi="宋体" w:eastAsia="宋体" w:cs="宋体"/>
                <w:szCs w:val="24"/>
              </w:rPr>
              <w:t>1块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rPr>
                <w:rFonts w:ascii="宋体" w:hAnsi="宋体" w:eastAsia="宋体" w:cs="宋体"/>
                <w:szCs w:val="24"/>
              </w:rPr>
            </w:pPr>
            <w:r>
              <w:rPr>
                <w:rFonts w:hint="eastAsia" w:ascii="宋体" w:hAnsi="宋体" w:eastAsia="宋体" w:cs="宋体"/>
                <w:szCs w:val="24"/>
              </w:rPr>
              <w:t>3</w:t>
            </w:r>
          </w:p>
        </w:tc>
        <w:tc>
          <w:tcPr>
            <w:tcW w:w="3997" w:type="dxa"/>
          </w:tcPr>
          <w:p>
            <w:pPr>
              <w:rPr>
                <w:rFonts w:ascii="宋体" w:hAnsi="宋体" w:eastAsia="宋体" w:cs="宋体"/>
                <w:szCs w:val="24"/>
              </w:rPr>
            </w:pPr>
            <w:r>
              <w:rPr>
                <w:rFonts w:hint="eastAsia" w:ascii="宋体" w:hAnsi="宋体" w:eastAsia="宋体" w:cs="宋体"/>
                <w:szCs w:val="24"/>
              </w:rPr>
              <w:t>无创血压导气管</w:t>
            </w:r>
          </w:p>
        </w:tc>
        <w:tc>
          <w:tcPr>
            <w:tcW w:w="1883" w:type="dxa"/>
          </w:tcPr>
          <w:p>
            <w:pPr>
              <w:rPr>
                <w:rFonts w:ascii="宋体" w:hAnsi="宋体" w:eastAsia="宋体" w:cs="宋体"/>
                <w:szCs w:val="24"/>
              </w:rPr>
            </w:pPr>
            <w:r>
              <w:rPr>
                <w:rFonts w:hint="eastAsia" w:ascii="宋体" w:hAnsi="宋体" w:eastAsia="宋体" w:cs="宋体"/>
                <w:szCs w:val="24"/>
              </w:rPr>
              <w:t>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rPr>
                <w:rFonts w:ascii="宋体" w:hAnsi="宋体" w:eastAsia="宋体" w:cs="宋体"/>
                <w:szCs w:val="24"/>
              </w:rPr>
            </w:pPr>
            <w:r>
              <w:rPr>
                <w:rFonts w:hint="eastAsia" w:ascii="宋体" w:hAnsi="宋体" w:eastAsia="宋体" w:cs="宋体"/>
                <w:szCs w:val="24"/>
              </w:rPr>
              <w:t>4</w:t>
            </w:r>
          </w:p>
        </w:tc>
        <w:tc>
          <w:tcPr>
            <w:tcW w:w="3997" w:type="dxa"/>
          </w:tcPr>
          <w:p>
            <w:pPr>
              <w:rPr>
                <w:rFonts w:ascii="宋体" w:hAnsi="宋体" w:eastAsia="宋体" w:cs="宋体"/>
                <w:szCs w:val="24"/>
              </w:rPr>
            </w:pPr>
            <w:r>
              <w:rPr>
                <w:rFonts w:hint="eastAsia" w:ascii="宋体" w:hAnsi="宋体" w:eastAsia="宋体" w:cs="宋体"/>
                <w:szCs w:val="24"/>
              </w:rPr>
              <w:t>血压袖带</w:t>
            </w:r>
          </w:p>
        </w:tc>
        <w:tc>
          <w:tcPr>
            <w:tcW w:w="1883" w:type="dxa"/>
          </w:tcPr>
          <w:p>
            <w:pPr>
              <w:rPr>
                <w:rFonts w:ascii="宋体" w:hAnsi="宋体" w:eastAsia="宋体" w:cs="宋体"/>
                <w:szCs w:val="24"/>
              </w:rPr>
            </w:pPr>
            <w:r>
              <w:rPr>
                <w:rFonts w:hint="eastAsia" w:ascii="宋体" w:hAnsi="宋体" w:eastAsia="宋体" w:cs="宋体"/>
                <w:szCs w:val="24"/>
              </w:rPr>
              <w:t>3套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rPr>
                <w:rFonts w:ascii="宋体" w:hAnsi="宋体" w:eastAsia="宋体" w:cs="宋体"/>
                <w:szCs w:val="24"/>
              </w:rPr>
            </w:pPr>
            <w:r>
              <w:rPr>
                <w:rFonts w:hint="eastAsia" w:ascii="宋体" w:hAnsi="宋体" w:eastAsia="宋体" w:cs="宋体"/>
                <w:szCs w:val="24"/>
              </w:rPr>
              <w:t>5</w:t>
            </w:r>
          </w:p>
        </w:tc>
        <w:tc>
          <w:tcPr>
            <w:tcW w:w="3997" w:type="dxa"/>
          </w:tcPr>
          <w:p>
            <w:pPr>
              <w:rPr>
                <w:rFonts w:ascii="宋体" w:hAnsi="宋体" w:eastAsia="宋体" w:cs="宋体"/>
                <w:szCs w:val="24"/>
              </w:rPr>
            </w:pPr>
            <w:r>
              <w:rPr>
                <w:rFonts w:hint="eastAsia" w:ascii="宋体" w:hAnsi="宋体" w:eastAsia="宋体" w:cs="宋体"/>
                <w:szCs w:val="24"/>
              </w:rPr>
              <w:t>心电主电缆</w:t>
            </w:r>
          </w:p>
        </w:tc>
        <w:tc>
          <w:tcPr>
            <w:tcW w:w="1883" w:type="dxa"/>
          </w:tcPr>
          <w:p>
            <w:pPr>
              <w:rPr>
                <w:rFonts w:ascii="宋体" w:hAnsi="宋体" w:eastAsia="宋体" w:cs="宋体"/>
                <w:szCs w:val="24"/>
              </w:rPr>
            </w:pPr>
            <w:r>
              <w:rPr>
                <w:rFonts w:hint="eastAsia" w:ascii="宋体" w:hAnsi="宋体" w:eastAsia="宋体" w:cs="宋体"/>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rPr>
                <w:rFonts w:ascii="宋体" w:hAnsi="宋体" w:eastAsia="宋体" w:cs="宋体"/>
                <w:szCs w:val="24"/>
              </w:rPr>
            </w:pPr>
            <w:r>
              <w:rPr>
                <w:rFonts w:hint="eastAsia" w:ascii="宋体" w:hAnsi="宋体" w:eastAsia="宋体" w:cs="宋体"/>
                <w:szCs w:val="24"/>
              </w:rPr>
              <w:t>6</w:t>
            </w:r>
          </w:p>
        </w:tc>
        <w:tc>
          <w:tcPr>
            <w:tcW w:w="3997" w:type="dxa"/>
          </w:tcPr>
          <w:p>
            <w:pPr>
              <w:rPr>
                <w:rFonts w:ascii="宋体" w:hAnsi="宋体" w:eastAsia="宋体" w:cs="宋体"/>
                <w:szCs w:val="24"/>
              </w:rPr>
            </w:pPr>
            <w:r>
              <w:rPr>
                <w:rFonts w:hint="eastAsia" w:ascii="宋体" w:hAnsi="宋体" w:eastAsia="宋体" w:cs="宋体"/>
                <w:szCs w:val="24"/>
              </w:rPr>
              <w:t>心电导联线病人端</w:t>
            </w:r>
          </w:p>
        </w:tc>
        <w:tc>
          <w:tcPr>
            <w:tcW w:w="1883" w:type="dxa"/>
          </w:tcPr>
          <w:p>
            <w:pPr>
              <w:rPr>
                <w:rFonts w:ascii="宋体" w:hAnsi="宋体" w:eastAsia="宋体" w:cs="宋体"/>
                <w:szCs w:val="24"/>
              </w:rPr>
            </w:pPr>
            <w:r>
              <w:rPr>
                <w:rFonts w:hint="eastAsia" w:ascii="宋体" w:hAnsi="宋体" w:eastAsia="宋体" w:cs="宋体"/>
                <w:szCs w:val="24"/>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rPr>
                <w:rFonts w:ascii="宋体" w:hAnsi="宋体" w:eastAsia="宋体" w:cs="宋体"/>
                <w:szCs w:val="24"/>
              </w:rPr>
            </w:pPr>
            <w:r>
              <w:rPr>
                <w:rFonts w:hint="eastAsia" w:ascii="宋体" w:hAnsi="宋体" w:eastAsia="宋体" w:cs="宋体"/>
                <w:szCs w:val="24"/>
              </w:rPr>
              <w:t>7</w:t>
            </w:r>
          </w:p>
        </w:tc>
        <w:tc>
          <w:tcPr>
            <w:tcW w:w="3997" w:type="dxa"/>
          </w:tcPr>
          <w:p>
            <w:pPr>
              <w:rPr>
                <w:rFonts w:ascii="宋体" w:hAnsi="宋体" w:eastAsia="宋体" w:cs="宋体"/>
                <w:szCs w:val="24"/>
              </w:rPr>
            </w:pPr>
            <w:r>
              <w:rPr>
                <w:rFonts w:hint="eastAsia" w:ascii="宋体" w:hAnsi="宋体" w:eastAsia="宋体" w:cs="宋体"/>
                <w:szCs w:val="24"/>
              </w:rPr>
              <w:t>血氧主电缆</w:t>
            </w:r>
          </w:p>
        </w:tc>
        <w:tc>
          <w:tcPr>
            <w:tcW w:w="1883" w:type="dxa"/>
          </w:tcPr>
          <w:p>
            <w:pPr>
              <w:rPr>
                <w:rFonts w:ascii="宋体" w:hAnsi="宋体" w:eastAsia="宋体" w:cs="宋体"/>
                <w:szCs w:val="24"/>
              </w:rPr>
            </w:pPr>
            <w:r>
              <w:rPr>
                <w:rFonts w:hint="eastAsia" w:ascii="宋体" w:hAnsi="宋体" w:eastAsia="宋体" w:cs="宋体"/>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rPr>
                <w:rFonts w:ascii="宋体" w:hAnsi="宋体" w:eastAsia="宋体" w:cs="宋体"/>
                <w:szCs w:val="24"/>
              </w:rPr>
            </w:pPr>
            <w:r>
              <w:rPr>
                <w:rFonts w:hint="eastAsia" w:ascii="宋体" w:hAnsi="宋体" w:eastAsia="宋体" w:cs="宋体"/>
                <w:szCs w:val="24"/>
              </w:rPr>
              <w:t>8</w:t>
            </w:r>
          </w:p>
        </w:tc>
        <w:tc>
          <w:tcPr>
            <w:tcW w:w="3997" w:type="dxa"/>
          </w:tcPr>
          <w:p>
            <w:pPr>
              <w:rPr>
                <w:rFonts w:ascii="宋体" w:hAnsi="宋体" w:eastAsia="宋体" w:cs="宋体"/>
                <w:szCs w:val="24"/>
              </w:rPr>
            </w:pPr>
            <w:r>
              <w:rPr>
                <w:rFonts w:hint="eastAsia" w:ascii="宋体" w:hAnsi="宋体" w:eastAsia="宋体" w:cs="宋体"/>
                <w:szCs w:val="24"/>
              </w:rPr>
              <w:t>血氧传感器</w:t>
            </w:r>
          </w:p>
        </w:tc>
        <w:tc>
          <w:tcPr>
            <w:tcW w:w="1883" w:type="dxa"/>
          </w:tcPr>
          <w:p>
            <w:pPr>
              <w:rPr>
                <w:rFonts w:ascii="宋体" w:hAnsi="宋体" w:eastAsia="宋体" w:cs="宋体"/>
                <w:szCs w:val="24"/>
              </w:rPr>
            </w:pPr>
            <w:r>
              <w:rPr>
                <w:rFonts w:hint="eastAsia" w:ascii="宋体" w:hAnsi="宋体" w:eastAsia="宋体" w:cs="宋体"/>
                <w:szCs w:val="24"/>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355" w:type="dxa"/>
          </w:tcPr>
          <w:p>
            <w:pPr>
              <w:rPr>
                <w:rFonts w:ascii="宋体" w:hAnsi="宋体" w:eastAsia="宋体" w:cs="宋体"/>
                <w:szCs w:val="24"/>
              </w:rPr>
            </w:pPr>
            <w:r>
              <w:rPr>
                <w:rFonts w:hint="eastAsia" w:ascii="宋体" w:hAnsi="宋体" w:eastAsia="宋体" w:cs="宋体"/>
                <w:szCs w:val="24"/>
              </w:rPr>
              <w:t>9</w:t>
            </w:r>
          </w:p>
        </w:tc>
        <w:tc>
          <w:tcPr>
            <w:tcW w:w="3997" w:type="dxa"/>
          </w:tcPr>
          <w:p>
            <w:pPr>
              <w:rPr>
                <w:rFonts w:ascii="宋体" w:hAnsi="宋体" w:eastAsia="宋体" w:cs="宋体"/>
                <w:szCs w:val="24"/>
              </w:rPr>
            </w:pPr>
            <w:r>
              <w:rPr>
                <w:rFonts w:hint="eastAsia" w:ascii="宋体" w:hAnsi="宋体" w:eastAsia="宋体" w:cs="宋体"/>
                <w:szCs w:val="24"/>
              </w:rPr>
              <w:t>台车或支架</w:t>
            </w:r>
          </w:p>
        </w:tc>
        <w:tc>
          <w:tcPr>
            <w:tcW w:w="1883" w:type="dxa"/>
          </w:tcPr>
          <w:p>
            <w:pPr>
              <w:rPr>
                <w:rFonts w:ascii="宋体" w:hAnsi="宋体" w:eastAsia="宋体" w:cs="宋体"/>
                <w:szCs w:val="24"/>
              </w:rPr>
            </w:pPr>
            <w:r>
              <w:rPr>
                <w:rFonts w:hint="eastAsia" w:ascii="宋体" w:hAnsi="宋体" w:eastAsia="宋体" w:cs="宋体"/>
                <w:szCs w:val="24"/>
              </w:rPr>
              <w:t>1套</w:t>
            </w:r>
          </w:p>
        </w:tc>
      </w:tr>
    </w:tbl>
    <w:p>
      <w:pPr>
        <w:spacing w:line="360" w:lineRule="auto"/>
        <w:rPr>
          <w:rFonts w:ascii="宋体" w:hAnsi="宋体" w:eastAsia="宋体" w:cs="宋体"/>
          <w:b/>
          <w:bCs/>
          <w:color w:val="FF0000"/>
          <w:sz w:val="24"/>
          <w:szCs w:val="24"/>
        </w:rPr>
      </w:pPr>
      <w:r>
        <w:rPr>
          <w:rFonts w:ascii="宋体" w:hAnsi="宋体" w:eastAsia="宋体" w:cs="宋体"/>
          <w:b/>
          <w:bCs/>
          <w:color w:val="FF0000"/>
          <w:sz w:val="24"/>
          <w:szCs w:val="24"/>
        </w:rPr>
        <w:t>清单</w:t>
      </w:r>
      <w:r>
        <w:rPr>
          <w:rFonts w:hint="eastAsia" w:ascii="宋体" w:hAnsi="宋体" w:eastAsia="宋体" w:cs="宋体"/>
          <w:b/>
          <w:bCs/>
          <w:color w:val="FF0000"/>
          <w:sz w:val="24"/>
          <w:szCs w:val="24"/>
        </w:rPr>
        <w:t>2 转运心电监护仪</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适用于成人、小儿、新生儿的监测</w:t>
      </w:r>
      <w:r>
        <w:rPr>
          <w:rFonts w:hint="eastAsia" w:ascii="宋体" w:hAnsi="宋体" w:eastAsia="宋体" w:cs="宋体"/>
          <w:kern w:val="0"/>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转运监护仪，满足救护车，直升飞机和固定翼飞机,通过相关转运标准</w:t>
      </w:r>
      <w:r>
        <w:rPr>
          <w:rFonts w:hint="eastAsia" w:ascii="宋体" w:hAnsi="宋体" w:eastAsia="宋体" w:cs="宋体"/>
          <w:kern w:val="0"/>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kern w:val="0"/>
          <w:szCs w:val="21"/>
        </w:rPr>
        <w:t>≥</w:t>
      </w:r>
      <w:r>
        <w:rPr>
          <w:rFonts w:hint="eastAsia" w:ascii="宋体" w:hAnsi="宋体" w:eastAsia="宋体" w:cs="宋体"/>
          <w:szCs w:val="21"/>
        </w:rPr>
        <w:t>5英寸彩色触摸电容显示屏，支持穿戴医用防护手套操作。</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整机重量＜1Kg，小巧便携，整机无风扇设计</w:t>
      </w:r>
      <w:r>
        <w:rPr>
          <w:rFonts w:hint="eastAsia" w:ascii="宋体" w:hAnsi="宋体" w:eastAsia="宋体" w:cs="宋体"/>
          <w:kern w:val="0"/>
          <w:szCs w:val="21"/>
        </w:rPr>
        <w:t>，</w:t>
      </w:r>
      <w:r>
        <w:rPr>
          <w:rFonts w:hint="eastAsia" w:ascii="宋体" w:hAnsi="宋体" w:eastAsia="宋体" w:cs="宋体"/>
          <w:szCs w:val="21"/>
        </w:rPr>
        <w:t>抗跌落</w:t>
      </w:r>
      <w:r>
        <w:rPr>
          <w:rFonts w:hint="eastAsia" w:ascii="宋体" w:hAnsi="宋体" w:eastAsia="宋体" w:cs="宋体"/>
          <w:kern w:val="0"/>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IP44防尘防水，易清洁和适用医院内外不同临床救治环境</w:t>
      </w:r>
      <w:r>
        <w:rPr>
          <w:rFonts w:hint="eastAsia" w:ascii="宋体" w:hAnsi="宋体" w:eastAsia="宋体" w:cs="宋体"/>
          <w:kern w:val="0"/>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内置锂电池供电，支持</w:t>
      </w:r>
      <w:r>
        <w:rPr>
          <w:rFonts w:hint="eastAsia" w:ascii="宋体" w:hAnsi="宋体" w:eastAsia="宋体" w:cs="宋体"/>
          <w:kern w:val="0"/>
          <w:szCs w:val="21"/>
        </w:rPr>
        <w:t>≥</w:t>
      </w:r>
      <w:r>
        <w:rPr>
          <w:rFonts w:hint="eastAsia" w:ascii="宋体" w:hAnsi="宋体" w:eastAsia="宋体" w:cs="宋体"/>
          <w:szCs w:val="21"/>
        </w:rPr>
        <w:t>5小时的持续监测</w:t>
      </w:r>
      <w:r>
        <w:rPr>
          <w:rFonts w:hint="eastAsia" w:ascii="宋体" w:hAnsi="宋体" w:eastAsia="宋体" w:cs="宋体"/>
          <w:kern w:val="0"/>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内置DC电源接口，可以进行车载充电</w:t>
      </w:r>
      <w:r>
        <w:rPr>
          <w:rFonts w:hint="eastAsia" w:ascii="宋体" w:hAnsi="宋体" w:eastAsia="宋体" w:cs="宋体"/>
          <w:kern w:val="0"/>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具备3/5导心电，阻抗呼吸，血氧、无创血压、2通道体温</w:t>
      </w:r>
      <w:r>
        <w:rPr>
          <w:rFonts w:hint="eastAsia" w:ascii="宋体" w:hAnsi="宋体" w:eastAsia="宋体" w:cs="宋体"/>
          <w:kern w:val="0"/>
          <w:szCs w:val="21"/>
        </w:rPr>
        <w:t>。</w:t>
      </w:r>
      <w:r>
        <w:rPr>
          <w:rFonts w:hint="eastAsia" w:ascii="宋体" w:hAnsi="宋体" w:eastAsia="宋体" w:cs="宋体"/>
          <w:szCs w:val="21"/>
        </w:rPr>
        <w:t xml:space="preserve"> </w:t>
      </w:r>
    </w:p>
    <w:p>
      <w:pPr>
        <w:pStyle w:val="15"/>
        <w:numPr>
          <w:ilvl w:val="0"/>
          <w:numId w:val="4"/>
        </w:numPr>
        <w:tabs>
          <w:tab w:val="left" w:pos="704"/>
        </w:tabs>
        <w:autoSpaceDE w:val="0"/>
        <w:autoSpaceDN w:val="0"/>
        <w:adjustRightInd w:val="0"/>
        <w:ind w:left="704" w:hanging="420" w:firstLineChars="0"/>
        <w:rPr>
          <w:rFonts w:ascii="宋体" w:hAnsi="宋体" w:eastAsia="宋体" w:cs="宋体"/>
          <w:szCs w:val="21"/>
        </w:rPr>
      </w:pPr>
      <w:r>
        <w:rPr>
          <w:rFonts w:hint="eastAsia" w:ascii="宋体" w:hAnsi="宋体" w:eastAsia="宋体" w:cs="宋体"/>
          <w:szCs w:val="21"/>
        </w:rPr>
        <w:t>转运监护仪支持插入床旁监护仪插槽作为参数模块使用，即插即用。</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具有多导心电监护算法，同步分析</w:t>
      </w:r>
      <w:r>
        <w:rPr>
          <w:rFonts w:hint="eastAsia" w:ascii="宋体" w:hAnsi="宋体" w:eastAsia="宋体" w:cs="宋体"/>
          <w:kern w:val="0"/>
          <w:szCs w:val="21"/>
        </w:rPr>
        <w:t>≥</w:t>
      </w:r>
      <w:r>
        <w:rPr>
          <w:rFonts w:hint="eastAsia" w:ascii="宋体" w:hAnsi="宋体" w:eastAsia="宋体" w:cs="宋体"/>
          <w:szCs w:val="21"/>
        </w:rPr>
        <w:t>4通道心电波形。</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心率测量范围：成人15-300 bpm，小儿/新生儿15-350bpm。</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波速提供50mm/s，25 mm/s、12.5 mm/s、6.25 mm/s可选。</w:t>
      </w:r>
    </w:p>
    <w:p>
      <w:pPr>
        <w:pStyle w:val="15"/>
        <w:numPr>
          <w:ilvl w:val="0"/>
          <w:numId w:val="4"/>
        </w:numPr>
        <w:ind w:firstLineChars="0"/>
        <w:rPr>
          <w:rFonts w:ascii="宋体" w:hAnsi="宋体" w:eastAsia="宋体" w:cs="宋体"/>
          <w:szCs w:val="21"/>
        </w:rPr>
      </w:pPr>
      <w:r>
        <w:rPr>
          <w:rFonts w:hint="eastAsia" w:ascii="宋体" w:hAnsi="宋体" w:eastAsia="宋体" w:cs="宋体"/>
          <w:sz w:val="24"/>
          <w:szCs w:val="24"/>
        </w:rPr>
        <w:t>▲</w:t>
      </w:r>
      <w:r>
        <w:rPr>
          <w:rFonts w:hint="eastAsia" w:ascii="宋体" w:hAnsi="宋体" w:eastAsia="宋体" w:cs="宋体"/>
          <w:szCs w:val="21"/>
        </w:rPr>
        <w:t>滤波模式提供诊断模式（0.05-150Hz），监护模式（0.5-40Hz），ST模式（0.05- 40Hz），手术模式（1-20Hz）</w:t>
      </w:r>
      <w:r>
        <w:rPr>
          <w:rFonts w:ascii="宋体" w:hAnsi="宋体" w:eastAsia="宋体" w:cs="宋体"/>
          <w:szCs w:val="24"/>
        </w:rPr>
        <w:t>（提供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r>
        <w:rPr>
          <w:rFonts w:hint="eastAsia" w:ascii="宋体" w:hAnsi="宋体" w:eastAsia="宋体" w:cs="宋体"/>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支持房颤及室上性心律失常分析功能，如：室上性心动过速，SVCs/min等，标配支持≥25种实时心律失常分析</w:t>
      </w:r>
      <w:r>
        <w:rPr>
          <w:rFonts w:ascii="宋体" w:hAnsi="宋体" w:eastAsia="宋体" w:cs="宋体"/>
          <w:szCs w:val="24"/>
        </w:rPr>
        <w:t>（提供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r>
        <w:rPr>
          <w:rFonts w:hint="eastAsia" w:ascii="宋体" w:hAnsi="宋体" w:eastAsia="宋体" w:cs="宋体"/>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提供ST段分析，提供显示和存储ST值和每个ST的模板</w:t>
      </w:r>
      <w:r>
        <w:rPr>
          <w:rFonts w:hint="eastAsia" w:ascii="宋体" w:hAnsi="宋体" w:eastAsia="宋体" w:cs="宋体"/>
          <w:kern w:val="0"/>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具有QT/QTc测量功能，提供QT，QTc和ΔQTc参数值。</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IBP测量范围：-50–360mmHg，支持实时PPV测量</w:t>
      </w:r>
      <w:r>
        <w:rPr>
          <w:rFonts w:hint="eastAsia" w:ascii="宋体" w:hAnsi="宋体" w:eastAsia="宋体" w:cs="宋体"/>
          <w:kern w:val="0"/>
          <w:szCs w:val="21"/>
        </w:rPr>
        <w:t>。</w:t>
      </w:r>
    </w:p>
    <w:p>
      <w:pPr>
        <w:pStyle w:val="15"/>
        <w:numPr>
          <w:ilvl w:val="0"/>
          <w:numId w:val="4"/>
        </w:numPr>
        <w:ind w:firstLineChars="0"/>
        <w:rPr>
          <w:rFonts w:ascii="宋体" w:hAnsi="宋体" w:eastAsia="宋体" w:cs="宋体"/>
          <w:szCs w:val="21"/>
        </w:rPr>
      </w:pPr>
      <w:r>
        <w:rPr>
          <w:rFonts w:hint="eastAsia" w:ascii="宋体" w:hAnsi="宋体" w:eastAsia="宋体" w:cs="宋体"/>
          <w:kern w:val="0"/>
          <w:szCs w:val="21"/>
        </w:rPr>
        <w:t>≥</w:t>
      </w:r>
      <w:r>
        <w:rPr>
          <w:rFonts w:hint="eastAsia" w:ascii="宋体" w:hAnsi="宋体" w:eastAsia="宋体" w:cs="宋体"/>
          <w:szCs w:val="21"/>
        </w:rPr>
        <w:t>800条事件回顾。每条报警事件至少能够存储32秒三道相关波形，以及报警触发时所有测量参数值。</w:t>
      </w:r>
    </w:p>
    <w:p>
      <w:pPr>
        <w:pStyle w:val="15"/>
        <w:numPr>
          <w:ilvl w:val="0"/>
          <w:numId w:val="4"/>
        </w:numPr>
        <w:ind w:firstLineChars="0"/>
        <w:rPr>
          <w:rFonts w:ascii="宋体" w:hAnsi="宋体" w:eastAsia="宋体" w:cs="宋体"/>
          <w:szCs w:val="21"/>
        </w:rPr>
      </w:pPr>
      <w:r>
        <w:rPr>
          <w:rFonts w:hint="eastAsia" w:ascii="宋体" w:hAnsi="宋体" w:eastAsia="宋体" w:cs="宋体"/>
          <w:kern w:val="0"/>
          <w:szCs w:val="21"/>
        </w:rPr>
        <w:t>≥</w:t>
      </w:r>
      <w:r>
        <w:rPr>
          <w:rFonts w:hint="eastAsia" w:ascii="宋体" w:hAnsi="宋体" w:eastAsia="宋体" w:cs="宋体"/>
          <w:szCs w:val="21"/>
        </w:rPr>
        <w:t>800条NIBP测量结果回顾。</w:t>
      </w:r>
    </w:p>
    <w:p>
      <w:pPr>
        <w:pStyle w:val="15"/>
        <w:numPr>
          <w:ilvl w:val="0"/>
          <w:numId w:val="4"/>
        </w:numPr>
        <w:ind w:firstLineChars="0"/>
        <w:rPr>
          <w:rFonts w:ascii="宋体" w:hAnsi="宋体" w:eastAsia="宋体" w:cs="宋体"/>
          <w:szCs w:val="21"/>
        </w:rPr>
      </w:pPr>
      <w:r>
        <w:rPr>
          <w:rFonts w:hint="eastAsia" w:ascii="宋体" w:hAnsi="宋体" w:eastAsia="宋体" w:cs="宋体"/>
          <w:kern w:val="0"/>
          <w:szCs w:val="21"/>
        </w:rPr>
        <w:t>≥</w:t>
      </w:r>
      <w:r>
        <w:rPr>
          <w:rFonts w:hint="eastAsia" w:ascii="宋体" w:hAnsi="宋体" w:eastAsia="宋体" w:cs="宋体"/>
          <w:szCs w:val="21"/>
        </w:rPr>
        <w:t>40小时全息波形回顾。</w:t>
      </w:r>
    </w:p>
    <w:p>
      <w:pPr>
        <w:pStyle w:val="15"/>
        <w:numPr>
          <w:ilvl w:val="0"/>
          <w:numId w:val="4"/>
        </w:numPr>
        <w:ind w:firstLineChars="0"/>
        <w:rPr>
          <w:rFonts w:ascii="宋体" w:hAnsi="宋体" w:eastAsia="宋体" w:cs="宋体"/>
          <w:szCs w:val="21"/>
        </w:rPr>
      </w:pPr>
      <w:r>
        <w:rPr>
          <w:rFonts w:hint="eastAsia" w:ascii="宋体" w:hAnsi="宋体" w:eastAsia="宋体" w:cs="宋体"/>
          <w:kern w:val="0"/>
          <w:szCs w:val="21"/>
        </w:rPr>
        <w:t>≥</w:t>
      </w:r>
      <w:r>
        <w:rPr>
          <w:rFonts w:hint="eastAsia" w:ascii="宋体" w:hAnsi="宋体" w:eastAsia="宋体" w:cs="宋体"/>
          <w:szCs w:val="21"/>
        </w:rPr>
        <w:t>100小时趋势数据回顾。</w:t>
      </w:r>
    </w:p>
    <w:p>
      <w:pPr>
        <w:pStyle w:val="15"/>
        <w:numPr>
          <w:ilvl w:val="0"/>
          <w:numId w:val="4"/>
        </w:numPr>
        <w:ind w:firstLineChars="0"/>
        <w:rPr>
          <w:rFonts w:ascii="宋体" w:hAnsi="宋体" w:eastAsia="宋体" w:cs="宋体"/>
          <w:szCs w:val="21"/>
        </w:rPr>
      </w:pPr>
      <w:r>
        <w:rPr>
          <w:rFonts w:hint="eastAsia" w:ascii="宋体" w:hAnsi="宋体" w:eastAsia="宋体" w:cs="宋体"/>
          <w:szCs w:val="21"/>
        </w:rPr>
        <w:t>产品设计使用年限</w:t>
      </w:r>
      <w:r>
        <w:rPr>
          <w:rFonts w:hint="eastAsia" w:ascii="宋体" w:hAnsi="宋体" w:eastAsia="宋体" w:cs="宋体"/>
          <w:kern w:val="0"/>
          <w:szCs w:val="21"/>
        </w:rPr>
        <w:t>≥10年</w:t>
      </w:r>
      <w:r>
        <w:rPr>
          <w:rFonts w:hint="eastAsia" w:ascii="宋体" w:hAnsi="宋体" w:eastAsia="宋体" w:cs="宋体"/>
          <w:szCs w:val="24"/>
        </w:rPr>
        <w:t>，并要求设备铭牌照片佐证</w:t>
      </w:r>
      <w:r>
        <w:rPr>
          <w:rFonts w:hint="eastAsia" w:ascii="宋体" w:hAnsi="宋体" w:eastAsia="宋体" w:cs="宋体"/>
          <w:kern w:val="0"/>
          <w:szCs w:val="21"/>
        </w:rPr>
        <w:t>。</w:t>
      </w:r>
    </w:p>
    <w:p>
      <w:pPr>
        <w:spacing w:line="360" w:lineRule="auto"/>
        <w:jc w:val="center"/>
        <w:rPr>
          <w:rFonts w:ascii="宋体" w:hAnsi="宋体" w:eastAsia="宋体" w:cs="宋体"/>
          <w:b/>
          <w:color w:val="000000"/>
          <w:szCs w:val="21"/>
        </w:rPr>
      </w:pPr>
      <w:r>
        <w:rPr>
          <w:rFonts w:hint="eastAsia" w:ascii="宋体" w:hAnsi="宋体" w:eastAsia="宋体" w:cs="宋体"/>
          <w:b/>
          <w:szCs w:val="21"/>
        </w:rPr>
        <w:t>转运监护仪</w:t>
      </w:r>
      <w:r>
        <w:rPr>
          <w:rFonts w:hint="eastAsia" w:ascii="宋体" w:hAnsi="宋体" w:eastAsia="宋体" w:cs="宋体"/>
          <w:b/>
          <w:color w:val="000000"/>
          <w:szCs w:val="21"/>
        </w:rPr>
        <w:t xml:space="preserve"> 配置清单</w:t>
      </w:r>
      <w:r>
        <w:rPr>
          <w:rFonts w:hint="eastAsia" w:ascii="宋体" w:hAnsi="宋体" w:eastAsia="宋体" w:cs="宋体"/>
          <w:b/>
          <w:bCs/>
          <w:sz w:val="22"/>
          <w:szCs w:val="28"/>
        </w:rPr>
        <w:t>（不限于）</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3997"/>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序号</w:t>
            </w:r>
          </w:p>
        </w:tc>
        <w:tc>
          <w:tcPr>
            <w:tcW w:w="3997"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名称</w:t>
            </w:r>
          </w:p>
        </w:tc>
        <w:tc>
          <w:tcPr>
            <w:tcW w:w="1883"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1</w:t>
            </w:r>
          </w:p>
        </w:tc>
        <w:tc>
          <w:tcPr>
            <w:tcW w:w="3997" w:type="dxa"/>
          </w:tcPr>
          <w:p>
            <w:pPr>
              <w:spacing w:line="360" w:lineRule="auto"/>
              <w:jc w:val="left"/>
              <w:rPr>
                <w:rFonts w:ascii="宋体" w:hAnsi="宋体" w:eastAsia="宋体" w:cs="宋体"/>
                <w:szCs w:val="21"/>
              </w:rPr>
            </w:pPr>
            <w:r>
              <w:rPr>
                <w:rFonts w:ascii="宋体" w:hAnsi="宋体" w:eastAsia="宋体" w:cs="宋体"/>
                <w:szCs w:val="21"/>
              </w:rPr>
              <w:t>监护仪</w:t>
            </w:r>
            <w:r>
              <w:rPr>
                <w:rFonts w:hint="eastAsia" w:ascii="宋体" w:hAnsi="宋体" w:eastAsia="宋体" w:cs="宋体"/>
                <w:szCs w:val="21"/>
              </w:rPr>
              <w:t>主机</w:t>
            </w:r>
          </w:p>
        </w:tc>
        <w:tc>
          <w:tcPr>
            <w:tcW w:w="1883" w:type="dxa"/>
          </w:tcPr>
          <w:p>
            <w:pPr>
              <w:spacing w:line="360" w:lineRule="auto"/>
              <w:jc w:val="center"/>
              <w:rPr>
                <w:rFonts w:ascii="宋体" w:hAnsi="宋体" w:eastAsia="宋体" w:cs="宋体"/>
                <w:szCs w:val="21"/>
              </w:rPr>
            </w:pPr>
            <w:r>
              <w:rPr>
                <w:rFonts w:hint="eastAsia" w:ascii="宋体" w:hAnsi="宋体" w:eastAsia="宋体" w:cs="宋体"/>
                <w:szCs w:val="21"/>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2</w:t>
            </w:r>
          </w:p>
        </w:tc>
        <w:tc>
          <w:tcPr>
            <w:tcW w:w="3997" w:type="dxa"/>
          </w:tcPr>
          <w:p>
            <w:pPr>
              <w:spacing w:line="360" w:lineRule="auto"/>
              <w:jc w:val="left"/>
              <w:rPr>
                <w:rFonts w:ascii="宋体" w:hAnsi="宋体" w:eastAsia="宋体" w:cs="宋体"/>
                <w:szCs w:val="21"/>
              </w:rPr>
            </w:pPr>
            <w:r>
              <w:rPr>
                <w:rFonts w:hint="eastAsia" w:ascii="宋体" w:hAnsi="宋体" w:eastAsia="宋体" w:cs="宋体"/>
                <w:szCs w:val="21"/>
              </w:rPr>
              <w:t>无创血压导气管</w:t>
            </w:r>
          </w:p>
        </w:tc>
        <w:tc>
          <w:tcPr>
            <w:tcW w:w="1883" w:type="dxa"/>
          </w:tcPr>
          <w:p>
            <w:pPr>
              <w:spacing w:line="360" w:lineRule="auto"/>
              <w:jc w:val="center"/>
              <w:rPr>
                <w:rFonts w:ascii="宋体" w:hAnsi="宋体" w:eastAsia="宋体" w:cs="宋体"/>
                <w:szCs w:val="21"/>
              </w:rPr>
            </w:pPr>
            <w:r>
              <w:rPr>
                <w:rFonts w:hint="eastAsia" w:ascii="宋体" w:hAnsi="宋体" w:eastAsia="宋体" w:cs="宋体"/>
                <w:szCs w:val="21"/>
              </w:rPr>
              <w:t>1块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3</w:t>
            </w:r>
          </w:p>
        </w:tc>
        <w:tc>
          <w:tcPr>
            <w:tcW w:w="3997" w:type="dxa"/>
          </w:tcPr>
          <w:p>
            <w:pPr>
              <w:spacing w:line="360" w:lineRule="auto"/>
              <w:jc w:val="left"/>
              <w:rPr>
                <w:rFonts w:ascii="宋体" w:hAnsi="宋体" w:eastAsia="宋体" w:cs="宋体"/>
                <w:szCs w:val="21"/>
              </w:rPr>
            </w:pPr>
            <w:r>
              <w:rPr>
                <w:rFonts w:hint="eastAsia" w:ascii="宋体" w:hAnsi="宋体" w:eastAsia="宋体" w:cs="宋体"/>
                <w:szCs w:val="21"/>
              </w:rPr>
              <w:t>血压袖带</w:t>
            </w:r>
          </w:p>
        </w:tc>
        <w:tc>
          <w:tcPr>
            <w:tcW w:w="1883" w:type="dxa"/>
          </w:tcPr>
          <w:p>
            <w:pPr>
              <w:spacing w:line="360" w:lineRule="auto"/>
              <w:jc w:val="center"/>
              <w:rPr>
                <w:rFonts w:ascii="宋体" w:hAnsi="宋体" w:eastAsia="宋体" w:cs="宋体"/>
                <w:szCs w:val="21"/>
              </w:rPr>
            </w:pPr>
            <w:r>
              <w:rPr>
                <w:rFonts w:hint="eastAsia" w:ascii="宋体" w:hAnsi="宋体" w:eastAsia="宋体" w:cs="宋体"/>
                <w:szCs w:val="21"/>
              </w:rPr>
              <w:t>3套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4</w:t>
            </w:r>
          </w:p>
        </w:tc>
        <w:tc>
          <w:tcPr>
            <w:tcW w:w="3997" w:type="dxa"/>
          </w:tcPr>
          <w:p>
            <w:pPr>
              <w:spacing w:line="360" w:lineRule="auto"/>
              <w:jc w:val="left"/>
              <w:rPr>
                <w:rFonts w:ascii="宋体" w:hAnsi="宋体" w:eastAsia="宋体" w:cs="宋体"/>
                <w:szCs w:val="21"/>
              </w:rPr>
            </w:pPr>
            <w:r>
              <w:rPr>
                <w:rFonts w:hint="eastAsia" w:ascii="宋体" w:hAnsi="宋体" w:eastAsia="宋体" w:cs="宋体"/>
                <w:szCs w:val="21"/>
              </w:rPr>
              <w:t>心电组件</w:t>
            </w:r>
          </w:p>
        </w:tc>
        <w:tc>
          <w:tcPr>
            <w:tcW w:w="1883" w:type="dxa"/>
          </w:tcPr>
          <w:p>
            <w:pPr>
              <w:spacing w:line="360" w:lineRule="auto"/>
              <w:jc w:val="center"/>
              <w:rPr>
                <w:rFonts w:ascii="宋体" w:hAnsi="宋体" w:eastAsia="宋体" w:cs="宋体"/>
                <w:szCs w:val="21"/>
              </w:rPr>
            </w:pPr>
            <w:r>
              <w:rPr>
                <w:rFonts w:hint="eastAsia" w:ascii="宋体" w:hAnsi="宋体" w:eastAsia="宋体" w:cs="宋体"/>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5</w:t>
            </w:r>
          </w:p>
        </w:tc>
        <w:tc>
          <w:tcPr>
            <w:tcW w:w="3997" w:type="dxa"/>
          </w:tcPr>
          <w:p>
            <w:pPr>
              <w:spacing w:line="360" w:lineRule="auto"/>
              <w:jc w:val="left"/>
              <w:rPr>
                <w:rFonts w:ascii="宋体" w:hAnsi="宋体" w:eastAsia="宋体" w:cs="宋体"/>
                <w:szCs w:val="21"/>
              </w:rPr>
            </w:pPr>
            <w:r>
              <w:rPr>
                <w:rFonts w:hint="eastAsia" w:ascii="宋体" w:hAnsi="宋体" w:eastAsia="宋体" w:cs="宋体"/>
                <w:szCs w:val="21"/>
              </w:rPr>
              <w:t>血氧组件</w:t>
            </w:r>
          </w:p>
        </w:tc>
        <w:tc>
          <w:tcPr>
            <w:tcW w:w="1883" w:type="dxa"/>
          </w:tcPr>
          <w:p>
            <w:pPr>
              <w:spacing w:line="360" w:lineRule="auto"/>
              <w:jc w:val="center"/>
              <w:rPr>
                <w:rFonts w:ascii="宋体" w:hAnsi="宋体" w:eastAsia="宋体" w:cs="宋体"/>
                <w:szCs w:val="21"/>
              </w:rPr>
            </w:pPr>
            <w:r>
              <w:rPr>
                <w:rFonts w:hint="eastAsia" w:ascii="宋体" w:hAnsi="宋体" w:eastAsia="宋体" w:cs="宋体"/>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6</w:t>
            </w:r>
          </w:p>
        </w:tc>
        <w:tc>
          <w:tcPr>
            <w:tcW w:w="3997" w:type="dxa"/>
          </w:tcPr>
          <w:p>
            <w:pPr>
              <w:spacing w:line="360" w:lineRule="auto"/>
              <w:jc w:val="left"/>
              <w:rPr>
                <w:rFonts w:ascii="宋体" w:hAnsi="宋体" w:eastAsia="宋体" w:cs="宋体"/>
                <w:szCs w:val="21"/>
              </w:rPr>
            </w:pPr>
            <w:r>
              <w:rPr>
                <w:rFonts w:hint="eastAsia" w:ascii="宋体" w:hAnsi="宋体" w:eastAsia="宋体" w:cs="宋体"/>
                <w:szCs w:val="21"/>
              </w:rPr>
              <w:t>手柄</w:t>
            </w:r>
          </w:p>
        </w:tc>
        <w:tc>
          <w:tcPr>
            <w:tcW w:w="1883" w:type="dxa"/>
          </w:tcPr>
          <w:p>
            <w:pPr>
              <w:spacing w:line="360" w:lineRule="auto"/>
              <w:jc w:val="center"/>
              <w:rPr>
                <w:rFonts w:ascii="宋体" w:hAnsi="宋体" w:eastAsia="宋体" w:cs="宋体"/>
                <w:szCs w:val="21"/>
              </w:rPr>
            </w:pPr>
            <w:r>
              <w:rPr>
                <w:rFonts w:hint="eastAsia" w:ascii="宋体" w:hAnsi="宋体" w:eastAsia="宋体" w:cs="宋体"/>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ascii="宋体" w:hAnsi="宋体" w:eastAsia="宋体" w:cs="宋体"/>
                <w:b/>
                <w:color w:val="000000"/>
                <w:szCs w:val="21"/>
              </w:rPr>
              <w:t>7</w:t>
            </w:r>
          </w:p>
        </w:tc>
        <w:tc>
          <w:tcPr>
            <w:tcW w:w="3997" w:type="dxa"/>
          </w:tcPr>
          <w:p>
            <w:pPr>
              <w:spacing w:line="360" w:lineRule="auto"/>
              <w:jc w:val="left"/>
              <w:rPr>
                <w:rFonts w:ascii="宋体" w:hAnsi="宋体" w:eastAsia="宋体" w:cs="宋体"/>
                <w:szCs w:val="21"/>
              </w:rPr>
            </w:pPr>
            <w:r>
              <w:rPr>
                <w:rFonts w:ascii="宋体" w:hAnsi="宋体" w:eastAsia="宋体" w:cs="宋体"/>
                <w:szCs w:val="21"/>
              </w:rPr>
              <w:t>锂电池</w:t>
            </w:r>
          </w:p>
        </w:tc>
        <w:tc>
          <w:tcPr>
            <w:tcW w:w="1883" w:type="dxa"/>
          </w:tcPr>
          <w:p>
            <w:pPr>
              <w:spacing w:line="360" w:lineRule="auto"/>
              <w:jc w:val="center"/>
              <w:rPr>
                <w:rFonts w:ascii="宋体" w:hAnsi="宋体" w:eastAsia="宋体" w:cs="宋体"/>
                <w:szCs w:val="21"/>
              </w:rPr>
            </w:pPr>
            <w:r>
              <w:rPr>
                <w:rFonts w:ascii="宋体" w:hAnsi="宋体" w:eastAsia="宋体" w:cs="宋体"/>
                <w:szCs w:val="21"/>
              </w:rPr>
              <w:t>1块</w:t>
            </w:r>
          </w:p>
        </w:tc>
      </w:tr>
    </w:tbl>
    <w:p>
      <w:pPr>
        <w:spacing w:line="360" w:lineRule="auto"/>
        <w:rPr>
          <w:rFonts w:ascii="宋体" w:hAnsi="宋体" w:eastAsia="宋体" w:cs="宋体"/>
          <w:b/>
          <w:bCs/>
          <w:color w:val="FF0000"/>
          <w:sz w:val="24"/>
          <w:szCs w:val="24"/>
        </w:rPr>
      </w:pPr>
    </w:p>
    <w:p>
      <w:pPr>
        <w:spacing w:line="360" w:lineRule="auto"/>
        <w:rPr>
          <w:rFonts w:ascii="宋体" w:hAnsi="宋体" w:eastAsia="宋体" w:cs="宋体"/>
          <w:b/>
          <w:bCs/>
          <w:color w:val="FF0000"/>
          <w:sz w:val="24"/>
          <w:szCs w:val="24"/>
        </w:rPr>
      </w:pPr>
      <w:r>
        <w:rPr>
          <w:rFonts w:ascii="宋体" w:hAnsi="宋体" w:eastAsia="宋体" w:cs="宋体"/>
          <w:b/>
          <w:bCs/>
          <w:color w:val="FF0000"/>
          <w:sz w:val="24"/>
          <w:szCs w:val="24"/>
        </w:rPr>
        <w:t>清单</w:t>
      </w:r>
      <w:r>
        <w:rPr>
          <w:rFonts w:hint="eastAsia" w:ascii="宋体" w:hAnsi="宋体" w:eastAsia="宋体" w:cs="宋体"/>
          <w:b/>
          <w:bCs/>
          <w:color w:val="FF0000"/>
          <w:sz w:val="24"/>
          <w:szCs w:val="24"/>
        </w:rPr>
        <w:t>3 中央监护工作站</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应用于普通病房、急诊、重症、手术室、亚重症病房。</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中心监护系统可支持参数监测ECG，ST,QT/QTc，RESP，SPO2，PR，TEMP，NIBP，IBP,C.0., CCO, Sev02, ICG, BIS, RM, C02, AG, EEG, NMT, rS02, TeGas。</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支持设备集成参数的监测。</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中央站至少支持64床病人集中管理。</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显示器尺寸不小于21寸，单个显示屏不少于36个病人信息。</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支持至少1万个历史病人数据存储与回顾;</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中心监护系统支持有线、无线、遥测多元化的组网方式，中心监护网络中支持床旁设备互连。</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支持数据断网续传功能，至少保证断网48小时内，数据不丢失，具备至少240小时数据存储。</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具备报警记录/打印功能。</w:t>
      </w:r>
    </w:p>
    <w:p>
      <w:pPr>
        <w:pStyle w:val="15"/>
        <w:numPr>
          <w:ilvl w:val="0"/>
          <w:numId w:val="5"/>
        </w:numPr>
        <w:ind w:firstLine="420"/>
        <w:rPr>
          <w:rFonts w:ascii="宋体" w:hAnsi="宋体" w:eastAsia="宋体" w:cs="宋体"/>
          <w:szCs w:val="21"/>
        </w:rPr>
      </w:pPr>
      <w:r>
        <w:rPr>
          <w:rFonts w:ascii="宋体" w:hAnsi="宋体" w:eastAsia="宋体" w:cs="宋体"/>
          <w:szCs w:val="21"/>
        </w:rPr>
        <w:t>数据接口支持HL7、COMEN-CMS协议</w:t>
      </w:r>
      <w:r>
        <w:rPr>
          <w:rFonts w:hint="eastAsia" w:ascii="宋体" w:hAnsi="宋体" w:eastAsia="宋体" w:cs="宋体"/>
          <w:szCs w:val="21"/>
        </w:rPr>
        <w:t>，支持通过协议接口输出设备的信息到</w:t>
      </w:r>
      <w:r>
        <w:rPr>
          <w:rFonts w:ascii="宋体" w:hAnsi="宋体" w:eastAsia="宋体" w:cs="宋体"/>
          <w:szCs w:val="21"/>
        </w:rPr>
        <w:t>移动护理</w:t>
      </w:r>
      <w:r>
        <w:rPr>
          <w:rFonts w:hint="eastAsia" w:ascii="宋体" w:hAnsi="宋体" w:eastAsia="宋体" w:cs="宋体"/>
          <w:szCs w:val="21"/>
        </w:rPr>
        <w:t>信息系统。</w:t>
      </w:r>
    </w:p>
    <w:p>
      <w:pPr>
        <w:pStyle w:val="15"/>
        <w:numPr>
          <w:ilvl w:val="0"/>
          <w:numId w:val="5"/>
        </w:numPr>
        <w:ind w:firstLine="420"/>
        <w:rPr>
          <w:rFonts w:ascii="宋体" w:hAnsi="宋体" w:eastAsia="宋体" w:cs="宋体"/>
          <w:szCs w:val="21"/>
        </w:rPr>
      </w:pPr>
      <w:r>
        <w:rPr>
          <w:rFonts w:hint="eastAsia" w:ascii="宋体" w:hAnsi="宋体" w:eastAsia="宋体" w:cs="宋体"/>
          <w:szCs w:val="21"/>
        </w:rPr>
        <w:t>配置需求：主机、加密狗、交换机、分屏器、≥42寸电视机、网络</w:t>
      </w:r>
      <w:r>
        <w:rPr>
          <w:rFonts w:ascii="宋体" w:hAnsi="宋体" w:eastAsia="宋体" w:cs="宋体"/>
          <w:szCs w:val="21"/>
        </w:rPr>
        <w:t>布</w:t>
      </w:r>
      <w:r>
        <w:rPr>
          <w:rFonts w:hint="eastAsia" w:ascii="宋体" w:hAnsi="宋体" w:eastAsia="宋体" w:cs="宋体"/>
          <w:szCs w:val="21"/>
        </w:rPr>
        <w:t>线。</w:t>
      </w:r>
    </w:p>
    <w:p>
      <w:pPr>
        <w:spacing w:line="360" w:lineRule="auto"/>
        <w:jc w:val="center"/>
        <w:rPr>
          <w:rFonts w:ascii="宋体" w:hAnsi="宋体" w:eastAsia="宋体" w:cs="宋体"/>
          <w:b/>
          <w:color w:val="000000"/>
          <w:szCs w:val="21"/>
        </w:rPr>
      </w:pPr>
      <w:r>
        <w:rPr>
          <w:rFonts w:hint="eastAsia" w:ascii="宋体" w:hAnsi="宋体" w:eastAsia="宋体" w:cs="宋体"/>
          <w:b/>
          <w:szCs w:val="21"/>
        </w:rPr>
        <w:t>中央监护工作站</w:t>
      </w:r>
      <w:r>
        <w:rPr>
          <w:rFonts w:hint="eastAsia" w:ascii="宋体" w:hAnsi="宋体" w:eastAsia="宋体" w:cs="宋体"/>
          <w:b/>
          <w:color w:val="000000"/>
          <w:szCs w:val="21"/>
        </w:rPr>
        <w:t>配置清单</w:t>
      </w:r>
      <w:r>
        <w:rPr>
          <w:rFonts w:hint="eastAsia" w:ascii="宋体" w:hAnsi="宋体" w:eastAsia="宋体" w:cs="宋体"/>
          <w:b/>
          <w:bCs/>
          <w:sz w:val="22"/>
          <w:szCs w:val="28"/>
        </w:rPr>
        <w:t>（不限于）</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3997"/>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序号</w:t>
            </w:r>
          </w:p>
        </w:tc>
        <w:tc>
          <w:tcPr>
            <w:tcW w:w="3997"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名称</w:t>
            </w:r>
          </w:p>
        </w:tc>
        <w:tc>
          <w:tcPr>
            <w:tcW w:w="1883"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1</w:t>
            </w:r>
          </w:p>
        </w:tc>
        <w:tc>
          <w:tcPr>
            <w:tcW w:w="3997" w:type="dxa"/>
          </w:tcPr>
          <w:p>
            <w:pPr>
              <w:spacing w:line="360" w:lineRule="auto"/>
              <w:jc w:val="left"/>
              <w:rPr>
                <w:rFonts w:ascii="宋体" w:hAnsi="宋体" w:cs="宋体"/>
                <w:b/>
                <w:color w:val="000000"/>
                <w:szCs w:val="21"/>
              </w:rPr>
            </w:pPr>
            <w:r>
              <w:rPr>
                <w:szCs w:val="21"/>
              </w:rPr>
              <w:t>主机</w:t>
            </w:r>
            <w:r>
              <w:rPr>
                <w:rFonts w:hint="eastAsia"/>
                <w:szCs w:val="21"/>
              </w:rPr>
              <w:t>（含工作站软件）</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2</w:t>
            </w:r>
          </w:p>
        </w:tc>
        <w:tc>
          <w:tcPr>
            <w:tcW w:w="3997" w:type="dxa"/>
          </w:tcPr>
          <w:p>
            <w:pPr>
              <w:spacing w:line="360" w:lineRule="auto"/>
              <w:jc w:val="left"/>
              <w:rPr>
                <w:rFonts w:ascii="宋体" w:hAnsi="宋体" w:eastAsia="宋体" w:cs="宋体"/>
                <w:b/>
                <w:color w:val="000000"/>
                <w:szCs w:val="21"/>
              </w:rPr>
            </w:pPr>
            <w:r>
              <w:rPr>
                <w:rFonts w:hint="eastAsia" w:eastAsia="宋体"/>
                <w:szCs w:val="21"/>
              </w:rPr>
              <w:t>交换机</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3</w:t>
            </w:r>
          </w:p>
        </w:tc>
        <w:tc>
          <w:tcPr>
            <w:tcW w:w="3997" w:type="dxa"/>
          </w:tcPr>
          <w:p>
            <w:pPr>
              <w:spacing w:line="360" w:lineRule="auto"/>
              <w:jc w:val="left"/>
              <w:rPr>
                <w:szCs w:val="21"/>
              </w:rPr>
            </w:pPr>
            <w:r>
              <w:rPr>
                <w:rFonts w:hint="eastAsia"/>
                <w:szCs w:val="21"/>
              </w:rPr>
              <w:t>电视机</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4</w:t>
            </w:r>
          </w:p>
        </w:tc>
        <w:tc>
          <w:tcPr>
            <w:tcW w:w="3997" w:type="dxa"/>
          </w:tcPr>
          <w:p>
            <w:pPr>
              <w:spacing w:line="360" w:lineRule="auto"/>
              <w:jc w:val="left"/>
              <w:rPr>
                <w:rFonts w:ascii="宋体" w:hAnsi="宋体" w:eastAsia="宋体" w:cs="宋体"/>
                <w:b/>
                <w:color w:val="000000"/>
                <w:szCs w:val="21"/>
              </w:rPr>
            </w:pPr>
            <w:r>
              <w:rPr>
                <w:rFonts w:hint="eastAsia" w:eastAsia="宋体"/>
                <w:szCs w:val="21"/>
              </w:rPr>
              <w:t>网络布线</w:t>
            </w:r>
          </w:p>
        </w:tc>
        <w:tc>
          <w:tcPr>
            <w:tcW w:w="1883" w:type="dxa"/>
          </w:tcPr>
          <w:p>
            <w:pPr>
              <w:spacing w:line="360" w:lineRule="auto"/>
              <w:jc w:val="center"/>
              <w:rPr>
                <w:rFonts w:ascii="宋体" w:hAnsi="宋体" w:eastAsia="宋体" w:cs="宋体"/>
                <w:bCs/>
                <w:color w:val="000000"/>
                <w:szCs w:val="21"/>
              </w:rPr>
            </w:pPr>
            <w:r>
              <w:rPr>
                <w:rFonts w:ascii="宋体" w:hAnsi="宋体" w:eastAsia="宋体" w:cs="宋体"/>
                <w:bCs/>
                <w:color w:val="000000"/>
                <w:szCs w:val="21"/>
              </w:rPr>
              <w:t>1项（不低于8张床位）</w:t>
            </w:r>
          </w:p>
        </w:tc>
      </w:tr>
    </w:tbl>
    <w:p>
      <w:pPr>
        <w:spacing w:line="360" w:lineRule="auto"/>
        <w:rPr>
          <w:rFonts w:ascii="宋体" w:hAnsi="宋体" w:eastAsia="宋体" w:cs="宋体"/>
          <w:b/>
          <w:bCs/>
          <w:color w:val="FF0000"/>
          <w:sz w:val="24"/>
          <w:szCs w:val="24"/>
        </w:rPr>
      </w:pPr>
      <w:r>
        <w:rPr>
          <w:rFonts w:ascii="宋体" w:hAnsi="宋体" w:eastAsia="宋体" w:cs="宋体"/>
          <w:b/>
          <w:bCs/>
          <w:color w:val="FF0000"/>
          <w:sz w:val="24"/>
          <w:szCs w:val="24"/>
        </w:rPr>
        <w:t>清单</w:t>
      </w:r>
      <w:r>
        <w:rPr>
          <w:rFonts w:hint="eastAsia" w:ascii="宋体" w:hAnsi="宋体" w:eastAsia="宋体" w:cs="宋体"/>
          <w:b/>
          <w:bCs/>
          <w:color w:val="FF0000"/>
          <w:sz w:val="24"/>
          <w:szCs w:val="24"/>
        </w:rPr>
        <w:t>4 高档</w:t>
      </w:r>
      <w:r>
        <w:rPr>
          <w:rFonts w:ascii="宋体" w:hAnsi="宋体" w:eastAsia="宋体" w:cs="宋体"/>
          <w:b/>
          <w:bCs/>
          <w:color w:val="FF0000"/>
          <w:sz w:val="24"/>
          <w:szCs w:val="24"/>
        </w:rPr>
        <w:t>插件式</w:t>
      </w:r>
      <w:r>
        <w:rPr>
          <w:rFonts w:hint="eastAsia" w:ascii="宋体" w:hAnsi="宋体" w:eastAsia="宋体" w:cs="宋体"/>
          <w:b/>
          <w:bCs/>
          <w:color w:val="FF0000"/>
          <w:sz w:val="24"/>
          <w:szCs w:val="24"/>
        </w:rPr>
        <w:t>心电监护仪（含有创血压监测模块）</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模块化插件式床边监护仪，主机、显示屏和插件槽一体化设计，主机插槽数≥6个。</w:t>
      </w:r>
    </w:p>
    <w:p>
      <w:pPr>
        <w:pStyle w:val="15"/>
        <w:numPr>
          <w:ilvl w:val="0"/>
          <w:numId w:val="6"/>
        </w:numPr>
        <w:ind w:firstLineChars="0"/>
        <w:rPr>
          <w:rFonts w:ascii="宋体" w:hAnsi="宋体" w:eastAsia="宋体" w:cs="宋体"/>
          <w:szCs w:val="21"/>
        </w:rPr>
      </w:pPr>
      <w:r>
        <w:rPr>
          <w:rFonts w:hint="eastAsia" w:ascii="宋体" w:hAnsi="宋体" w:eastAsia="宋体" w:cs="宋体"/>
          <w:sz w:val="24"/>
          <w:szCs w:val="24"/>
        </w:rPr>
        <w:t>▲</w:t>
      </w:r>
      <w:r>
        <w:rPr>
          <w:rFonts w:hint="eastAsia" w:ascii="宋体" w:hAnsi="宋体" w:eastAsia="宋体" w:cs="宋体"/>
          <w:szCs w:val="21"/>
        </w:rPr>
        <w:t>监护仪主机（非辅助插件箱）每个槽位均具备插件模块红外通讯接口以及金属硬件通讯接口</w:t>
      </w:r>
      <w:r>
        <w:rPr>
          <w:rFonts w:ascii="宋体" w:hAnsi="宋体" w:eastAsia="宋体" w:cs="宋体"/>
          <w:szCs w:val="24"/>
        </w:rPr>
        <w:t>（提供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r>
        <w:rPr>
          <w:rFonts w:hint="eastAsia" w:ascii="宋体" w:hAnsi="宋体" w:eastAsia="宋体" w:cs="宋体"/>
          <w:szCs w:val="21"/>
        </w:rPr>
        <w:t>。</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≥15英寸彩色电容触摸屏，高分辨率≥1920×1080像素，≥10通道显示，显示屏亮度自动调节，屏幕支持手势滑动操作，支持穿戴医用防护手套操作。</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可内置高能锂电池，供电时间≥2小时。</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配置≥4个USB接口，支持连接存储介质、鼠标、键盘、条码扫描枪等USB设备。</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基本功能模块支持心电，呼吸，心率，无创血压，血氧饱和度，脉搏，双通道体温和双通道有创血压的同时监测。</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ECG支持3/5导心电监测，可选配6/12导联心电监测。</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支持房颤及室上性心律失常分析功能，如：室上性心动过速，SVCs/min等，标配支持≥2</w:t>
      </w:r>
      <w:r>
        <w:rPr>
          <w:rFonts w:ascii="宋体" w:hAnsi="宋体" w:eastAsia="宋体" w:cs="宋体"/>
          <w:szCs w:val="21"/>
        </w:rPr>
        <w:t>5</w:t>
      </w:r>
      <w:r>
        <w:rPr>
          <w:rFonts w:hint="eastAsia" w:ascii="宋体" w:hAnsi="宋体" w:eastAsia="宋体" w:cs="宋体"/>
          <w:szCs w:val="21"/>
        </w:rPr>
        <w:t>种实时心律失常分析</w:t>
      </w:r>
      <w:r>
        <w:rPr>
          <w:rFonts w:ascii="宋体" w:hAnsi="宋体" w:eastAsia="宋体" w:cs="宋体"/>
          <w:szCs w:val="24"/>
        </w:rPr>
        <w:t>（提供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r>
        <w:rPr>
          <w:rFonts w:hint="eastAsia" w:ascii="宋体" w:hAnsi="宋体" w:eastAsia="宋体" w:cs="宋体"/>
          <w:szCs w:val="21"/>
        </w:rPr>
        <w:t>。</w:t>
      </w:r>
    </w:p>
    <w:p>
      <w:pPr>
        <w:pStyle w:val="15"/>
        <w:numPr>
          <w:ilvl w:val="0"/>
          <w:numId w:val="6"/>
        </w:numPr>
        <w:ind w:firstLineChars="0"/>
        <w:rPr>
          <w:rFonts w:ascii="宋体" w:hAnsi="宋体" w:eastAsia="宋体" w:cs="宋体"/>
          <w:szCs w:val="21"/>
        </w:rPr>
      </w:pPr>
      <w:r>
        <w:rPr>
          <w:rFonts w:hint="eastAsia" w:ascii="宋体" w:hAnsi="宋体" w:eastAsia="宋体" w:cs="宋体"/>
          <w:sz w:val="24"/>
          <w:szCs w:val="24"/>
        </w:rPr>
        <w:t>▲</w:t>
      </w:r>
      <w:r>
        <w:rPr>
          <w:rFonts w:hint="eastAsia" w:ascii="宋体" w:hAnsi="宋体" w:eastAsia="宋体" w:cs="宋体"/>
          <w:szCs w:val="21"/>
        </w:rPr>
        <w:t>支持≥3通道心电波形同步分析，可进行多导心电分析</w:t>
      </w:r>
      <w:r>
        <w:rPr>
          <w:rFonts w:ascii="宋体" w:hAnsi="宋体" w:eastAsia="宋体" w:cs="宋体"/>
          <w:szCs w:val="24"/>
        </w:rPr>
        <w:t>（提供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r>
        <w:rPr>
          <w:rFonts w:hint="eastAsia" w:ascii="宋体" w:hAnsi="宋体" w:eastAsia="宋体" w:cs="宋体"/>
          <w:szCs w:val="21"/>
        </w:rPr>
        <w:t>。</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提供ST段分析功能，适用于成人，小儿和新生儿，支持在专门的窗口中分组显示心脏前壁，下壁和侧壁的ST实时片段和参考片段。</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支持RR呼吸率测量，测量范围：1～200rpm。</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具有QT/QTc实时连续测量功能，提供QT，QTc和ΔQTc参数值的显示。</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无创血压提供手动、自动间隔、连续、序列、整点五种测量模式。</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提供辅助静脉穿刺功能。</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NIBP 成人病人类型收缩压测量：25～290mmHg。</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提供灌注指数（PI）的监测。</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配置指套式血氧探头，支持浸泡清洁与消毒，防水等级IPx7。</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支持双通道有创压IBP监测，支持升级多达6通道有创压监测。</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IBP有创压测量范围：-50～360mmHg。</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提供肺动脉锲压（PAWP）的监测和PPV参数监测。</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配有主流、旁流、微流EtCO2监测模块，旁流EtCO2监测模块支持升级顺磁氧监测技术进行氧气监测，水槽要求易用快速更换。</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具备参数组合报警功能，可对患者同时多个参数变化给出统一报警提示，预示病人不同生理系统状态改变，提供≥10个预设组合报警，并允许自定义≥10个组合报警。</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支持≥100小时趋势表和趋势图回顾，最小分辨率1分钟。</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支持≥800条事件回顾。每条报警事件至少能够存储32秒三道相关波形，以及报警触发时所有测量参数值。</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具备≥40小时全息波形的存储与回顾功能。</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支持≥100小时ST波形片段的存储与回顾。</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支持中心监护系统，实现护士站的集中管理。</w:t>
      </w:r>
    </w:p>
    <w:p>
      <w:pPr>
        <w:pStyle w:val="15"/>
        <w:numPr>
          <w:ilvl w:val="0"/>
          <w:numId w:val="6"/>
        </w:numPr>
        <w:ind w:firstLineChars="0"/>
        <w:rPr>
          <w:rFonts w:ascii="宋体" w:hAnsi="宋体" w:eastAsia="宋体" w:cs="宋体"/>
          <w:szCs w:val="21"/>
        </w:rPr>
      </w:pPr>
      <w:r>
        <w:rPr>
          <w:rFonts w:hint="eastAsia" w:ascii="宋体" w:hAnsi="宋体" w:eastAsia="宋体" w:cs="宋体"/>
          <w:szCs w:val="21"/>
        </w:rPr>
        <w:t>产品设计使用年限≥10年</w:t>
      </w:r>
      <w:r>
        <w:rPr>
          <w:rFonts w:hint="eastAsia" w:ascii="宋体" w:hAnsi="宋体" w:eastAsia="宋体" w:cs="宋体"/>
          <w:szCs w:val="24"/>
        </w:rPr>
        <w:t>，并要求设备铭牌照片佐证</w:t>
      </w:r>
      <w:r>
        <w:rPr>
          <w:rFonts w:hint="eastAsia" w:ascii="宋体" w:hAnsi="宋体" w:eastAsia="宋体" w:cs="宋体"/>
          <w:szCs w:val="21"/>
        </w:rPr>
        <w:t>。</w:t>
      </w:r>
    </w:p>
    <w:p>
      <w:pPr>
        <w:spacing w:line="360" w:lineRule="auto"/>
        <w:jc w:val="center"/>
        <w:rPr>
          <w:rFonts w:ascii="宋体" w:hAnsi="宋体" w:eastAsia="宋体" w:cs="宋体"/>
          <w:b/>
          <w:color w:val="000000"/>
          <w:szCs w:val="21"/>
        </w:rPr>
      </w:pPr>
      <w:r>
        <w:rPr>
          <w:rFonts w:hint="eastAsia" w:ascii="宋体" w:hAnsi="宋体" w:eastAsia="宋体" w:cs="宋体"/>
          <w:b/>
          <w:szCs w:val="21"/>
        </w:rPr>
        <w:t>高端插件式病人</w:t>
      </w:r>
      <w:r>
        <w:rPr>
          <w:rFonts w:hint="eastAsia" w:ascii="宋体" w:hAnsi="宋体" w:eastAsia="宋体" w:cs="宋体"/>
          <w:b/>
          <w:color w:val="000000"/>
          <w:szCs w:val="21"/>
        </w:rPr>
        <w:t>监护仪1配置清单</w:t>
      </w:r>
      <w:r>
        <w:rPr>
          <w:rFonts w:hint="eastAsia" w:ascii="宋体" w:hAnsi="宋体" w:eastAsia="宋体" w:cs="宋体"/>
          <w:b/>
          <w:bCs/>
          <w:sz w:val="22"/>
          <w:szCs w:val="28"/>
        </w:rPr>
        <w:t>（不限于）</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3997"/>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序号</w:t>
            </w:r>
          </w:p>
        </w:tc>
        <w:tc>
          <w:tcPr>
            <w:tcW w:w="3997"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名称</w:t>
            </w:r>
          </w:p>
        </w:tc>
        <w:tc>
          <w:tcPr>
            <w:tcW w:w="1883"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1</w:t>
            </w:r>
          </w:p>
        </w:tc>
        <w:tc>
          <w:tcPr>
            <w:tcW w:w="3997" w:type="dxa"/>
          </w:tcPr>
          <w:p>
            <w:pPr>
              <w:spacing w:line="360" w:lineRule="auto"/>
              <w:jc w:val="left"/>
              <w:rPr>
                <w:rFonts w:ascii="宋体" w:hAnsi="宋体" w:cs="宋体"/>
                <w:b/>
                <w:color w:val="000000"/>
                <w:szCs w:val="21"/>
              </w:rPr>
            </w:pPr>
            <w:r>
              <w:rPr>
                <w:szCs w:val="21"/>
              </w:rPr>
              <w:t>主机</w:t>
            </w:r>
            <w:r>
              <w:rPr>
                <w:rFonts w:hint="eastAsia"/>
                <w:szCs w:val="21"/>
              </w:rPr>
              <w:t>（具备双有创压功能）</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2</w:t>
            </w:r>
          </w:p>
        </w:tc>
        <w:tc>
          <w:tcPr>
            <w:tcW w:w="3997" w:type="dxa"/>
          </w:tcPr>
          <w:p>
            <w:pPr>
              <w:spacing w:line="360" w:lineRule="auto"/>
              <w:jc w:val="left"/>
              <w:rPr>
                <w:rFonts w:ascii="宋体" w:hAnsi="宋体" w:eastAsia="宋体" w:cs="宋体"/>
                <w:b/>
                <w:color w:val="000000"/>
                <w:szCs w:val="21"/>
              </w:rPr>
            </w:pPr>
            <w:r>
              <w:rPr>
                <w:szCs w:val="21"/>
              </w:rPr>
              <w:t>锂电池</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3</w:t>
            </w:r>
          </w:p>
        </w:tc>
        <w:tc>
          <w:tcPr>
            <w:tcW w:w="3997" w:type="dxa"/>
          </w:tcPr>
          <w:p>
            <w:pPr>
              <w:spacing w:line="360" w:lineRule="auto"/>
              <w:jc w:val="left"/>
              <w:rPr>
                <w:szCs w:val="21"/>
              </w:rPr>
            </w:pPr>
            <w:r>
              <w:rPr>
                <w:rFonts w:hint="eastAsia"/>
                <w:szCs w:val="21"/>
              </w:rPr>
              <w:t>无创血压导气管</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4</w:t>
            </w:r>
          </w:p>
        </w:tc>
        <w:tc>
          <w:tcPr>
            <w:tcW w:w="3997" w:type="dxa"/>
          </w:tcPr>
          <w:p>
            <w:pPr>
              <w:spacing w:line="360" w:lineRule="auto"/>
              <w:jc w:val="left"/>
              <w:rPr>
                <w:rFonts w:ascii="宋体" w:hAnsi="宋体" w:eastAsia="宋体" w:cs="宋体"/>
                <w:b/>
                <w:color w:val="000000"/>
                <w:szCs w:val="21"/>
              </w:rPr>
            </w:pPr>
            <w:r>
              <w:rPr>
                <w:szCs w:val="21"/>
              </w:rPr>
              <w:t>血压袖带</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3套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5</w:t>
            </w:r>
          </w:p>
        </w:tc>
        <w:tc>
          <w:tcPr>
            <w:tcW w:w="3997" w:type="dxa"/>
          </w:tcPr>
          <w:p>
            <w:pPr>
              <w:spacing w:line="360" w:lineRule="auto"/>
              <w:jc w:val="left"/>
              <w:rPr>
                <w:rFonts w:ascii="宋体" w:hAnsi="宋体" w:eastAsia="宋体" w:cs="宋体"/>
                <w:b/>
                <w:color w:val="000000"/>
                <w:szCs w:val="21"/>
              </w:rPr>
            </w:pPr>
            <w:r>
              <w:rPr>
                <w:szCs w:val="21"/>
              </w:rPr>
              <w:t>心电组件</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6</w:t>
            </w:r>
          </w:p>
        </w:tc>
        <w:tc>
          <w:tcPr>
            <w:tcW w:w="3997" w:type="dxa"/>
          </w:tcPr>
          <w:p>
            <w:pPr>
              <w:spacing w:line="360" w:lineRule="auto"/>
              <w:jc w:val="left"/>
              <w:rPr>
                <w:rFonts w:ascii="宋体" w:hAnsi="宋体" w:eastAsia="宋体" w:cs="宋体"/>
                <w:b/>
                <w:color w:val="000000"/>
                <w:szCs w:val="21"/>
              </w:rPr>
            </w:pPr>
            <w:r>
              <w:rPr>
                <w:szCs w:val="21"/>
              </w:rPr>
              <w:t>血氧组件</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7</w:t>
            </w:r>
          </w:p>
        </w:tc>
        <w:tc>
          <w:tcPr>
            <w:tcW w:w="3997" w:type="dxa"/>
          </w:tcPr>
          <w:p>
            <w:pPr>
              <w:spacing w:line="360" w:lineRule="auto"/>
              <w:jc w:val="left"/>
              <w:rPr>
                <w:szCs w:val="21"/>
              </w:rPr>
            </w:pPr>
            <w:r>
              <w:rPr>
                <w:szCs w:val="21"/>
              </w:rPr>
              <w:t>台车</w:t>
            </w:r>
            <w:r>
              <w:rPr>
                <w:rFonts w:hint="eastAsia"/>
                <w:szCs w:val="21"/>
              </w:rPr>
              <w:t>或支架</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355" w:type="dxa"/>
          </w:tcPr>
          <w:p>
            <w:pPr>
              <w:spacing w:line="360" w:lineRule="auto"/>
              <w:jc w:val="center"/>
              <w:rPr>
                <w:rFonts w:ascii="宋体" w:hAnsi="宋体" w:eastAsia="宋体" w:cs="宋体"/>
                <w:b/>
                <w:color w:val="000000"/>
                <w:szCs w:val="21"/>
              </w:rPr>
            </w:pPr>
            <w:r>
              <w:rPr>
                <w:rFonts w:ascii="宋体" w:hAnsi="宋体" w:eastAsia="宋体" w:cs="宋体"/>
                <w:b/>
                <w:color w:val="000000"/>
                <w:szCs w:val="21"/>
              </w:rPr>
              <w:t>8</w:t>
            </w:r>
          </w:p>
        </w:tc>
        <w:tc>
          <w:tcPr>
            <w:tcW w:w="3997" w:type="dxa"/>
          </w:tcPr>
          <w:p>
            <w:pPr>
              <w:spacing w:line="360" w:lineRule="auto"/>
              <w:jc w:val="left"/>
              <w:rPr>
                <w:szCs w:val="21"/>
              </w:rPr>
            </w:pPr>
            <w:r>
              <w:rPr>
                <w:rFonts w:hint="eastAsia"/>
                <w:szCs w:val="21"/>
              </w:rPr>
              <w:t>呼末二氧化碳模块</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1个</w:t>
            </w:r>
          </w:p>
        </w:tc>
      </w:tr>
    </w:tbl>
    <w:p>
      <w:pPr>
        <w:spacing w:line="360" w:lineRule="auto"/>
        <w:rPr>
          <w:rFonts w:ascii="宋体" w:hAnsi="宋体" w:eastAsia="宋体" w:cs="宋体"/>
          <w:b/>
          <w:bCs/>
          <w:color w:val="FF0000"/>
          <w:sz w:val="24"/>
          <w:szCs w:val="24"/>
        </w:rPr>
      </w:pPr>
      <w:r>
        <w:rPr>
          <w:rFonts w:ascii="宋体" w:hAnsi="宋体" w:eastAsia="宋体" w:cs="宋体"/>
          <w:b/>
          <w:bCs/>
          <w:color w:val="FF0000"/>
          <w:sz w:val="24"/>
          <w:szCs w:val="24"/>
        </w:rPr>
        <w:t>清单</w:t>
      </w:r>
      <w:r>
        <w:rPr>
          <w:rFonts w:hint="eastAsia" w:ascii="宋体" w:hAnsi="宋体" w:eastAsia="宋体" w:cs="宋体"/>
          <w:b/>
          <w:bCs/>
          <w:color w:val="FF0000"/>
          <w:sz w:val="24"/>
          <w:szCs w:val="24"/>
        </w:rPr>
        <w:t>5</w:t>
      </w:r>
      <w:r>
        <w:rPr>
          <w:rFonts w:ascii="宋体" w:hAnsi="宋体" w:eastAsia="宋体" w:cs="宋体"/>
          <w:b/>
          <w:bCs/>
          <w:color w:val="FF0000"/>
          <w:sz w:val="24"/>
          <w:szCs w:val="24"/>
        </w:rPr>
        <w:t xml:space="preserve"> </w:t>
      </w:r>
      <w:r>
        <w:rPr>
          <w:rFonts w:hint="eastAsia" w:ascii="宋体" w:hAnsi="宋体" w:eastAsia="宋体" w:cs="宋体"/>
          <w:b/>
          <w:bCs/>
          <w:color w:val="FF0000"/>
          <w:sz w:val="24"/>
          <w:szCs w:val="24"/>
        </w:rPr>
        <w:t>高档</w:t>
      </w:r>
      <w:r>
        <w:rPr>
          <w:rFonts w:ascii="宋体" w:hAnsi="宋体" w:eastAsia="宋体" w:cs="宋体"/>
          <w:b/>
          <w:bCs/>
          <w:color w:val="FF0000"/>
          <w:sz w:val="24"/>
          <w:szCs w:val="24"/>
        </w:rPr>
        <w:t>插件式</w:t>
      </w:r>
      <w:r>
        <w:rPr>
          <w:rFonts w:hint="eastAsia" w:ascii="宋体" w:hAnsi="宋体" w:eastAsia="宋体" w:cs="宋体"/>
          <w:b/>
          <w:bCs/>
          <w:color w:val="FF0000"/>
          <w:sz w:val="24"/>
          <w:szCs w:val="24"/>
        </w:rPr>
        <w:t>心电监护仪（呼气末二氧化碳监测+有创血压监测模块）</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模块化插件式床边监护仪，主机、显示屏和插件槽一体化设计，主机插槽数≥6个。</w:t>
      </w:r>
    </w:p>
    <w:p>
      <w:pPr>
        <w:pStyle w:val="15"/>
        <w:numPr>
          <w:ilvl w:val="0"/>
          <w:numId w:val="7"/>
        </w:numPr>
        <w:ind w:firstLineChars="0"/>
        <w:rPr>
          <w:rFonts w:ascii="宋体" w:hAnsi="宋体" w:eastAsia="宋体" w:cs="宋体"/>
          <w:szCs w:val="21"/>
        </w:rPr>
      </w:pPr>
      <w:r>
        <w:rPr>
          <w:rFonts w:hint="eastAsia" w:ascii="宋体" w:hAnsi="宋体" w:eastAsia="宋体" w:cs="宋体"/>
          <w:sz w:val="24"/>
          <w:szCs w:val="24"/>
        </w:rPr>
        <w:t>▲</w:t>
      </w:r>
      <w:r>
        <w:rPr>
          <w:rFonts w:hint="eastAsia" w:ascii="宋体" w:hAnsi="宋体" w:eastAsia="宋体" w:cs="宋体"/>
          <w:szCs w:val="21"/>
        </w:rPr>
        <w:t>监护仪主机（非辅助插件箱）每个槽位均具备插件模块红外通讯接口以及金属硬件通讯接口</w:t>
      </w:r>
      <w:r>
        <w:rPr>
          <w:rFonts w:ascii="宋体" w:hAnsi="宋体" w:eastAsia="宋体" w:cs="宋体"/>
          <w:szCs w:val="24"/>
        </w:rPr>
        <w:t>（提供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r>
        <w:rPr>
          <w:rFonts w:hint="eastAsia" w:ascii="宋体" w:hAnsi="宋体" w:eastAsia="宋体" w:cs="宋体"/>
          <w:szCs w:val="21"/>
        </w:rPr>
        <w:t>。</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≥15英寸彩色电容触摸屏，高分辨率≥1920×1080像素，≥10通道显示，显示屏亮度自动调节，屏幕支持手势滑动操作，支持穿戴医用防护手套操作。</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可内置高能锂电池，供电时间≥2小时。</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配置≥4个USB接口，支持连接存储介质、鼠标、键盘、条码扫描枪等USB设备。</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基本功能模块支持心电，呼吸，心率，无创血压，血氧饱和度，脉搏，双通道体温和双通道有创血压的同时监测。</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ECG支持3/5导心电监测，可选配6/12导联心电监测。</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支持房颤及室上性心律失常分析功能，如：室上性心动过速，SVCs/min等，标配支持≥2</w:t>
      </w:r>
      <w:r>
        <w:rPr>
          <w:rFonts w:ascii="宋体" w:hAnsi="宋体" w:eastAsia="宋体" w:cs="宋体"/>
          <w:szCs w:val="21"/>
        </w:rPr>
        <w:t>5</w:t>
      </w:r>
      <w:r>
        <w:rPr>
          <w:rFonts w:hint="eastAsia" w:ascii="宋体" w:hAnsi="宋体" w:eastAsia="宋体" w:cs="宋体"/>
          <w:szCs w:val="21"/>
        </w:rPr>
        <w:t>种实时心律失常分析</w:t>
      </w:r>
      <w:r>
        <w:rPr>
          <w:rFonts w:ascii="宋体" w:hAnsi="宋体" w:eastAsia="宋体" w:cs="宋体"/>
          <w:szCs w:val="24"/>
        </w:rPr>
        <w:t>（提供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r>
        <w:rPr>
          <w:rFonts w:hint="eastAsia" w:ascii="宋体" w:hAnsi="宋体" w:eastAsia="宋体" w:cs="宋体"/>
          <w:szCs w:val="21"/>
        </w:rPr>
        <w:t>。</w:t>
      </w:r>
    </w:p>
    <w:p>
      <w:pPr>
        <w:pStyle w:val="15"/>
        <w:numPr>
          <w:ilvl w:val="0"/>
          <w:numId w:val="7"/>
        </w:numPr>
        <w:ind w:firstLineChars="0"/>
        <w:rPr>
          <w:rFonts w:ascii="宋体" w:hAnsi="宋体" w:eastAsia="宋体" w:cs="宋体"/>
          <w:szCs w:val="21"/>
        </w:rPr>
      </w:pPr>
      <w:r>
        <w:rPr>
          <w:rFonts w:hint="eastAsia" w:ascii="宋体" w:hAnsi="宋体" w:eastAsia="宋体" w:cs="宋体"/>
          <w:sz w:val="24"/>
          <w:szCs w:val="24"/>
        </w:rPr>
        <w:t>▲</w:t>
      </w:r>
      <w:r>
        <w:rPr>
          <w:rFonts w:hint="eastAsia" w:ascii="宋体" w:hAnsi="宋体" w:eastAsia="宋体" w:cs="宋体"/>
          <w:szCs w:val="21"/>
        </w:rPr>
        <w:t>支持≥3通道心电波形同步分析，可进行多导心电分析</w:t>
      </w:r>
      <w:r>
        <w:rPr>
          <w:rFonts w:ascii="宋体" w:hAnsi="宋体" w:eastAsia="宋体" w:cs="宋体"/>
          <w:szCs w:val="24"/>
        </w:rPr>
        <w:t>（提供</w:t>
      </w:r>
      <w:r>
        <w:rPr>
          <w:rFonts w:hint="eastAsia" w:ascii="宋体" w:hAnsi="宋体" w:eastAsia="宋体" w:cs="宋体"/>
          <w:szCs w:val="21"/>
        </w:rPr>
        <w:t>产品界面</w:t>
      </w:r>
      <w:r>
        <w:rPr>
          <w:rFonts w:ascii="宋体" w:hAnsi="宋体" w:eastAsia="宋体" w:cs="宋体"/>
          <w:szCs w:val="21"/>
        </w:rPr>
        <w:t>图或产品</w:t>
      </w:r>
      <w:r>
        <w:rPr>
          <w:rFonts w:hint="eastAsia" w:ascii="宋体" w:hAnsi="宋体" w:eastAsia="宋体" w:cs="宋体"/>
          <w:szCs w:val="21"/>
        </w:rPr>
        <w:t>说明书证明</w:t>
      </w:r>
      <w:r>
        <w:rPr>
          <w:rFonts w:ascii="宋体" w:hAnsi="宋体" w:eastAsia="宋体" w:cs="宋体"/>
          <w:szCs w:val="24"/>
        </w:rPr>
        <w:t>）</w:t>
      </w:r>
      <w:r>
        <w:rPr>
          <w:rFonts w:hint="eastAsia" w:ascii="宋体" w:hAnsi="宋体" w:eastAsia="宋体" w:cs="宋体"/>
          <w:szCs w:val="21"/>
        </w:rPr>
        <w:t>。</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提供ST段分析功能，适用于成人，小儿和新生儿，支持在专门的窗口中分组显示心脏前壁，下壁和侧壁的ST实时片段和参考片段。</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支持RR呼吸率测量，测量范围：1～200rpm。</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具有QT/QTc实时连续测量功能，提供QT，QTc和ΔQTc参数值的显示。</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无创血压提供手动、自动间隔、连续、序列、整点五种测量模式。</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NIBP 成人病人类型收缩压测量：25～290mmHg。</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提供灌注指数（PI）的监测。</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配置指套式血氧探头，支持浸泡清洁与消毒，防水等级IPx7。</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支持双通道有创压IBP监测，支持升级多达6通道有创压监测。</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IBP有创压测量范围：-50～360mmHg。</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 xml:space="preserve">提供肺动脉锲压（PAWP）的监测和PPV参数监测。 </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配有多达6道IBP波形叠加显示，满足临床对比查看和节约显示空间的需求。</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配有主流、旁流、微流EtCO2监测模块，旁流EtCO2监测模块支持升级顺磁氧监测技术进行氧气监测，水槽要求易用快速更换。</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具有图形化报警指示功能，看报警信息更容易。</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支持根据病人的参数趋势变化，自动推送推荐报警限。</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支持≥100小时趋势表和趋势图回顾，最小分辨率1分钟。</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支持≥800条事件回顾。每条报警事件至少能够存储32秒三道相关波形，以及报警触发时所有测量参数值。</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具备≥40小时全息波形的存储与回顾功能。</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支持≥100小时ST波形片段的存储与回顾。</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支持链接至中心监护系统，实现护士站的集中管理。</w:t>
      </w:r>
    </w:p>
    <w:p>
      <w:pPr>
        <w:pStyle w:val="15"/>
        <w:numPr>
          <w:ilvl w:val="0"/>
          <w:numId w:val="7"/>
        </w:numPr>
        <w:ind w:firstLineChars="0"/>
        <w:rPr>
          <w:rFonts w:ascii="宋体" w:hAnsi="宋体" w:eastAsia="宋体" w:cs="宋体"/>
          <w:szCs w:val="21"/>
        </w:rPr>
      </w:pPr>
      <w:r>
        <w:rPr>
          <w:rFonts w:hint="eastAsia" w:ascii="宋体" w:hAnsi="宋体" w:eastAsia="宋体" w:cs="宋体"/>
          <w:szCs w:val="21"/>
        </w:rPr>
        <w:t>产品设计使用年限≥10年</w:t>
      </w:r>
      <w:r>
        <w:rPr>
          <w:rFonts w:hint="eastAsia" w:ascii="宋体" w:hAnsi="宋体" w:eastAsia="宋体" w:cs="宋体"/>
          <w:szCs w:val="24"/>
        </w:rPr>
        <w:t>，并要求设备铭牌照片佐证</w:t>
      </w:r>
      <w:r>
        <w:rPr>
          <w:rFonts w:hint="eastAsia" w:ascii="宋体" w:hAnsi="宋体" w:eastAsia="宋体" w:cs="宋体"/>
          <w:szCs w:val="21"/>
        </w:rPr>
        <w:t>。</w:t>
      </w:r>
    </w:p>
    <w:p>
      <w:pPr>
        <w:spacing w:line="360" w:lineRule="auto"/>
        <w:jc w:val="center"/>
        <w:rPr>
          <w:rFonts w:ascii="宋体" w:hAnsi="宋体" w:eastAsia="宋体" w:cs="宋体"/>
          <w:b/>
          <w:color w:val="000000"/>
          <w:szCs w:val="21"/>
        </w:rPr>
      </w:pPr>
      <w:r>
        <w:rPr>
          <w:rFonts w:hint="eastAsia" w:ascii="宋体" w:hAnsi="宋体" w:eastAsia="宋体" w:cs="宋体"/>
          <w:b/>
          <w:szCs w:val="21"/>
        </w:rPr>
        <w:t>高端插件式病人</w:t>
      </w:r>
      <w:r>
        <w:rPr>
          <w:rFonts w:hint="eastAsia" w:ascii="宋体" w:hAnsi="宋体" w:eastAsia="宋体" w:cs="宋体"/>
          <w:b/>
          <w:color w:val="000000"/>
          <w:szCs w:val="21"/>
        </w:rPr>
        <w:t>监护仪2</w:t>
      </w:r>
      <w:r>
        <w:rPr>
          <w:rFonts w:ascii="宋体" w:hAnsi="宋体" w:eastAsia="宋体" w:cs="宋体"/>
          <w:b/>
          <w:color w:val="000000"/>
          <w:szCs w:val="21"/>
        </w:rPr>
        <w:t xml:space="preserve"> 单台</w:t>
      </w:r>
      <w:r>
        <w:rPr>
          <w:rFonts w:hint="eastAsia" w:ascii="宋体" w:hAnsi="宋体" w:eastAsia="宋体" w:cs="宋体"/>
          <w:b/>
          <w:color w:val="000000"/>
          <w:szCs w:val="21"/>
        </w:rPr>
        <w:t>配置清单</w:t>
      </w:r>
      <w:r>
        <w:rPr>
          <w:rFonts w:hint="eastAsia" w:ascii="宋体" w:hAnsi="宋体" w:eastAsia="宋体" w:cs="宋体"/>
          <w:b/>
          <w:bCs/>
          <w:sz w:val="22"/>
          <w:szCs w:val="28"/>
        </w:rPr>
        <w:t>（不限于）</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3997"/>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序号</w:t>
            </w:r>
          </w:p>
        </w:tc>
        <w:tc>
          <w:tcPr>
            <w:tcW w:w="3997"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名称</w:t>
            </w:r>
          </w:p>
        </w:tc>
        <w:tc>
          <w:tcPr>
            <w:tcW w:w="1883"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1</w:t>
            </w:r>
          </w:p>
        </w:tc>
        <w:tc>
          <w:tcPr>
            <w:tcW w:w="3997" w:type="dxa"/>
          </w:tcPr>
          <w:p>
            <w:pPr>
              <w:spacing w:line="360" w:lineRule="auto"/>
              <w:jc w:val="left"/>
              <w:rPr>
                <w:rFonts w:ascii="宋体" w:hAnsi="宋体" w:cs="宋体"/>
                <w:b/>
                <w:color w:val="000000"/>
                <w:szCs w:val="21"/>
              </w:rPr>
            </w:pPr>
            <w:r>
              <w:rPr>
                <w:szCs w:val="21"/>
              </w:rPr>
              <w:t>监护仪主机</w:t>
            </w:r>
            <w:r>
              <w:rPr>
                <w:rFonts w:hint="eastAsia"/>
                <w:szCs w:val="21"/>
              </w:rPr>
              <w:t>（具备双有创压功能）</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2</w:t>
            </w:r>
          </w:p>
        </w:tc>
        <w:tc>
          <w:tcPr>
            <w:tcW w:w="3997" w:type="dxa"/>
          </w:tcPr>
          <w:p>
            <w:pPr>
              <w:spacing w:line="360" w:lineRule="auto"/>
              <w:jc w:val="left"/>
              <w:rPr>
                <w:rFonts w:ascii="宋体" w:hAnsi="宋体" w:eastAsia="宋体" w:cs="宋体"/>
                <w:b/>
                <w:color w:val="000000"/>
                <w:szCs w:val="21"/>
              </w:rPr>
            </w:pPr>
            <w:r>
              <w:rPr>
                <w:szCs w:val="21"/>
              </w:rPr>
              <w:t>锂电池</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3</w:t>
            </w:r>
          </w:p>
        </w:tc>
        <w:tc>
          <w:tcPr>
            <w:tcW w:w="3997" w:type="dxa"/>
          </w:tcPr>
          <w:p>
            <w:pPr>
              <w:spacing w:line="360" w:lineRule="auto"/>
              <w:jc w:val="left"/>
              <w:rPr>
                <w:szCs w:val="21"/>
              </w:rPr>
            </w:pPr>
            <w:r>
              <w:rPr>
                <w:rFonts w:hint="eastAsia"/>
                <w:szCs w:val="21"/>
              </w:rPr>
              <w:t>无创血压导气管</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4</w:t>
            </w:r>
          </w:p>
        </w:tc>
        <w:tc>
          <w:tcPr>
            <w:tcW w:w="3997" w:type="dxa"/>
          </w:tcPr>
          <w:p>
            <w:pPr>
              <w:spacing w:line="360" w:lineRule="auto"/>
              <w:jc w:val="left"/>
              <w:rPr>
                <w:rFonts w:ascii="宋体" w:hAnsi="宋体" w:eastAsia="宋体" w:cs="宋体"/>
                <w:b/>
                <w:color w:val="000000"/>
                <w:szCs w:val="21"/>
              </w:rPr>
            </w:pPr>
            <w:r>
              <w:rPr>
                <w:szCs w:val="21"/>
              </w:rPr>
              <w:t>血压袖带</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3套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5</w:t>
            </w:r>
          </w:p>
        </w:tc>
        <w:tc>
          <w:tcPr>
            <w:tcW w:w="3997" w:type="dxa"/>
          </w:tcPr>
          <w:p>
            <w:pPr>
              <w:spacing w:line="360" w:lineRule="auto"/>
              <w:jc w:val="left"/>
              <w:rPr>
                <w:rFonts w:ascii="宋体" w:hAnsi="宋体" w:eastAsia="宋体" w:cs="宋体"/>
                <w:b/>
                <w:color w:val="000000"/>
                <w:szCs w:val="21"/>
              </w:rPr>
            </w:pPr>
            <w:r>
              <w:rPr>
                <w:szCs w:val="21"/>
              </w:rPr>
              <w:t>心电组件</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6</w:t>
            </w:r>
          </w:p>
        </w:tc>
        <w:tc>
          <w:tcPr>
            <w:tcW w:w="3997" w:type="dxa"/>
          </w:tcPr>
          <w:p>
            <w:pPr>
              <w:spacing w:line="360" w:lineRule="auto"/>
              <w:jc w:val="left"/>
              <w:rPr>
                <w:rFonts w:ascii="宋体" w:hAnsi="宋体" w:eastAsia="宋体" w:cs="宋体"/>
                <w:b/>
                <w:color w:val="000000"/>
                <w:szCs w:val="21"/>
              </w:rPr>
            </w:pPr>
            <w:r>
              <w:rPr>
                <w:szCs w:val="21"/>
              </w:rPr>
              <w:t>血氧组件</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7</w:t>
            </w:r>
          </w:p>
        </w:tc>
        <w:tc>
          <w:tcPr>
            <w:tcW w:w="3997" w:type="dxa"/>
          </w:tcPr>
          <w:p>
            <w:pPr>
              <w:spacing w:line="360" w:lineRule="auto"/>
              <w:jc w:val="left"/>
              <w:rPr>
                <w:szCs w:val="21"/>
              </w:rPr>
            </w:pPr>
            <w:r>
              <w:rPr>
                <w:szCs w:val="21"/>
              </w:rPr>
              <w:t>台车</w:t>
            </w:r>
            <w:r>
              <w:rPr>
                <w:rFonts w:hint="eastAsia"/>
                <w:szCs w:val="21"/>
              </w:rPr>
              <w:t>或支架</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355" w:type="dxa"/>
          </w:tcPr>
          <w:p>
            <w:pPr>
              <w:spacing w:line="360" w:lineRule="auto"/>
              <w:jc w:val="center"/>
              <w:rPr>
                <w:rFonts w:ascii="宋体" w:hAnsi="宋体" w:eastAsia="宋体" w:cs="宋体"/>
                <w:b/>
                <w:color w:val="000000"/>
                <w:szCs w:val="21"/>
              </w:rPr>
            </w:pPr>
            <w:r>
              <w:rPr>
                <w:rFonts w:hint="eastAsia" w:ascii="宋体" w:hAnsi="宋体" w:eastAsia="宋体" w:cs="宋体"/>
                <w:b/>
                <w:color w:val="000000"/>
                <w:szCs w:val="21"/>
              </w:rPr>
              <w:t>8</w:t>
            </w:r>
          </w:p>
        </w:tc>
        <w:tc>
          <w:tcPr>
            <w:tcW w:w="3997" w:type="dxa"/>
          </w:tcPr>
          <w:p>
            <w:pPr>
              <w:spacing w:line="360" w:lineRule="auto"/>
              <w:jc w:val="left"/>
              <w:rPr>
                <w:szCs w:val="21"/>
              </w:rPr>
            </w:pPr>
            <w:r>
              <w:rPr>
                <w:rFonts w:hint="eastAsia"/>
                <w:szCs w:val="21"/>
              </w:rPr>
              <w:t>呼末二氧化碳模块</w:t>
            </w:r>
          </w:p>
        </w:tc>
        <w:tc>
          <w:tcPr>
            <w:tcW w:w="1883" w:type="dxa"/>
          </w:tcPr>
          <w:p>
            <w:pPr>
              <w:spacing w:line="360" w:lineRule="auto"/>
              <w:jc w:val="center"/>
              <w:rPr>
                <w:rFonts w:ascii="宋体" w:hAnsi="宋体" w:eastAsia="宋体" w:cs="宋体"/>
                <w:bCs/>
                <w:color w:val="000000"/>
                <w:szCs w:val="21"/>
              </w:rPr>
            </w:pPr>
            <w:r>
              <w:rPr>
                <w:rFonts w:hint="eastAsia" w:ascii="宋体" w:hAnsi="宋体" w:eastAsia="宋体" w:cs="宋体"/>
                <w:bCs/>
                <w:color w:val="000000"/>
                <w:szCs w:val="21"/>
              </w:rPr>
              <w:t>1个</w:t>
            </w:r>
          </w:p>
        </w:tc>
      </w:tr>
    </w:tbl>
    <w:p>
      <w:pPr>
        <w:pStyle w:val="15"/>
        <w:numPr>
          <w:ilvl w:val="0"/>
          <w:numId w:val="1"/>
        </w:numPr>
        <w:tabs>
          <w:tab w:val="left" w:pos="709"/>
        </w:tabs>
        <w:ind w:left="0" w:firstLine="0" w:firstLineChars="0"/>
        <w:rPr>
          <w:rFonts w:ascii="宋体" w:hAnsi="宋体" w:eastAsia="宋体" w:cs="仿宋_GB2312"/>
          <w:b/>
          <w:bCs/>
          <w:sz w:val="30"/>
          <w:szCs w:val="30"/>
        </w:rPr>
      </w:pPr>
      <w:r>
        <w:rPr>
          <w:rFonts w:hint="eastAsia" w:ascii="宋体" w:hAnsi="宋体" w:eastAsia="宋体"/>
          <w:b/>
          <w:bCs/>
          <w:sz w:val="28"/>
          <w:szCs w:val="28"/>
        </w:rPr>
        <w:t>商务</w:t>
      </w:r>
      <w:r>
        <w:rPr>
          <w:rFonts w:ascii="宋体" w:hAnsi="宋体" w:eastAsia="宋体"/>
          <w:b/>
          <w:bCs/>
          <w:sz w:val="28"/>
          <w:szCs w:val="28"/>
        </w:rPr>
        <w:t>要求</w:t>
      </w:r>
    </w:p>
    <w:p>
      <w:pPr>
        <w:adjustRightInd w:val="0"/>
        <w:snapToGrid w:val="0"/>
        <w:spacing w:line="360" w:lineRule="auto"/>
        <w:ind w:firstLine="284" w:firstLineChars="135"/>
        <w:rPr>
          <w:rFonts w:ascii="宋体" w:hAnsi="宋体" w:cs="宋体"/>
          <w:b/>
        </w:rPr>
      </w:pPr>
      <w:r>
        <w:rPr>
          <w:rFonts w:hint="eastAsia" w:ascii="宋体" w:hAnsi="宋体" w:cs="宋体"/>
          <w:b/>
        </w:rPr>
        <w:t>（一）供货要求</w:t>
      </w:r>
    </w:p>
    <w:p>
      <w:pPr>
        <w:adjustRightInd w:val="0"/>
        <w:snapToGrid w:val="0"/>
        <w:spacing w:line="360" w:lineRule="auto"/>
        <w:ind w:firstLine="420" w:firstLineChars="200"/>
        <w:rPr>
          <w:rFonts w:ascii="宋体" w:hAnsi="宋体" w:cs="宋体"/>
        </w:rPr>
      </w:pPr>
      <w:r>
        <w:rPr>
          <w:rFonts w:hint="eastAsia" w:ascii="宋体" w:hAnsi="宋体" w:cs="宋体"/>
        </w:rPr>
        <w:t>1.交货期：签订合同后</w:t>
      </w:r>
      <w:r>
        <w:rPr>
          <w:rFonts w:ascii="宋体" w:hAnsi="宋体" w:cs="宋体"/>
        </w:rPr>
        <w:t>30</w:t>
      </w:r>
      <w:r>
        <w:rPr>
          <w:rFonts w:hint="eastAsia" w:ascii="宋体" w:hAnsi="宋体" w:cs="宋体"/>
        </w:rPr>
        <w:t>日历天内。</w:t>
      </w:r>
    </w:p>
    <w:p>
      <w:pPr>
        <w:adjustRightInd w:val="0"/>
        <w:snapToGrid w:val="0"/>
        <w:spacing w:line="360" w:lineRule="auto"/>
        <w:ind w:firstLine="420" w:firstLineChars="200"/>
        <w:rPr>
          <w:rFonts w:ascii="宋体" w:hAnsi="宋体" w:cs="宋体"/>
        </w:rPr>
      </w:pPr>
      <w:r>
        <w:rPr>
          <w:rFonts w:hint="eastAsia" w:ascii="宋体" w:hAnsi="宋体" w:cs="宋体"/>
        </w:rPr>
        <w:t>2.交货地点：采购人指定地点。</w:t>
      </w:r>
    </w:p>
    <w:p>
      <w:pPr>
        <w:adjustRightInd w:val="0"/>
        <w:snapToGrid w:val="0"/>
        <w:spacing w:line="360" w:lineRule="auto"/>
        <w:ind w:firstLine="420" w:firstLineChars="200"/>
      </w:pPr>
      <w:r>
        <w:rPr>
          <w:rFonts w:hint="eastAsia" w:ascii="宋体" w:hAnsi="宋体" w:cs="宋体"/>
        </w:rPr>
        <w:t>3.设备</w:t>
      </w:r>
      <w:r>
        <w:t>生产</w:t>
      </w:r>
      <w:r>
        <w:rPr>
          <w:rFonts w:hint="eastAsia"/>
        </w:rPr>
        <w:t>日期不超过一年。</w:t>
      </w:r>
    </w:p>
    <w:p>
      <w:pPr>
        <w:adjustRightInd w:val="0"/>
        <w:snapToGrid w:val="0"/>
        <w:spacing w:line="360" w:lineRule="auto"/>
        <w:ind w:firstLine="420" w:firstLineChars="200"/>
        <w:rPr>
          <w:rFonts w:ascii="宋体" w:hAnsi="宋体" w:cs="宋体"/>
          <w:b/>
        </w:rPr>
      </w:pPr>
      <w:r>
        <w:rPr>
          <w:rFonts w:hint="eastAsia" w:ascii="宋体" w:hAnsi="宋体" w:cs="宋体"/>
          <w:b/>
        </w:rPr>
        <w:t>（二）安装与调试</w:t>
      </w:r>
    </w:p>
    <w:p>
      <w:pPr>
        <w:adjustRightInd w:val="0"/>
        <w:snapToGrid w:val="0"/>
        <w:spacing w:line="360" w:lineRule="auto"/>
        <w:ind w:firstLine="420" w:firstLineChars="200"/>
        <w:rPr>
          <w:rFonts w:ascii="宋体" w:hAnsi="宋体" w:cs="宋体"/>
        </w:rPr>
      </w:pPr>
      <w:r>
        <w:rPr>
          <w:rFonts w:hint="eastAsia" w:ascii="宋体" w:hAnsi="宋体" w:cs="宋体"/>
        </w:rPr>
        <w:t>1.中标人必须按项目进度安排计划，派出适当的技术人员到安装现场负责安装和调试工作。在安装施工期间，严格遵守采购人的有关规定。</w:t>
      </w:r>
    </w:p>
    <w:p>
      <w:pPr>
        <w:adjustRightInd w:val="0"/>
        <w:snapToGrid w:val="0"/>
        <w:spacing w:line="360" w:lineRule="auto"/>
        <w:ind w:firstLine="420" w:firstLineChars="200"/>
        <w:rPr>
          <w:rFonts w:ascii="宋体" w:hAnsi="宋体" w:cs="宋体"/>
        </w:rPr>
      </w:pPr>
      <w:r>
        <w:rPr>
          <w:rFonts w:hint="eastAsia" w:ascii="宋体" w:hAnsi="宋体" w:cs="宋体"/>
        </w:rPr>
        <w:t>2.中标人必须依照招标文件的要求和投标文件的承诺，将设备、系统安装并调试至正常运行的最佳状态。</w:t>
      </w:r>
    </w:p>
    <w:p>
      <w:pPr>
        <w:adjustRightInd w:val="0"/>
        <w:snapToGrid w:val="0"/>
        <w:spacing w:line="360" w:lineRule="auto"/>
        <w:ind w:firstLine="420" w:firstLineChars="200"/>
        <w:rPr>
          <w:rFonts w:ascii="宋体" w:hAnsi="宋体" w:cs="宋体"/>
          <w:b/>
        </w:rPr>
      </w:pPr>
      <w:r>
        <w:rPr>
          <w:rFonts w:hint="eastAsia" w:ascii="宋体" w:hAnsi="宋体" w:cs="宋体"/>
          <w:b/>
        </w:rPr>
        <w:t>（三）技术培训</w:t>
      </w:r>
    </w:p>
    <w:p>
      <w:pPr>
        <w:adjustRightInd w:val="0"/>
        <w:snapToGrid w:val="0"/>
        <w:spacing w:line="360" w:lineRule="auto"/>
        <w:ind w:firstLine="420" w:firstLineChars="200"/>
        <w:rPr>
          <w:rFonts w:ascii="宋体" w:hAnsi="宋体" w:cs="宋体"/>
        </w:rPr>
      </w:pPr>
      <w:r>
        <w:rPr>
          <w:rFonts w:hint="eastAsia" w:ascii="宋体" w:hAnsi="宋体" w:cs="宋体"/>
        </w:rPr>
        <w:t>1.中标人每台设备提供现场安装调试和培训。</w:t>
      </w:r>
    </w:p>
    <w:p>
      <w:pPr>
        <w:adjustRightInd w:val="0"/>
        <w:snapToGrid w:val="0"/>
        <w:spacing w:line="360" w:lineRule="auto"/>
        <w:ind w:firstLine="420" w:firstLineChars="200"/>
        <w:rPr>
          <w:rFonts w:ascii="宋体" w:hAnsi="宋体" w:cs="宋体"/>
        </w:rPr>
      </w:pPr>
      <w:r>
        <w:rPr>
          <w:rFonts w:hint="eastAsia" w:ascii="宋体" w:hAnsi="宋体" w:cs="宋体"/>
        </w:rPr>
        <w:t>2.应提供完整的培训计划和方案，列明培训人员数量、达到的水平等，培训内容包括设备的操作、日常维修、简单故障的识别及排除等。培训所需全部费用均由中标人支付。</w:t>
      </w:r>
    </w:p>
    <w:p>
      <w:pPr>
        <w:adjustRightInd w:val="0"/>
        <w:snapToGrid w:val="0"/>
        <w:spacing w:line="360" w:lineRule="auto"/>
        <w:ind w:firstLine="420" w:firstLineChars="200"/>
        <w:rPr>
          <w:rFonts w:ascii="宋体" w:hAnsi="宋体" w:cs="宋体"/>
          <w:b/>
        </w:rPr>
      </w:pPr>
      <w:r>
        <w:rPr>
          <w:rFonts w:hint="eastAsia" w:ascii="宋体" w:hAnsi="宋体" w:cs="宋体"/>
          <w:b/>
        </w:rPr>
        <w:t>（四）保修期</w:t>
      </w:r>
    </w:p>
    <w:p>
      <w:pPr>
        <w:adjustRightInd w:val="0"/>
        <w:snapToGrid w:val="0"/>
        <w:spacing w:line="360" w:lineRule="auto"/>
        <w:ind w:firstLine="420" w:firstLineChars="200"/>
        <w:rPr>
          <w:rFonts w:ascii="宋体" w:hAnsi="宋体" w:cs="宋体"/>
        </w:rPr>
      </w:pPr>
      <w:r>
        <w:rPr>
          <w:rFonts w:hint="eastAsia" w:ascii="宋体" w:hAnsi="宋体" w:cs="宋体"/>
        </w:rPr>
        <w:t>1.</w:t>
      </w:r>
      <w:r>
        <w:rPr>
          <w:rFonts w:hint="eastAsia" w:ascii="宋体" w:hAnsi="宋体" w:cs="宋体"/>
          <w:b/>
          <w:bCs/>
        </w:rPr>
        <w:t>验收合格之日起设备保修期：主机保修不少于5年。</w:t>
      </w:r>
    </w:p>
    <w:p>
      <w:pPr>
        <w:adjustRightInd w:val="0"/>
        <w:snapToGrid w:val="0"/>
        <w:spacing w:line="360" w:lineRule="auto"/>
        <w:ind w:firstLine="420" w:firstLineChars="200"/>
        <w:rPr>
          <w:rFonts w:ascii="宋体" w:hAnsi="宋体" w:cs="宋体"/>
          <w:color w:val="000000"/>
        </w:rPr>
      </w:pPr>
      <w:r>
        <w:rPr>
          <w:rFonts w:hint="eastAsia" w:ascii="宋体" w:hAnsi="宋体" w:cs="宋体"/>
          <w:color w:val="000000"/>
        </w:rPr>
        <w:t>1.</w:t>
      </w:r>
      <w:r>
        <w:rPr>
          <w:rFonts w:ascii="宋体" w:hAnsi="宋体" w:cs="宋体"/>
          <w:color w:val="000000"/>
        </w:rPr>
        <w:t>1</w:t>
      </w:r>
      <w:r>
        <w:rPr>
          <w:rFonts w:hint="eastAsia" w:ascii="宋体" w:hAnsi="宋体" w:cs="宋体"/>
          <w:color w:val="000000"/>
        </w:rPr>
        <w:t>保修期内必须保证95％以上日期（以每年365天计算）能正常工作，如未能达到，应按2倍时间相应延长保修期。</w:t>
      </w:r>
    </w:p>
    <w:p>
      <w:pPr>
        <w:adjustRightInd w:val="0"/>
        <w:snapToGrid w:val="0"/>
        <w:spacing w:line="360" w:lineRule="auto"/>
        <w:ind w:firstLine="525" w:firstLineChars="250"/>
        <w:rPr>
          <w:rFonts w:ascii="宋体" w:hAnsi="宋体" w:cs="宋体"/>
          <w:color w:val="000000"/>
          <w:kern w:val="44"/>
        </w:rPr>
      </w:pPr>
      <w:r>
        <w:rPr>
          <w:rFonts w:hint="eastAsia" w:ascii="宋体" w:hAnsi="宋体" w:cs="宋体"/>
          <w:color w:val="000000"/>
          <w:kern w:val="44"/>
        </w:rPr>
        <w:t>1.</w:t>
      </w:r>
      <w:r>
        <w:rPr>
          <w:rFonts w:ascii="宋体" w:hAnsi="宋体" w:cs="宋体"/>
          <w:color w:val="000000"/>
          <w:kern w:val="44"/>
        </w:rPr>
        <w:t>2</w:t>
      </w:r>
      <w:r>
        <w:rPr>
          <w:rFonts w:hint="eastAsia" w:ascii="宋体" w:hAnsi="宋体" w:cs="宋体"/>
          <w:color w:val="000000"/>
          <w:kern w:val="44"/>
        </w:rPr>
        <w:t>保质保修期内，投标产品必须由原厂负责维修和售后服务（提供原厂售后服务承诺）。每年需对设备进行不少于1次的维护，且每次维护保养需出具维护保养记录。（所需费用均须包含在投标总价内）。</w:t>
      </w:r>
    </w:p>
    <w:p>
      <w:pPr>
        <w:adjustRightInd w:val="0"/>
        <w:snapToGrid w:val="0"/>
        <w:spacing w:line="360" w:lineRule="auto"/>
        <w:ind w:firstLine="420" w:firstLineChars="200"/>
        <w:rPr>
          <w:rFonts w:ascii="宋体" w:hAnsi="宋体" w:cs="宋体"/>
        </w:rPr>
      </w:pPr>
      <w:r>
        <w:rPr>
          <w:rFonts w:hint="eastAsia" w:ascii="宋体" w:hAnsi="宋体" w:cs="宋体"/>
        </w:rPr>
        <w:t>2.保修期内，所有服务及配件全部包含在报价中。“技术要求”中另有要求的，以其中的要求为准。</w:t>
      </w:r>
    </w:p>
    <w:p>
      <w:pPr>
        <w:adjustRightInd w:val="0"/>
        <w:snapToGrid w:val="0"/>
        <w:spacing w:line="360" w:lineRule="auto"/>
        <w:ind w:firstLine="420" w:firstLineChars="200"/>
        <w:rPr>
          <w:rFonts w:ascii="宋体" w:hAnsi="宋体" w:cs="宋体"/>
        </w:rPr>
      </w:pPr>
      <w:r>
        <w:rPr>
          <w:rFonts w:hint="eastAsia" w:ascii="宋体" w:hAnsi="宋体" w:cs="宋体"/>
        </w:rPr>
        <w:t>3.保修期自采购人和中标人代表在货物安装调试验收后的验收书上签字之日起计算。保修期内中标人对所供货物实行包修、包换、包退、包维护保养，保修期后设备维修配件更换只收取成本费用。</w:t>
      </w:r>
    </w:p>
    <w:p>
      <w:pPr>
        <w:adjustRightInd w:val="0"/>
        <w:snapToGrid w:val="0"/>
        <w:spacing w:line="360" w:lineRule="auto"/>
        <w:ind w:firstLine="420" w:firstLineChars="200"/>
        <w:rPr>
          <w:rFonts w:ascii="宋体" w:hAnsi="宋体" w:cs="宋体"/>
        </w:rPr>
      </w:pPr>
      <w:r>
        <w:rPr>
          <w:rFonts w:hint="eastAsia" w:ascii="宋体" w:hAnsi="宋体" w:cs="宋体"/>
        </w:rPr>
        <w:t>4.保修期内，如设备或零部件因非人为因素出现故障而造成短期停用时，则保修期相应顺延。如停用时间累计超过60天则保修期重新计算。</w:t>
      </w:r>
    </w:p>
    <w:p>
      <w:pPr>
        <w:adjustRightInd w:val="0"/>
        <w:snapToGrid w:val="0"/>
        <w:spacing w:line="360" w:lineRule="auto"/>
        <w:ind w:firstLine="420" w:firstLineChars="200"/>
        <w:rPr>
          <w:rFonts w:ascii="宋体" w:hAnsi="宋体" w:cs="宋体"/>
        </w:rPr>
      </w:pPr>
      <w:r>
        <w:rPr>
          <w:rFonts w:hint="eastAsia" w:ascii="宋体" w:hAnsi="宋体" w:cs="宋体"/>
        </w:rPr>
        <w:t>5.在保修期内，如货品非因采购人的人为原因而出现的问题由中标人负责保修、包换或包退，并承担修理、调换或退货的实际费用。</w:t>
      </w:r>
    </w:p>
    <w:p>
      <w:pPr>
        <w:adjustRightInd w:val="0"/>
        <w:snapToGrid w:val="0"/>
        <w:spacing w:line="360" w:lineRule="auto"/>
        <w:ind w:firstLine="420" w:firstLineChars="200"/>
        <w:rPr>
          <w:rFonts w:ascii="宋体" w:hAnsi="宋体" w:cs="宋体"/>
        </w:rPr>
      </w:pPr>
      <w:r>
        <w:rPr>
          <w:rFonts w:hint="eastAsia" w:ascii="宋体" w:hAnsi="宋体" w:cs="宋体"/>
        </w:rPr>
        <w:t>6.保修期内，中标人负责对其提供的货物整机进行维修和系统维护，不再收取任何费用，但非中标人责任的人为因素、自然因素（如火灾、雷击等）造成的故障除外。</w:t>
      </w:r>
    </w:p>
    <w:p>
      <w:pPr>
        <w:adjustRightInd w:val="0"/>
        <w:snapToGrid w:val="0"/>
        <w:spacing w:line="360" w:lineRule="auto"/>
        <w:ind w:firstLine="420" w:firstLineChars="200"/>
        <w:rPr>
          <w:rFonts w:ascii="宋体" w:hAnsi="宋体" w:cs="宋体"/>
        </w:rPr>
      </w:pPr>
      <w:r>
        <w:rPr>
          <w:rFonts w:hint="eastAsia" w:ascii="宋体" w:hAnsi="宋体" w:cs="宋体"/>
        </w:rPr>
        <w:t>7.保修期内,对采购人的服务通知，中标人在接报后2小时内响应，8小时内到达现场，24小时内处理完毕。若在24小时内仍未能有效解决，采购人有权要求中标人免费提供同档次的设备予采购人临时使用。</w:t>
      </w:r>
    </w:p>
    <w:p>
      <w:pPr>
        <w:adjustRightInd w:val="0"/>
        <w:snapToGrid w:val="0"/>
        <w:spacing w:line="360" w:lineRule="auto"/>
        <w:ind w:firstLine="420" w:firstLineChars="200"/>
        <w:rPr>
          <w:rFonts w:ascii="宋体" w:hAnsi="宋体" w:cs="宋体"/>
          <w:b/>
        </w:rPr>
      </w:pPr>
      <w:r>
        <w:rPr>
          <w:rFonts w:hint="eastAsia" w:ascii="宋体" w:hAnsi="宋体" w:cs="宋体"/>
          <w:b/>
        </w:rPr>
        <w:t>（五）验收要求</w:t>
      </w:r>
    </w:p>
    <w:p>
      <w:pPr>
        <w:adjustRightInd w:val="0"/>
        <w:snapToGrid w:val="0"/>
        <w:spacing w:line="360" w:lineRule="auto"/>
        <w:ind w:firstLine="420" w:firstLineChars="200"/>
        <w:rPr>
          <w:rFonts w:ascii="宋体" w:hAnsi="宋体" w:cs="宋体"/>
        </w:rPr>
      </w:pPr>
      <w:r>
        <w:rPr>
          <w:rFonts w:hint="eastAsia" w:ascii="宋体" w:hAnsi="宋体" w:cs="宋体"/>
        </w:rPr>
        <w:t>1.采购人按照采购合同规定的技术、服务、安全标准组织对中标人履约情况进行验收，并出具验收书。验收书应当包括每一项技术、服务、安全标准的履约情况。</w:t>
      </w:r>
    </w:p>
    <w:p>
      <w:pPr>
        <w:adjustRightInd w:val="0"/>
        <w:snapToGrid w:val="0"/>
        <w:spacing w:line="360" w:lineRule="auto"/>
        <w:ind w:firstLine="420" w:firstLineChars="200"/>
        <w:rPr>
          <w:rFonts w:ascii="宋体" w:hAnsi="宋体" w:cs="宋体"/>
        </w:rPr>
      </w:pPr>
      <w:r>
        <w:rPr>
          <w:rFonts w:hint="eastAsia" w:ascii="宋体" w:hAnsi="宋体" w:cs="宋体"/>
        </w:rPr>
        <w:t>2.交付验收标准依次序对照适用标准为：①符合中华人民共和国国家安全质量标准、环保标准或行业标准；②符合招标文件和投标承诺中采购人认可的合理最佳配置、参数及各项要求；③货物来源国官方标准。</w:t>
      </w:r>
    </w:p>
    <w:p>
      <w:pPr>
        <w:adjustRightInd w:val="0"/>
        <w:snapToGrid w:val="0"/>
        <w:spacing w:line="360" w:lineRule="auto"/>
        <w:ind w:firstLine="420" w:firstLineChars="200"/>
        <w:rPr>
          <w:rFonts w:ascii="宋体" w:hAnsi="宋体" w:cs="宋体"/>
        </w:rPr>
      </w:pPr>
      <w:r>
        <w:rPr>
          <w:rFonts w:hint="eastAsia" w:ascii="宋体" w:hAnsi="宋体" w:cs="宋体"/>
        </w:rPr>
        <w:t>3.货物为原厂商未启封全新包装，具有出厂合格证，序列号、包装箱号与出厂批号一致，并可追索查阅。所有随设备的附件必须齐全。</w:t>
      </w:r>
    </w:p>
    <w:p>
      <w:pPr>
        <w:adjustRightInd w:val="0"/>
        <w:snapToGrid w:val="0"/>
        <w:spacing w:line="360" w:lineRule="auto"/>
        <w:ind w:firstLine="420" w:firstLineChars="200"/>
        <w:rPr>
          <w:rFonts w:ascii="宋体" w:hAnsi="宋体" w:cs="宋体"/>
        </w:rPr>
      </w:pPr>
      <w:r>
        <w:rPr>
          <w:rFonts w:hint="eastAsia" w:ascii="宋体" w:hAnsi="宋体" w:cs="宋体"/>
        </w:rPr>
        <w:t>4.中标人将货物的用户手册、保修手册、有关单证资料及备品备件、随机工具等交付给采购人，使用操作及安全须知等重要资料应附有中文说明。</w:t>
      </w:r>
    </w:p>
    <w:p>
      <w:pPr>
        <w:adjustRightInd w:val="0"/>
        <w:snapToGrid w:val="0"/>
        <w:spacing w:line="360" w:lineRule="auto"/>
        <w:ind w:firstLine="420" w:firstLineChars="200"/>
        <w:rPr>
          <w:rFonts w:ascii="宋体" w:hAnsi="宋体" w:cs="宋体"/>
        </w:rPr>
      </w:pPr>
      <w:r>
        <w:rPr>
          <w:rFonts w:hint="eastAsia" w:ascii="宋体" w:hAnsi="宋体" w:cs="宋体"/>
        </w:rPr>
        <w:t>5.货物验收所发生的检验费用由中标人负担。</w:t>
      </w:r>
    </w:p>
    <w:p>
      <w:pPr>
        <w:adjustRightInd w:val="0"/>
        <w:snapToGrid w:val="0"/>
        <w:spacing w:line="360" w:lineRule="auto"/>
        <w:ind w:firstLine="420" w:firstLineChars="200"/>
        <w:rPr>
          <w:rFonts w:ascii="宋体" w:hAnsi="宋体" w:cs="宋体"/>
        </w:rPr>
      </w:pPr>
      <w:r>
        <w:rPr>
          <w:rFonts w:hint="eastAsia" w:ascii="宋体" w:hAnsi="宋体" w:cs="宋体"/>
        </w:rPr>
        <w:t>6.设备到货并经中标人技术人员安装后，采购人有权委托中国有资格的单位对上述设备进行校准或检验，设备校准或检定所需的费用由中标人负担。</w:t>
      </w:r>
    </w:p>
    <w:p>
      <w:pPr>
        <w:adjustRightInd w:val="0"/>
        <w:snapToGrid w:val="0"/>
        <w:spacing w:line="360" w:lineRule="auto"/>
        <w:ind w:firstLine="420" w:firstLineChars="200"/>
        <w:rPr>
          <w:rFonts w:ascii="宋体" w:hAnsi="宋体" w:cs="宋体"/>
        </w:rPr>
      </w:pPr>
      <w:r>
        <w:rPr>
          <w:rFonts w:hint="eastAsia" w:ascii="宋体" w:hAnsi="宋体" w:cs="宋体"/>
        </w:rPr>
        <w:t>7.采购人组成验收小组，按照采购合同规定的技术、服务、安全标准组织对中标人履约情况进行验收。因货物质量问题发生争议时，由采购人本地质量技术监督部门鉴定。货物符合质量技术标准的，鉴定费由采购人承担；否则鉴定费由中标人承担。</w:t>
      </w:r>
    </w:p>
    <w:p>
      <w:pPr>
        <w:adjustRightInd w:val="0"/>
        <w:snapToGrid w:val="0"/>
        <w:spacing w:line="360" w:lineRule="auto"/>
        <w:ind w:firstLine="420" w:firstLineChars="200"/>
        <w:rPr>
          <w:rFonts w:ascii="宋体" w:hAnsi="宋体" w:cs="宋体"/>
        </w:rPr>
      </w:pPr>
      <w:r>
        <w:rPr>
          <w:rFonts w:hint="eastAsia" w:ascii="宋体" w:hAnsi="宋体" w:cs="宋体"/>
        </w:rPr>
        <w:t>8.中标产品如属国家强制计量产品，需由中标人协助完成首次计量强检。</w:t>
      </w:r>
    </w:p>
    <w:p>
      <w:pPr>
        <w:adjustRightInd w:val="0"/>
        <w:snapToGrid w:val="0"/>
        <w:spacing w:line="360" w:lineRule="auto"/>
        <w:ind w:firstLine="420" w:firstLineChars="200"/>
        <w:rPr>
          <w:rFonts w:ascii="宋体" w:hAnsi="宋体" w:cs="宋体"/>
          <w:b/>
          <w:bCs/>
          <w:color w:val="3366FF"/>
        </w:rPr>
      </w:pPr>
      <w:r>
        <w:rPr>
          <w:rFonts w:hint="eastAsia" w:ascii="宋体" w:hAnsi="宋体" w:cs="宋体"/>
        </w:rPr>
        <w:t>9.当出现不合格产品时，中标人要无条件更换合格产品。除采购人认可，否则不接受任何形式的降格处理。</w:t>
      </w:r>
    </w:p>
    <w:p>
      <w:pPr>
        <w:tabs>
          <w:tab w:val="left" w:pos="1755"/>
          <w:tab w:val="left" w:pos="2025"/>
        </w:tabs>
        <w:adjustRightInd w:val="0"/>
        <w:snapToGrid w:val="0"/>
        <w:spacing w:line="360" w:lineRule="auto"/>
        <w:ind w:firstLine="420" w:firstLineChars="200"/>
        <w:rPr>
          <w:rFonts w:ascii="宋体" w:hAnsi="宋体" w:cs="宋体"/>
          <w:b/>
          <w:kern w:val="0"/>
        </w:rPr>
      </w:pPr>
      <w:r>
        <w:rPr>
          <w:rFonts w:hint="eastAsia" w:ascii="宋体" w:hAnsi="宋体" w:cs="宋体"/>
          <w:b/>
          <w:kern w:val="0"/>
        </w:rPr>
        <w:t>（六）付款方式</w:t>
      </w:r>
    </w:p>
    <w:p>
      <w:pPr>
        <w:adjustRightInd w:val="0"/>
        <w:snapToGrid w:val="0"/>
        <w:spacing w:line="360" w:lineRule="auto"/>
        <w:ind w:firstLine="420" w:firstLineChars="200"/>
        <w:rPr>
          <w:rFonts w:ascii="宋体" w:hAnsi="宋体" w:cs="宋体"/>
        </w:rPr>
      </w:pPr>
      <w:r>
        <w:rPr>
          <w:rFonts w:hint="eastAsia" w:ascii="宋体" w:hAnsi="宋体" w:cs="宋体"/>
        </w:rPr>
        <w:t>1.合同设备全部到指定地点交付并完成安装及验收合格后，中标人须向采购人提供以下相应资料和合同全额发票，采购人自收到发票</w:t>
      </w:r>
      <w:r>
        <w:rPr>
          <w:rFonts w:ascii="宋体" w:hAnsi="宋体" w:cs="宋体"/>
        </w:rPr>
        <w:t>及资料</w:t>
      </w:r>
      <w:r>
        <w:rPr>
          <w:rFonts w:hint="eastAsia" w:ascii="宋体" w:hAnsi="宋体" w:cs="宋体"/>
        </w:rPr>
        <w:t>后5个工作日内办理支付，支付合同金额的100%；</w:t>
      </w:r>
    </w:p>
    <w:p>
      <w:pPr>
        <w:adjustRightInd w:val="0"/>
        <w:snapToGrid w:val="0"/>
        <w:spacing w:line="360" w:lineRule="auto"/>
        <w:ind w:firstLine="315" w:firstLineChars="150"/>
        <w:rPr>
          <w:rFonts w:ascii="宋体" w:hAnsi="宋体" w:cs="宋体"/>
        </w:rPr>
      </w:pPr>
      <w:r>
        <w:rPr>
          <w:rFonts w:hint="eastAsia" w:ascii="宋体" w:hAnsi="宋体" w:cs="宋体"/>
        </w:rPr>
        <w:t>（1）乙方开具的正式全额发票；</w:t>
      </w:r>
    </w:p>
    <w:p>
      <w:pPr>
        <w:adjustRightInd w:val="0"/>
        <w:snapToGrid w:val="0"/>
        <w:spacing w:line="360" w:lineRule="auto"/>
        <w:ind w:firstLine="315" w:firstLineChars="150"/>
        <w:rPr>
          <w:rFonts w:ascii="宋体" w:hAnsi="宋体" w:cs="宋体"/>
        </w:rPr>
      </w:pPr>
      <w:r>
        <w:rPr>
          <w:rFonts w:hint="eastAsia" w:ascii="宋体" w:hAnsi="宋体" w:cs="宋体"/>
        </w:rPr>
        <w:t>（2）调试验收使用意见。</w:t>
      </w:r>
    </w:p>
    <w:p>
      <w:pPr>
        <w:adjustRightInd w:val="0"/>
        <w:snapToGrid w:val="0"/>
        <w:spacing w:line="360" w:lineRule="auto"/>
        <w:ind w:firstLine="315" w:firstLineChars="150"/>
        <w:rPr>
          <w:rFonts w:ascii="宋体" w:hAnsi="宋体" w:cs="宋体"/>
        </w:rPr>
      </w:pPr>
      <w:r>
        <w:rPr>
          <w:rFonts w:hint="eastAsia" w:ascii="宋体" w:hAnsi="宋体" w:cs="宋体"/>
        </w:rPr>
        <w:t>（3）产品合格证、产品使用说明书（电子版、纸质版）。</w:t>
      </w:r>
    </w:p>
    <w:p/>
    <w:sectPr>
      <w:footerReference r:id="rId3" w:type="default"/>
      <w:pgSz w:w="11906" w:h="16838"/>
      <w:pgMar w:top="1440" w:right="1066" w:bottom="1440" w:left="106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bookmarkStart w:id="1" w:name="_GoBack"/>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0325" cy="154940"/>
              <wp:effectExtent l="0" t="0" r="0" b="0"/>
              <wp:wrapNone/>
              <wp:docPr id="1"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60325" cy="154940"/>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2.2pt;width:4.75pt;mso-position-horizontal:center;mso-position-horizontal-relative:margin;mso-wrap-style:none;z-index:251659264;mso-width-relative:page;mso-height-relative:page;" filled="f" stroked="f" coordsize="21600,21600" o:gfxdata="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eo0nyNEAAAACAQAADwAAAAAAAAABACAAAAA4&#10;AAAAZHJzL2Rvd25yZXYueG1sUEsBAhQAFAAAAAgAh07iQDTZV0H7AQAAAwQAAA4AAAAAAAAAAQAg&#10;AAAANgEAAGRycy9lMm9Eb2MueG1sUEsFBgAAAAAGAAYAWQEAAKMFA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bookmarkEnd w:id="1"/>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102D38"/>
    <w:multiLevelType w:val="singleLevel"/>
    <w:tmpl w:val="D4102D38"/>
    <w:lvl w:ilvl="0" w:tentative="0">
      <w:start w:val="1"/>
      <w:numFmt w:val="decimal"/>
      <w:suff w:val="nothing"/>
      <w:lvlText w:val="%1．"/>
      <w:lvlJc w:val="left"/>
      <w:pPr>
        <w:ind w:left="0" w:firstLine="400"/>
      </w:pPr>
      <w:rPr>
        <w:rFonts w:hint="default"/>
      </w:rPr>
    </w:lvl>
  </w:abstractNum>
  <w:abstractNum w:abstractNumId="1">
    <w:nsid w:val="E53477B1"/>
    <w:multiLevelType w:val="singleLevel"/>
    <w:tmpl w:val="E53477B1"/>
    <w:lvl w:ilvl="0" w:tentative="0">
      <w:start w:val="1"/>
      <w:numFmt w:val="decimal"/>
      <w:lvlText w:val="%1."/>
      <w:lvlJc w:val="left"/>
      <w:pPr>
        <w:tabs>
          <w:tab w:val="left" w:pos="312"/>
        </w:tabs>
      </w:pPr>
    </w:lvl>
  </w:abstractNum>
  <w:abstractNum w:abstractNumId="2">
    <w:nsid w:val="0FF86F02"/>
    <w:multiLevelType w:val="singleLevel"/>
    <w:tmpl w:val="0FF86F02"/>
    <w:lvl w:ilvl="0" w:tentative="0">
      <w:start w:val="1"/>
      <w:numFmt w:val="decimal"/>
      <w:lvlText w:val="%1."/>
      <w:lvlJc w:val="left"/>
      <w:pPr>
        <w:ind w:left="425" w:hanging="425"/>
      </w:pPr>
      <w:rPr>
        <w:rFonts w:hint="default"/>
      </w:rPr>
    </w:lvl>
  </w:abstractNum>
  <w:abstractNum w:abstractNumId="3">
    <w:nsid w:val="3E05ED9C"/>
    <w:multiLevelType w:val="singleLevel"/>
    <w:tmpl w:val="3E05ED9C"/>
    <w:lvl w:ilvl="0" w:tentative="0">
      <w:start w:val="1"/>
      <w:numFmt w:val="chineseCounting"/>
      <w:suff w:val="nothing"/>
      <w:lvlText w:val="（%1）"/>
      <w:lvlJc w:val="left"/>
      <w:rPr>
        <w:rFonts w:hint="eastAsia"/>
      </w:rPr>
    </w:lvl>
  </w:abstractNum>
  <w:abstractNum w:abstractNumId="4">
    <w:nsid w:val="479D2061"/>
    <w:multiLevelType w:val="multilevel"/>
    <w:tmpl w:val="479D206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208384F"/>
    <w:multiLevelType w:val="multilevel"/>
    <w:tmpl w:val="5208384F"/>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B4D597E"/>
    <w:multiLevelType w:val="singleLevel"/>
    <w:tmpl w:val="7B4D597E"/>
    <w:lvl w:ilvl="0" w:tentative="0">
      <w:start w:val="1"/>
      <w:numFmt w:val="decimal"/>
      <w:lvlText w:val="%1."/>
      <w:lvlJc w:val="left"/>
      <w:pPr>
        <w:ind w:left="425" w:hanging="425"/>
      </w:pPr>
      <w:rPr>
        <w:rFonts w:hint="default"/>
      </w:rPr>
    </w:lvl>
  </w:abstractNum>
  <w:num w:numId="1">
    <w:abstractNumId w:val="5"/>
  </w:num>
  <w:num w:numId="2">
    <w:abstractNumId w:val="3"/>
  </w:num>
  <w:num w:numId="3">
    <w:abstractNumId w:val="1"/>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dit="forms"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5NzIzNzU3OGFkM2FlMzVlMjYyMDZmNjQ1MDg3MjEifQ=="/>
    <w:docVar w:name="KGWebUrl" w:val="http://10.2.240.65:8888/seeyon/kgOfficeServlet?tolen=00970a849ca93bfc68ad79ac9c7263bc&amp;tko=KINGGRID_JSAPI&amp;m=s"/>
  </w:docVars>
  <w:rsids>
    <w:rsidRoot w:val="00AA6F6F"/>
    <w:rsid w:val="0002046F"/>
    <w:rsid w:val="00033A71"/>
    <w:rsid w:val="00093F81"/>
    <w:rsid w:val="000D6B77"/>
    <w:rsid w:val="000E1F00"/>
    <w:rsid w:val="00133087"/>
    <w:rsid w:val="00144E29"/>
    <w:rsid w:val="00184CB6"/>
    <w:rsid w:val="00191413"/>
    <w:rsid w:val="00193E80"/>
    <w:rsid w:val="001A7AA1"/>
    <w:rsid w:val="001A7B09"/>
    <w:rsid w:val="001B15B1"/>
    <w:rsid w:val="001B26EB"/>
    <w:rsid w:val="001B5481"/>
    <w:rsid w:val="001C3378"/>
    <w:rsid w:val="001D6826"/>
    <w:rsid w:val="002262CD"/>
    <w:rsid w:val="00243A8A"/>
    <w:rsid w:val="00263052"/>
    <w:rsid w:val="002D6627"/>
    <w:rsid w:val="002E06B0"/>
    <w:rsid w:val="0030031B"/>
    <w:rsid w:val="003634F4"/>
    <w:rsid w:val="003A6463"/>
    <w:rsid w:val="003C4DBA"/>
    <w:rsid w:val="003C773A"/>
    <w:rsid w:val="00403825"/>
    <w:rsid w:val="004051C5"/>
    <w:rsid w:val="00405E93"/>
    <w:rsid w:val="00443507"/>
    <w:rsid w:val="00445A96"/>
    <w:rsid w:val="00454650"/>
    <w:rsid w:val="00457B58"/>
    <w:rsid w:val="004725C7"/>
    <w:rsid w:val="004849FB"/>
    <w:rsid w:val="004A7C19"/>
    <w:rsid w:val="004C1404"/>
    <w:rsid w:val="00507699"/>
    <w:rsid w:val="005371D9"/>
    <w:rsid w:val="00543471"/>
    <w:rsid w:val="00545CD3"/>
    <w:rsid w:val="005A4F53"/>
    <w:rsid w:val="005D79F7"/>
    <w:rsid w:val="005E4922"/>
    <w:rsid w:val="00616D6A"/>
    <w:rsid w:val="0069004D"/>
    <w:rsid w:val="006A5DF8"/>
    <w:rsid w:val="006E03D2"/>
    <w:rsid w:val="007354F7"/>
    <w:rsid w:val="0073561A"/>
    <w:rsid w:val="00747CA8"/>
    <w:rsid w:val="00791F36"/>
    <w:rsid w:val="00795F26"/>
    <w:rsid w:val="0079618B"/>
    <w:rsid w:val="007B547A"/>
    <w:rsid w:val="007C71EE"/>
    <w:rsid w:val="007D16F0"/>
    <w:rsid w:val="007E5D85"/>
    <w:rsid w:val="00851F3B"/>
    <w:rsid w:val="0089737C"/>
    <w:rsid w:val="008D1B3D"/>
    <w:rsid w:val="00941B0F"/>
    <w:rsid w:val="00945A77"/>
    <w:rsid w:val="009A5857"/>
    <w:rsid w:val="009F359E"/>
    <w:rsid w:val="00A32680"/>
    <w:rsid w:val="00A70CE8"/>
    <w:rsid w:val="00AA659E"/>
    <w:rsid w:val="00AA6F6F"/>
    <w:rsid w:val="00AD65DF"/>
    <w:rsid w:val="00AF4A98"/>
    <w:rsid w:val="00B11E8A"/>
    <w:rsid w:val="00B4162D"/>
    <w:rsid w:val="00B54E70"/>
    <w:rsid w:val="00B579A8"/>
    <w:rsid w:val="00B62667"/>
    <w:rsid w:val="00B64C34"/>
    <w:rsid w:val="00BC1B47"/>
    <w:rsid w:val="00C255D5"/>
    <w:rsid w:val="00C27947"/>
    <w:rsid w:val="00C36811"/>
    <w:rsid w:val="00C46E1B"/>
    <w:rsid w:val="00CC5D15"/>
    <w:rsid w:val="00D264E1"/>
    <w:rsid w:val="00D54E74"/>
    <w:rsid w:val="00D60D14"/>
    <w:rsid w:val="00D6357A"/>
    <w:rsid w:val="00D64233"/>
    <w:rsid w:val="00D670B4"/>
    <w:rsid w:val="00DE05AA"/>
    <w:rsid w:val="00DE0BDC"/>
    <w:rsid w:val="00DF791D"/>
    <w:rsid w:val="00E14E6A"/>
    <w:rsid w:val="00E33D3C"/>
    <w:rsid w:val="00E44635"/>
    <w:rsid w:val="00E525F5"/>
    <w:rsid w:val="00E75504"/>
    <w:rsid w:val="00E8748B"/>
    <w:rsid w:val="00EB580E"/>
    <w:rsid w:val="00ED2B26"/>
    <w:rsid w:val="00F05682"/>
    <w:rsid w:val="00F21A17"/>
    <w:rsid w:val="00F23391"/>
    <w:rsid w:val="00F42345"/>
    <w:rsid w:val="00F52C47"/>
    <w:rsid w:val="00FC4D1F"/>
    <w:rsid w:val="00FF16E1"/>
    <w:rsid w:val="019B35F8"/>
    <w:rsid w:val="01AE2028"/>
    <w:rsid w:val="01CA3F1A"/>
    <w:rsid w:val="023615AF"/>
    <w:rsid w:val="02BD7C31"/>
    <w:rsid w:val="02CB7F49"/>
    <w:rsid w:val="02DE5ECF"/>
    <w:rsid w:val="03074E49"/>
    <w:rsid w:val="0314369E"/>
    <w:rsid w:val="03401BAD"/>
    <w:rsid w:val="03463A74"/>
    <w:rsid w:val="034D4E02"/>
    <w:rsid w:val="03791753"/>
    <w:rsid w:val="039C4D78"/>
    <w:rsid w:val="03C05E3D"/>
    <w:rsid w:val="049954C3"/>
    <w:rsid w:val="051060E7"/>
    <w:rsid w:val="05A056BD"/>
    <w:rsid w:val="05B21939"/>
    <w:rsid w:val="05B957E1"/>
    <w:rsid w:val="062956B3"/>
    <w:rsid w:val="06400C4E"/>
    <w:rsid w:val="06821F91"/>
    <w:rsid w:val="06A42F8B"/>
    <w:rsid w:val="06C453DB"/>
    <w:rsid w:val="06D870D9"/>
    <w:rsid w:val="073B129C"/>
    <w:rsid w:val="078775BB"/>
    <w:rsid w:val="07DA576D"/>
    <w:rsid w:val="07F32E12"/>
    <w:rsid w:val="080D690E"/>
    <w:rsid w:val="086504F8"/>
    <w:rsid w:val="086C6C04"/>
    <w:rsid w:val="088E3EF3"/>
    <w:rsid w:val="089F1C5C"/>
    <w:rsid w:val="08A13C26"/>
    <w:rsid w:val="08B1373D"/>
    <w:rsid w:val="08BF255A"/>
    <w:rsid w:val="08EC66F1"/>
    <w:rsid w:val="09043664"/>
    <w:rsid w:val="093C56FD"/>
    <w:rsid w:val="09491075"/>
    <w:rsid w:val="095011A8"/>
    <w:rsid w:val="095E1B17"/>
    <w:rsid w:val="09815806"/>
    <w:rsid w:val="09AB2FEA"/>
    <w:rsid w:val="09CE42B4"/>
    <w:rsid w:val="0A4A5BF8"/>
    <w:rsid w:val="0A510A9A"/>
    <w:rsid w:val="0A59408D"/>
    <w:rsid w:val="0A5E16A3"/>
    <w:rsid w:val="0B363C6C"/>
    <w:rsid w:val="0B3F7726"/>
    <w:rsid w:val="0B853F69"/>
    <w:rsid w:val="0BC2746B"/>
    <w:rsid w:val="0BEB340A"/>
    <w:rsid w:val="0BF05825"/>
    <w:rsid w:val="0C6231D6"/>
    <w:rsid w:val="0CBC0F3D"/>
    <w:rsid w:val="0CF650E0"/>
    <w:rsid w:val="0D991370"/>
    <w:rsid w:val="0DD56120"/>
    <w:rsid w:val="0E162B41"/>
    <w:rsid w:val="0E6574A4"/>
    <w:rsid w:val="0E6F41E3"/>
    <w:rsid w:val="0EE7610B"/>
    <w:rsid w:val="0F2C7FC2"/>
    <w:rsid w:val="0F324D49"/>
    <w:rsid w:val="0F7C2CF7"/>
    <w:rsid w:val="0F7F4595"/>
    <w:rsid w:val="0F8E47D8"/>
    <w:rsid w:val="10120F66"/>
    <w:rsid w:val="103E61FE"/>
    <w:rsid w:val="104650B3"/>
    <w:rsid w:val="10D64689"/>
    <w:rsid w:val="10E011AD"/>
    <w:rsid w:val="10FD39C4"/>
    <w:rsid w:val="1119519B"/>
    <w:rsid w:val="113D64B6"/>
    <w:rsid w:val="11567578"/>
    <w:rsid w:val="116457F1"/>
    <w:rsid w:val="11A338D9"/>
    <w:rsid w:val="11A536A8"/>
    <w:rsid w:val="11A96FEA"/>
    <w:rsid w:val="11B20C52"/>
    <w:rsid w:val="11D02A13"/>
    <w:rsid w:val="11D24E50"/>
    <w:rsid w:val="11FC55B2"/>
    <w:rsid w:val="124F46F3"/>
    <w:rsid w:val="1255732C"/>
    <w:rsid w:val="1276316D"/>
    <w:rsid w:val="12A84323"/>
    <w:rsid w:val="12B15CFA"/>
    <w:rsid w:val="12D879A5"/>
    <w:rsid w:val="133A3F9F"/>
    <w:rsid w:val="136A2E67"/>
    <w:rsid w:val="139323BD"/>
    <w:rsid w:val="13AE3CA0"/>
    <w:rsid w:val="13D50C28"/>
    <w:rsid w:val="13E470BD"/>
    <w:rsid w:val="14176080"/>
    <w:rsid w:val="14504752"/>
    <w:rsid w:val="14570193"/>
    <w:rsid w:val="14696E0D"/>
    <w:rsid w:val="14885D40"/>
    <w:rsid w:val="14C242DC"/>
    <w:rsid w:val="14CD2E2C"/>
    <w:rsid w:val="14DD7678"/>
    <w:rsid w:val="14E77465"/>
    <w:rsid w:val="150F1F18"/>
    <w:rsid w:val="151C4634"/>
    <w:rsid w:val="15777DC6"/>
    <w:rsid w:val="158D4522"/>
    <w:rsid w:val="15B409CE"/>
    <w:rsid w:val="15BA6327"/>
    <w:rsid w:val="15DD09BA"/>
    <w:rsid w:val="161F262E"/>
    <w:rsid w:val="164C5161"/>
    <w:rsid w:val="16767346"/>
    <w:rsid w:val="168D7598"/>
    <w:rsid w:val="16CF44B4"/>
    <w:rsid w:val="176C05BB"/>
    <w:rsid w:val="176D1177"/>
    <w:rsid w:val="1790180A"/>
    <w:rsid w:val="17AD77C6"/>
    <w:rsid w:val="17E01949"/>
    <w:rsid w:val="18253623"/>
    <w:rsid w:val="188E61A5"/>
    <w:rsid w:val="18AD129B"/>
    <w:rsid w:val="18E216F1"/>
    <w:rsid w:val="19280E4F"/>
    <w:rsid w:val="197467ED"/>
    <w:rsid w:val="197569BF"/>
    <w:rsid w:val="19793E03"/>
    <w:rsid w:val="1A277D03"/>
    <w:rsid w:val="1A6E774E"/>
    <w:rsid w:val="1A8F32FB"/>
    <w:rsid w:val="1A9345BD"/>
    <w:rsid w:val="1B3F34B5"/>
    <w:rsid w:val="1B404677"/>
    <w:rsid w:val="1B6943E2"/>
    <w:rsid w:val="1BB9498B"/>
    <w:rsid w:val="1BCB53E6"/>
    <w:rsid w:val="1C365F14"/>
    <w:rsid w:val="1C961170"/>
    <w:rsid w:val="1CAE7202"/>
    <w:rsid w:val="1CB00DE8"/>
    <w:rsid w:val="1D250495"/>
    <w:rsid w:val="1D2A4A9F"/>
    <w:rsid w:val="1D3739A3"/>
    <w:rsid w:val="1DB22BF3"/>
    <w:rsid w:val="1DB444D0"/>
    <w:rsid w:val="1DCA10D2"/>
    <w:rsid w:val="1DCD471E"/>
    <w:rsid w:val="1DEF7A31"/>
    <w:rsid w:val="1E390005"/>
    <w:rsid w:val="1E4106C9"/>
    <w:rsid w:val="1E720463"/>
    <w:rsid w:val="1E85149C"/>
    <w:rsid w:val="1EA73D3D"/>
    <w:rsid w:val="1EB06519"/>
    <w:rsid w:val="1EB22C18"/>
    <w:rsid w:val="1ED3181E"/>
    <w:rsid w:val="1F045B46"/>
    <w:rsid w:val="1F346382"/>
    <w:rsid w:val="1F6D7F66"/>
    <w:rsid w:val="1F841754"/>
    <w:rsid w:val="1F8A4127"/>
    <w:rsid w:val="1FD20E9E"/>
    <w:rsid w:val="1FF313E8"/>
    <w:rsid w:val="1FF5E194"/>
    <w:rsid w:val="20012DA5"/>
    <w:rsid w:val="20026E29"/>
    <w:rsid w:val="2007660D"/>
    <w:rsid w:val="20250841"/>
    <w:rsid w:val="20337402"/>
    <w:rsid w:val="205C7FDB"/>
    <w:rsid w:val="205D59B9"/>
    <w:rsid w:val="2080088A"/>
    <w:rsid w:val="20A85F01"/>
    <w:rsid w:val="20C55B80"/>
    <w:rsid w:val="20CD1665"/>
    <w:rsid w:val="20F44349"/>
    <w:rsid w:val="20F63F8C"/>
    <w:rsid w:val="21236A4E"/>
    <w:rsid w:val="216929AF"/>
    <w:rsid w:val="217E27C3"/>
    <w:rsid w:val="21C21163"/>
    <w:rsid w:val="21CF2333"/>
    <w:rsid w:val="21DC5877"/>
    <w:rsid w:val="2208666C"/>
    <w:rsid w:val="221078E4"/>
    <w:rsid w:val="221C2118"/>
    <w:rsid w:val="22401B7F"/>
    <w:rsid w:val="22563FB8"/>
    <w:rsid w:val="22635651"/>
    <w:rsid w:val="226B0F7E"/>
    <w:rsid w:val="228A4C66"/>
    <w:rsid w:val="22CE51C0"/>
    <w:rsid w:val="22DB5B2F"/>
    <w:rsid w:val="231F2B77"/>
    <w:rsid w:val="23616034"/>
    <w:rsid w:val="237B3901"/>
    <w:rsid w:val="243E0123"/>
    <w:rsid w:val="245060A9"/>
    <w:rsid w:val="24771AFA"/>
    <w:rsid w:val="24B47998"/>
    <w:rsid w:val="24B66EAB"/>
    <w:rsid w:val="24D96E82"/>
    <w:rsid w:val="24E231A5"/>
    <w:rsid w:val="24F00D05"/>
    <w:rsid w:val="250A44A9"/>
    <w:rsid w:val="25461985"/>
    <w:rsid w:val="25CB4399"/>
    <w:rsid w:val="25CC2570"/>
    <w:rsid w:val="25F04F72"/>
    <w:rsid w:val="25F75E71"/>
    <w:rsid w:val="26121868"/>
    <w:rsid w:val="264D28A0"/>
    <w:rsid w:val="265E6820"/>
    <w:rsid w:val="266D4CF0"/>
    <w:rsid w:val="26842436"/>
    <w:rsid w:val="26EC20B9"/>
    <w:rsid w:val="27D03788"/>
    <w:rsid w:val="28060F58"/>
    <w:rsid w:val="286D0FD7"/>
    <w:rsid w:val="287A6C1A"/>
    <w:rsid w:val="287F0D0A"/>
    <w:rsid w:val="290C10CD"/>
    <w:rsid w:val="293E2974"/>
    <w:rsid w:val="29686BF8"/>
    <w:rsid w:val="29910CF5"/>
    <w:rsid w:val="299912AB"/>
    <w:rsid w:val="29A22F02"/>
    <w:rsid w:val="29AC3D81"/>
    <w:rsid w:val="29D05CC2"/>
    <w:rsid w:val="29E76B67"/>
    <w:rsid w:val="2ABC6246"/>
    <w:rsid w:val="2AC62C21"/>
    <w:rsid w:val="2B474400"/>
    <w:rsid w:val="2BAC1E16"/>
    <w:rsid w:val="2BB35003"/>
    <w:rsid w:val="2BEA0B91"/>
    <w:rsid w:val="2BF1144A"/>
    <w:rsid w:val="2C9C0EB8"/>
    <w:rsid w:val="2CA62D0A"/>
    <w:rsid w:val="2CBC252D"/>
    <w:rsid w:val="2CBC42DB"/>
    <w:rsid w:val="2CDC2BCF"/>
    <w:rsid w:val="2CDD336D"/>
    <w:rsid w:val="2DA32FAF"/>
    <w:rsid w:val="2DE3100B"/>
    <w:rsid w:val="2DEE59AB"/>
    <w:rsid w:val="2E190092"/>
    <w:rsid w:val="2E2E2FB7"/>
    <w:rsid w:val="2E36678D"/>
    <w:rsid w:val="2E492729"/>
    <w:rsid w:val="2EB711FE"/>
    <w:rsid w:val="2EBF2556"/>
    <w:rsid w:val="2EC25E7A"/>
    <w:rsid w:val="2EC40A3A"/>
    <w:rsid w:val="2ECA134E"/>
    <w:rsid w:val="2F126D0D"/>
    <w:rsid w:val="2F162BDB"/>
    <w:rsid w:val="2F364819"/>
    <w:rsid w:val="2F6F67BE"/>
    <w:rsid w:val="2FC260AC"/>
    <w:rsid w:val="2FF40B34"/>
    <w:rsid w:val="3012061A"/>
    <w:rsid w:val="305D5DD5"/>
    <w:rsid w:val="308771AA"/>
    <w:rsid w:val="308C79F2"/>
    <w:rsid w:val="30A40DEF"/>
    <w:rsid w:val="30A500E0"/>
    <w:rsid w:val="30D342E9"/>
    <w:rsid w:val="311F16D6"/>
    <w:rsid w:val="315B28FE"/>
    <w:rsid w:val="31631FBD"/>
    <w:rsid w:val="319F23D5"/>
    <w:rsid w:val="31A852EF"/>
    <w:rsid w:val="31D25B88"/>
    <w:rsid w:val="324F5BF1"/>
    <w:rsid w:val="32B06690"/>
    <w:rsid w:val="32C10D2A"/>
    <w:rsid w:val="32D041EC"/>
    <w:rsid w:val="32EB4378"/>
    <w:rsid w:val="330A25DE"/>
    <w:rsid w:val="335D7E9A"/>
    <w:rsid w:val="336439EB"/>
    <w:rsid w:val="337A6C9E"/>
    <w:rsid w:val="33DB598F"/>
    <w:rsid w:val="34061083"/>
    <w:rsid w:val="340F5638"/>
    <w:rsid w:val="348D7353"/>
    <w:rsid w:val="34A22009"/>
    <w:rsid w:val="34B870CB"/>
    <w:rsid w:val="34D83C7C"/>
    <w:rsid w:val="34F776D7"/>
    <w:rsid w:val="3518051D"/>
    <w:rsid w:val="354C1CD3"/>
    <w:rsid w:val="35A7285A"/>
    <w:rsid w:val="35D73183"/>
    <w:rsid w:val="360F7149"/>
    <w:rsid w:val="36257DDC"/>
    <w:rsid w:val="36370E76"/>
    <w:rsid w:val="364C6576"/>
    <w:rsid w:val="364D79E0"/>
    <w:rsid w:val="36880227"/>
    <w:rsid w:val="36B3CC51"/>
    <w:rsid w:val="36E0506A"/>
    <w:rsid w:val="36F54638"/>
    <w:rsid w:val="371B60A2"/>
    <w:rsid w:val="37AC319E"/>
    <w:rsid w:val="37CEB6D6"/>
    <w:rsid w:val="384E53CA"/>
    <w:rsid w:val="38FB35D2"/>
    <w:rsid w:val="391D4354"/>
    <w:rsid w:val="3946262E"/>
    <w:rsid w:val="394E275F"/>
    <w:rsid w:val="39A86313"/>
    <w:rsid w:val="39C750CE"/>
    <w:rsid w:val="39CB3DB0"/>
    <w:rsid w:val="39CE1AF2"/>
    <w:rsid w:val="39ED170C"/>
    <w:rsid w:val="39F70FFC"/>
    <w:rsid w:val="39FA1FD7"/>
    <w:rsid w:val="3A0B0650"/>
    <w:rsid w:val="3A4A1178"/>
    <w:rsid w:val="3A6C7FD0"/>
    <w:rsid w:val="3A8D4274"/>
    <w:rsid w:val="3AB3AFD5"/>
    <w:rsid w:val="3AC058DE"/>
    <w:rsid w:val="3AC17961"/>
    <w:rsid w:val="3B1C0294"/>
    <w:rsid w:val="3B21A466"/>
    <w:rsid w:val="3B223EA3"/>
    <w:rsid w:val="3B2D6D2D"/>
    <w:rsid w:val="3B3F2CA7"/>
    <w:rsid w:val="3B457B92"/>
    <w:rsid w:val="3B4F27BE"/>
    <w:rsid w:val="3B6D7587"/>
    <w:rsid w:val="3B7C7A57"/>
    <w:rsid w:val="3B976C33"/>
    <w:rsid w:val="3BB326F8"/>
    <w:rsid w:val="3BC520F7"/>
    <w:rsid w:val="3BD90714"/>
    <w:rsid w:val="3BE13D5E"/>
    <w:rsid w:val="3BF60230"/>
    <w:rsid w:val="3BFF3E3F"/>
    <w:rsid w:val="3C230079"/>
    <w:rsid w:val="3C2D4CDE"/>
    <w:rsid w:val="3C2E0626"/>
    <w:rsid w:val="3C393EA3"/>
    <w:rsid w:val="3C5938F5"/>
    <w:rsid w:val="3C5F29D0"/>
    <w:rsid w:val="3C783B80"/>
    <w:rsid w:val="3CA803D8"/>
    <w:rsid w:val="3CB561AD"/>
    <w:rsid w:val="3CB66F99"/>
    <w:rsid w:val="3CC8439C"/>
    <w:rsid w:val="3D053A7C"/>
    <w:rsid w:val="3D641381"/>
    <w:rsid w:val="3D934BE4"/>
    <w:rsid w:val="3DE6565C"/>
    <w:rsid w:val="3E1D31E9"/>
    <w:rsid w:val="3E20765D"/>
    <w:rsid w:val="3EA22359"/>
    <w:rsid w:val="3ECB4852"/>
    <w:rsid w:val="3F0E36DA"/>
    <w:rsid w:val="3F0E4EC3"/>
    <w:rsid w:val="3F1F3EFC"/>
    <w:rsid w:val="3F6D1C51"/>
    <w:rsid w:val="3F6E3B5B"/>
    <w:rsid w:val="3F7EA21A"/>
    <w:rsid w:val="3F827606"/>
    <w:rsid w:val="3F9A2641"/>
    <w:rsid w:val="3FAFC1DA"/>
    <w:rsid w:val="3FC66FD7"/>
    <w:rsid w:val="3FFB2018"/>
    <w:rsid w:val="40544B3B"/>
    <w:rsid w:val="4061546E"/>
    <w:rsid w:val="409F3FCD"/>
    <w:rsid w:val="40C1415E"/>
    <w:rsid w:val="40DD5EEE"/>
    <w:rsid w:val="41B617E9"/>
    <w:rsid w:val="41BE244C"/>
    <w:rsid w:val="41F1012F"/>
    <w:rsid w:val="42162288"/>
    <w:rsid w:val="422B7AE1"/>
    <w:rsid w:val="426F4240"/>
    <w:rsid w:val="42E61F6E"/>
    <w:rsid w:val="42EF4FB3"/>
    <w:rsid w:val="43306A88"/>
    <w:rsid w:val="43470B32"/>
    <w:rsid w:val="438356FB"/>
    <w:rsid w:val="43970566"/>
    <w:rsid w:val="43A75D32"/>
    <w:rsid w:val="44281139"/>
    <w:rsid w:val="445C1832"/>
    <w:rsid w:val="44FF2443"/>
    <w:rsid w:val="451E1B7F"/>
    <w:rsid w:val="459C43BD"/>
    <w:rsid w:val="45F97EF6"/>
    <w:rsid w:val="46050649"/>
    <w:rsid w:val="46695BF6"/>
    <w:rsid w:val="467D2139"/>
    <w:rsid w:val="47022DDB"/>
    <w:rsid w:val="47583C0B"/>
    <w:rsid w:val="47794E4B"/>
    <w:rsid w:val="47835D34"/>
    <w:rsid w:val="47B70069"/>
    <w:rsid w:val="47C22C96"/>
    <w:rsid w:val="47CE40DE"/>
    <w:rsid w:val="47E27633"/>
    <w:rsid w:val="480575DC"/>
    <w:rsid w:val="48217291"/>
    <w:rsid w:val="484E77C5"/>
    <w:rsid w:val="48662CAB"/>
    <w:rsid w:val="487877F8"/>
    <w:rsid w:val="488717E9"/>
    <w:rsid w:val="48C26CC5"/>
    <w:rsid w:val="48FB5912"/>
    <w:rsid w:val="493059DD"/>
    <w:rsid w:val="498775A6"/>
    <w:rsid w:val="49BE123B"/>
    <w:rsid w:val="49D92519"/>
    <w:rsid w:val="4A2828EA"/>
    <w:rsid w:val="4A326025"/>
    <w:rsid w:val="4A4831FA"/>
    <w:rsid w:val="4A510301"/>
    <w:rsid w:val="4A547575"/>
    <w:rsid w:val="4A886551"/>
    <w:rsid w:val="4AA30431"/>
    <w:rsid w:val="4AC24D5B"/>
    <w:rsid w:val="4AE66C9B"/>
    <w:rsid w:val="4AFD0348"/>
    <w:rsid w:val="4B264FCE"/>
    <w:rsid w:val="4B5A1597"/>
    <w:rsid w:val="4B7224E8"/>
    <w:rsid w:val="4BA50711"/>
    <w:rsid w:val="4BC44E22"/>
    <w:rsid w:val="4C5C4B32"/>
    <w:rsid w:val="4C9444D5"/>
    <w:rsid w:val="4CAA2200"/>
    <w:rsid w:val="4CD07C03"/>
    <w:rsid w:val="4CD241FD"/>
    <w:rsid w:val="4D31441A"/>
    <w:rsid w:val="4D6E533A"/>
    <w:rsid w:val="4DA846DC"/>
    <w:rsid w:val="4DD86643"/>
    <w:rsid w:val="4E3B5741"/>
    <w:rsid w:val="4E50267E"/>
    <w:rsid w:val="4EBE3A8B"/>
    <w:rsid w:val="4ECD3CCE"/>
    <w:rsid w:val="4EDA2076"/>
    <w:rsid w:val="4F1A33B7"/>
    <w:rsid w:val="4F652159"/>
    <w:rsid w:val="4FA3048F"/>
    <w:rsid w:val="4FB629B4"/>
    <w:rsid w:val="4FC7696F"/>
    <w:rsid w:val="4FDC68BF"/>
    <w:rsid w:val="4FFB2DFD"/>
    <w:rsid w:val="508467C2"/>
    <w:rsid w:val="5086682B"/>
    <w:rsid w:val="50874A7C"/>
    <w:rsid w:val="50B255F6"/>
    <w:rsid w:val="50DB26D2"/>
    <w:rsid w:val="51310666"/>
    <w:rsid w:val="518058F5"/>
    <w:rsid w:val="51984674"/>
    <w:rsid w:val="519D5BDA"/>
    <w:rsid w:val="51D51818"/>
    <w:rsid w:val="521C2FA3"/>
    <w:rsid w:val="52911EC6"/>
    <w:rsid w:val="52C00EF1"/>
    <w:rsid w:val="52D41E7C"/>
    <w:rsid w:val="52E92665"/>
    <w:rsid w:val="530049CC"/>
    <w:rsid w:val="533F678C"/>
    <w:rsid w:val="5354496D"/>
    <w:rsid w:val="535B746C"/>
    <w:rsid w:val="53F24A03"/>
    <w:rsid w:val="54001829"/>
    <w:rsid w:val="54077F3E"/>
    <w:rsid w:val="540E1CEE"/>
    <w:rsid w:val="545B6C7A"/>
    <w:rsid w:val="546B0211"/>
    <w:rsid w:val="54754BEC"/>
    <w:rsid w:val="54877D10"/>
    <w:rsid w:val="549635BC"/>
    <w:rsid w:val="54AB258A"/>
    <w:rsid w:val="54CD4055"/>
    <w:rsid w:val="54D95202"/>
    <w:rsid w:val="55004DFD"/>
    <w:rsid w:val="55160C9A"/>
    <w:rsid w:val="55407BF5"/>
    <w:rsid w:val="555B2034"/>
    <w:rsid w:val="55A82D9F"/>
    <w:rsid w:val="55AA6BB4"/>
    <w:rsid w:val="55DF58B9"/>
    <w:rsid w:val="5604091D"/>
    <w:rsid w:val="563C1856"/>
    <w:rsid w:val="565B0DAE"/>
    <w:rsid w:val="566B2B56"/>
    <w:rsid w:val="566F7B40"/>
    <w:rsid w:val="56B431E4"/>
    <w:rsid w:val="56DF6C95"/>
    <w:rsid w:val="56E83D9B"/>
    <w:rsid w:val="56F52014"/>
    <w:rsid w:val="56FB2960"/>
    <w:rsid w:val="571A4A01"/>
    <w:rsid w:val="575C21F0"/>
    <w:rsid w:val="57802226"/>
    <w:rsid w:val="57A97343"/>
    <w:rsid w:val="57BC2A34"/>
    <w:rsid w:val="57C56946"/>
    <w:rsid w:val="57D4654B"/>
    <w:rsid w:val="58564D34"/>
    <w:rsid w:val="58694A68"/>
    <w:rsid w:val="588C24F1"/>
    <w:rsid w:val="589C7466"/>
    <w:rsid w:val="58B8779D"/>
    <w:rsid w:val="58C3061C"/>
    <w:rsid w:val="58FD3402"/>
    <w:rsid w:val="59367040"/>
    <w:rsid w:val="595354E0"/>
    <w:rsid w:val="59A1524E"/>
    <w:rsid w:val="59C7413C"/>
    <w:rsid w:val="59CB0AD1"/>
    <w:rsid w:val="59CC4757"/>
    <w:rsid w:val="59EA7E2A"/>
    <w:rsid w:val="59FF1320"/>
    <w:rsid w:val="5A00764E"/>
    <w:rsid w:val="5A364E1D"/>
    <w:rsid w:val="5AA224B3"/>
    <w:rsid w:val="5AC97A40"/>
    <w:rsid w:val="5AD2061B"/>
    <w:rsid w:val="5ADB41DE"/>
    <w:rsid w:val="5AED3615"/>
    <w:rsid w:val="5B3D6B2D"/>
    <w:rsid w:val="5B414AC9"/>
    <w:rsid w:val="5B6B0AF7"/>
    <w:rsid w:val="5B78C62D"/>
    <w:rsid w:val="5C3D2493"/>
    <w:rsid w:val="5C517BEE"/>
    <w:rsid w:val="5C583771"/>
    <w:rsid w:val="5CD7100B"/>
    <w:rsid w:val="5CDB77E1"/>
    <w:rsid w:val="5CDE7F8D"/>
    <w:rsid w:val="5CEC19E4"/>
    <w:rsid w:val="5D066D29"/>
    <w:rsid w:val="5D335644"/>
    <w:rsid w:val="5D9F2CDA"/>
    <w:rsid w:val="5DAF7C03"/>
    <w:rsid w:val="5DB17438"/>
    <w:rsid w:val="5DD319F9"/>
    <w:rsid w:val="5E323B4E"/>
    <w:rsid w:val="5E345D56"/>
    <w:rsid w:val="5E710732"/>
    <w:rsid w:val="5E7D126D"/>
    <w:rsid w:val="5E7FB630"/>
    <w:rsid w:val="5ECC5E53"/>
    <w:rsid w:val="5ED370DF"/>
    <w:rsid w:val="5EE7005F"/>
    <w:rsid w:val="5F07140C"/>
    <w:rsid w:val="5F097636"/>
    <w:rsid w:val="5F144173"/>
    <w:rsid w:val="5F194A57"/>
    <w:rsid w:val="5F322D12"/>
    <w:rsid w:val="5F6926E5"/>
    <w:rsid w:val="5F942D12"/>
    <w:rsid w:val="5FF5DD49"/>
    <w:rsid w:val="5FFE1F39"/>
    <w:rsid w:val="60066C8A"/>
    <w:rsid w:val="60483AFC"/>
    <w:rsid w:val="60897831"/>
    <w:rsid w:val="60AF220D"/>
    <w:rsid w:val="60C767CF"/>
    <w:rsid w:val="610C4B2A"/>
    <w:rsid w:val="6120205C"/>
    <w:rsid w:val="6142054C"/>
    <w:rsid w:val="61CA6D11"/>
    <w:rsid w:val="61F41846"/>
    <w:rsid w:val="61F80E1A"/>
    <w:rsid w:val="629F608A"/>
    <w:rsid w:val="62EC6A3C"/>
    <w:rsid w:val="63041F5D"/>
    <w:rsid w:val="64426C6D"/>
    <w:rsid w:val="646A5DEF"/>
    <w:rsid w:val="646C600B"/>
    <w:rsid w:val="646F1658"/>
    <w:rsid w:val="64803865"/>
    <w:rsid w:val="64D63485"/>
    <w:rsid w:val="65032DF9"/>
    <w:rsid w:val="654559B4"/>
    <w:rsid w:val="65D21DE8"/>
    <w:rsid w:val="65FD4851"/>
    <w:rsid w:val="66372649"/>
    <w:rsid w:val="663A7A43"/>
    <w:rsid w:val="66430FEE"/>
    <w:rsid w:val="665705F5"/>
    <w:rsid w:val="66764CBA"/>
    <w:rsid w:val="66994D7E"/>
    <w:rsid w:val="66B2010A"/>
    <w:rsid w:val="66B94E0C"/>
    <w:rsid w:val="677B47B7"/>
    <w:rsid w:val="67891F55"/>
    <w:rsid w:val="67E27449"/>
    <w:rsid w:val="67E81E4D"/>
    <w:rsid w:val="68071BA7"/>
    <w:rsid w:val="6852376A"/>
    <w:rsid w:val="686A5A39"/>
    <w:rsid w:val="68741433"/>
    <w:rsid w:val="689375A6"/>
    <w:rsid w:val="68D128E1"/>
    <w:rsid w:val="690B56C7"/>
    <w:rsid w:val="693B41FE"/>
    <w:rsid w:val="695F1EFC"/>
    <w:rsid w:val="69A17166"/>
    <w:rsid w:val="69AC0C58"/>
    <w:rsid w:val="69B33D95"/>
    <w:rsid w:val="6A085624"/>
    <w:rsid w:val="6A3003EA"/>
    <w:rsid w:val="6A3C13E7"/>
    <w:rsid w:val="6A475789"/>
    <w:rsid w:val="6A8B6805"/>
    <w:rsid w:val="6AA77936"/>
    <w:rsid w:val="6B0A3AD2"/>
    <w:rsid w:val="6B2036AC"/>
    <w:rsid w:val="6B5C404D"/>
    <w:rsid w:val="6B9F280F"/>
    <w:rsid w:val="6BBF0A30"/>
    <w:rsid w:val="6BE807D3"/>
    <w:rsid w:val="6C011EDA"/>
    <w:rsid w:val="6C117498"/>
    <w:rsid w:val="6C5125EA"/>
    <w:rsid w:val="6CD3474E"/>
    <w:rsid w:val="6CD43F42"/>
    <w:rsid w:val="6D2F747C"/>
    <w:rsid w:val="6D5D928D"/>
    <w:rsid w:val="6D8343C6"/>
    <w:rsid w:val="6E016288"/>
    <w:rsid w:val="6E3D795A"/>
    <w:rsid w:val="6E4E0530"/>
    <w:rsid w:val="6E7251F6"/>
    <w:rsid w:val="6E844D1B"/>
    <w:rsid w:val="6EA548D7"/>
    <w:rsid w:val="6EB107DC"/>
    <w:rsid w:val="6EFF2B78"/>
    <w:rsid w:val="6EFFFE06"/>
    <w:rsid w:val="6F1A5B68"/>
    <w:rsid w:val="6F3667DF"/>
    <w:rsid w:val="6F4A5627"/>
    <w:rsid w:val="6F745D74"/>
    <w:rsid w:val="6FEB4920"/>
    <w:rsid w:val="6FFF1ABC"/>
    <w:rsid w:val="70051509"/>
    <w:rsid w:val="70D80585"/>
    <w:rsid w:val="70F434AA"/>
    <w:rsid w:val="71224879"/>
    <w:rsid w:val="712A56AC"/>
    <w:rsid w:val="712D08D1"/>
    <w:rsid w:val="715D37BD"/>
    <w:rsid w:val="71CE576D"/>
    <w:rsid w:val="71FB259A"/>
    <w:rsid w:val="721101F2"/>
    <w:rsid w:val="721352DE"/>
    <w:rsid w:val="72730565"/>
    <w:rsid w:val="729A0448"/>
    <w:rsid w:val="72B15531"/>
    <w:rsid w:val="72CB1E47"/>
    <w:rsid w:val="72D27981"/>
    <w:rsid w:val="7312146F"/>
    <w:rsid w:val="73702CF6"/>
    <w:rsid w:val="74802B67"/>
    <w:rsid w:val="74A470FC"/>
    <w:rsid w:val="74EB4D2A"/>
    <w:rsid w:val="74EC2851"/>
    <w:rsid w:val="75400B46"/>
    <w:rsid w:val="75524DAA"/>
    <w:rsid w:val="757B789B"/>
    <w:rsid w:val="768369A4"/>
    <w:rsid w:val="76C433BD"/>
    <w:rsid w:val="76EA57E2"/>
    <w:rsid w:val="773002AC"/>
    <w:rsid w:val="77350A4C"/>
    <w:rsid w:val="773724A9"/>
    <w:rsid w:val="775F6EEC"/>
    <w:rsid w:val="77607E4A"/>
    <w:rsid w:val="77747518"/>
    <w:rsid w:val="778F74F7"/>
    <w:rsid w:val="77B358A8"/>
    <w:rsid w:val="77DB052C"/>
    <w:rsid w:val="77DD3D35"/>
    <w:rsid w:val="78012518"/>
    <w:rsid w:val="78063C29"/>
    <w:rsid w:val="781B7FDA"/>
    <w:rsid w:val="78504E72"/>
    <w:rsid w:val="786C6182"/>
    <w:rsid w:val="78A20F1A"/>
    <w:rsid w:val="78A568B9"/>
    <w:rsid w:val="78E6282C"/>
    <w:rsid w:val="7918089D"/>
    <w:rsid w:val="79206F6D"/>
    <w:rsid w:val="79B0209F"/>
    <w:rsid w:val="79D7762B"/>
    <w:rsid w:val="7A0348D0"/>
    <w:rsid w:val="7A355653"/>
    <w:rsid w:val="7A4D1FE3"/>
    <w:rsid w:val="7A7E219D"/>
    <w:rsid w:val="7AB5052D"/>
    <w:rsid w:val="7AC72486"/>
    <w:rsid w:val="7AE06E62"/>
    <w:rsid w:val="7AE24C9D"/>
    <w:rsid w:val="7B31720F"/>
    <w:rsid w:val="7B3E709B"/>
    <w:rsid w:val="7B554013"/>
    <w:rsid w:val="7B744583"/>
    <w:rsid w:val="7B79766B"/>
    <w:rsid w:val="7B906A33"/>
    <w:rsid w:val="7BA83BC3"/>
    <w:rsid w:val="7BC7D0D1"/>
    <w:rsid w:val="7BEFF3E4"/>
    <w:rsid w:val="7BF300B9"/>
    <w:rsid w:val="7BFFE65D"/>
    <w:rsid w:val="7C142DB9"/>
    <w:rsid w:val="7C2428D0"/>
    <w:rsid w:val="7C5C02BC"/>
    <w:rsid w:val="7C67455C"/>
    <w:rsid w:val="7C6D071B"/>
    <w:rsid w:val="7C7D42AC"/>
    <w:rsid w:val="7C943EFA"/>
    <w:rsid w:val="7CAA1027"/>
    <w:rsid w:val="7CAF2AE1"/>
    <w:rsid w:val="7CDC13FD"/>
    <w:rsid w:val="7CEF73EA"/>
    <w:rsid w:val="7CFBA6D5"/>
    <w:rsid w:val="7CFC55FB"/>
    <w:rsid w:val="7CFE6D9F"/>
    <w:rsid w:val="7D0D51FE"/>
    <w:rsid w:val="7D1D5C9D"/>
    <w:rsid w:val="7D6438CC"/>
    <w:rsid w:val="7D7B7934"/>
    <w:rsid w:val="7D890BCD"/>
    <w:rsid w:val="7E783D40"/>
    <w:rsid w:val="7E7BEA8D"/>
    <w:rsid w:val="7E7F77FA"/>
    <w:rsid w:val="7E8FA704"/>
    <w:rsid w:val="7E9405D7"/>
    <w:rsid w:val="7ED20D09"/>
    <w:rsid w:val="7ED71E7C"/>
    <w:rsid w:val="7EFCF26D"/>
    <w:rsid w:val="7F30A306"/>
    <w:rsid w:val="7F4F5EB6"/>
    <w:rsid w:val="7F5E8B6B"/>
    <w:rsid w:val="7F606315"/>
    <w:rsid w:val="7F7F8B31"/>
    <w:rsid w:val="7F916650"/>
    <w:rsid w:val="7FA426A6"/>
    <w:rsid w:val="7FD68274"/>
    <w:rsid w:val="7FE44850"/>
    <w:rsid w:val="7FFCA6AA"/>
    <w:rsid w:val="9DFFE5C7"/>
    <w:rsid w:val="9E7F77B0"/>
    <w:rsid w:val="A7BF6AD2"/>
    <w:rsid w:val="A9ED5123"/>
    <w:rsid w:val="AD5ECB3B"/>
    <w:rsid w:val="AF86A771"/>
    <w:rsid w:val="AFA4662D"/>
    <w:rsid w:val="AFCFCC2D"/>
    <w:rsid w:val="BA315BEB"/>
    <w:rsid w:val="BD33C55C"/>
    <w:rsid w:val="BE6FA4D1"/>
    <w:rsid w:val="BE6FC67E"/>
    <w:rsid w:val="C65975BF"/>
    <w:rsid w:val="C7DB4C36"/>
    <w:rsid w:val="CEFD8318"/>
    <w:rsid w:val="D3AFE0D6"/>
    <w:rsid w:val="D6FF46FA"/>
    <w:rsid w:val="DDDD55E2"/>
    <w:rsid w:val="DDF90919"/>
    <w:rsid w:val="DDFB142B"/>
    <w:rsid w:val="DF97E92B"/>
    <w:rsid w:val="DFEFC0BC"/>
    <w:rsid w:val="DFFEEAF0"/>
    <w:rsid w:val="DFFF5DE3"/>
    <w:rsid w:val="DFFFD1F6"/>
    <w:rsid w:val="E6FF0C46"/>
    <w:rsid w:val="E7FEA6BD"/>
    <w:rsid w:val="EB7645F6"/>
    <w:rsid w:val="EBE7011A"/>
    <w:rsid w:val="EBFB3495"/>
    <w:rsid w:val="EED673E0"/>
    <w:rsid w:val="EF5E23A4"/>
    <w:rsid w:val="F3E6765A"/>
    <w:rsid w:val="F677084A"/>
    <w:rsid w:val="F6FB711A"/>
    <w:rsid w:val="F7EFFB83"/>
    <w:rsid w:val="F7F74CFA"/>
    <w:rsid w:val="F7FFDFD7"/>
    <w:rsid w:val="F9BF9F74"/>
    <w:rsid w:val="FAEFD7C3"/>
    <w:rsid w:val="FBBCF94F"/>
    <w:rsid w:val="FBCFDECB"/>
    <w:rsid w:val="FBEA59BC"/>
    <w:rsid w:val="FBEFBDDD"/>
    <w:rsid w:val="FCAB495F"/>
    <w:rsid w:val="FDE7F7A9"/>
    <w:rsid w:val="FDEB666B"/>
    <w:rsid w:val="FDF7D5AE"/>
    <w:rsid w:val="FF7B17C1"/>
    <w:rsid w:val="FFADC522"/>
    <w:rsid w:val="FFBDEBCC"/>
    <w:rsid w:val="FFFF0EE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ody Text"/>
    <w:basedOn w:val="1"/>
    <w:next w:val="1"/>
    <w:unhideWhenUsed/>
    <w:qFormat/>
    <w:uiPriority w:val="99"/>
    <w:pPr>
      <w:spacing w:after="120"/>
    </w:pPr>
    <w:rPr>
      <w:szCs w:val="24"/>
    </w:rPr>
  </w:style>
  <w:style w:type="paragraph" w:styleId="4">
    <w:name w:val="Balloon Text"/>
    <w:basedOn w:val="1"/>
    <w:link w:val="18"/>
    <w:semiHidden/>
    <w:unhideWhenUsed/>
    <w:qFormat/>
    <w:uiPriority w:val="99"/>
    <w:rPr>
      <w:sz w:val="18"/>
      <w:szCs w:val="18"/>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unhideWhenUsed/>
    <w:qFormat/>
    <w:uiPriority w:val="99"/>
    <w:pPr>
      <w:spacing w:beforeAutospacing="1" w:afterAutospacing="1"/>
      <w:jc w:val="left"/>
    </w:pPr>
    <w:rPr>
      <w:rFonts w:cs="Times New Roman"/>
      <w:kern w:val="0"/>
      <w:sz w:val="24"/>
    </w:rPr>
  </w:style>
  <w:style w:type="paragraph" w:styleId="9">
    <w:name w:val="annotation subject"/>
    <w:basedOn w:val="2"/>
    <w:next w:val="2"/>
    <w:link w:val="17"/>
    <w:semiHidden/>
    <w:unhideWhenUsed/>
    <w:qFormat/>
    <w:uiPriority w:val="99"/>
    <w:rPr>
      <w:b/>
      <w:bCs/>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customStyle="1" w:styleId="14">
    <w:name w:val="Char"/>
    <w:basedOn w:val="1"/>
    <w:qFormat/>
    <w:uiPriority w:val="0"/>
    <w:pPr>
      <w:widowControl/>
      <w:spacing w:after="160" w:line="240" w:lineRule="exact"/>
      <w:jc w:val="left"/>
    </w:pPr>
  </w:style>
  <w:style w:type="paragraph" w:styleId="15">
    <w:name w:val="List Paragraph"/>
    <w:basedOn w:val="1"/>
    <w:qFormat/>
    <w:uiPriority w:val="34"/>
    <w:pPr>
      <w:ind w:firstLine="420" w:firstLineChars="200"/>
    </w:pPr>
  </w:style>
  <w:style w:type="character" w:customStyle="1" w:styleId="16">
    <w:name w:val="批注文字 字符"/>
    <w:basedOn w:val="12"/>
    <w:link w:val="2"/>
    <w:semiHidden/>
    <w:qFormat/>
    <w:uiPriority w:val="99"/>
    <w:rPr>
      <w:rFonts w:asciiTheme="minorHAnsi" w:hAnsiTheme="minorHAnsi" w:cstheme="minorBidi"/>
      <w:kern w:val="2"/>
      <w:sz w:val="21"/>
      <w:szCs w:val="22"/>
    </w:rPr>
  </w:style>
  <w:style w:type="character" w:customStyle="1" w:styleId="17">
    <w:name w:val="批注主题 字符"/>
    <w:basedOn w:val="16"/>
    <w:link w:val="9"/>
    <w:semiHidden/>
    <w:qFormat/>
    <w:uiPriority w:val="99"/>
    <w:rPr>
      <w:rFonts w:asciiTheme="minorHAnsi" w:hAnsiTheme="minorHAnsi" w:cstheme="minorBidi"/>
      <w:b/>
      <w:bCs/>
      <w:kern w:val="2"/>
      <w:sz w:val="21"/>
      <w:szCs w:val="22"/>
    </w:rPr>
  </w:style>
  <w:style w:type="character" w:customStyle="1" w:styleId="18">
    <w:name w:val="批注框文本 字符"/>
    <w:basedOn w:val="12"/>
    <w:link w:val="4"/>
    <w:semiHidden/>
    <w:qFormat/>
    <w:uiPriority w:val="99"/>
    <w:rPr>
      <w:rFonts w:asciiTheme="minorHAnsi" w:hAnsiTheme="minorHAnsi" w:cstheme="minorBidi"/>
      <w:kern w:val="2"/>
      <w:sz w:val="18"/>
      <w:szCs w:val="18"/>
    </w:rPr>
  </w:style>
  <w:style w:type="paragraph" w:customStyle="1" w:styleId="1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Other|1"/>
    <w:basedOn w:val="1"/>
    <w:qFormat/>
    <w:uiPriority w:val="0"/>
    <w:pPr>
      <w:jc w:val="left"/>
    </w:pPr>
    <w:rPr>
      <w:rFonts w:ascii="宋体" w:hAnsi="宋体" w:eastAsia="宋体" w:cs="宋体"/>
      <w:color w:val="000000"/>
      <w:kern w:val="0"/>
      <w:sz w:val="24"/>
      <w:szCs w:val="24"/>
    </w:rPr>
  </w:style>
  <w:style w:type="paragraph" w:customStyle="1" w:styleId="21">
    <w:name w:val="Body text|3"/>
    <w:basedOn w:val="1"/>
    <w:qFormat/>
    <w:uiPriority w:val="0"/>
    <w:pPr>
      <w:spacing w:after="360"/>
      <w:jc w:val="center"/>
    </w:pPr>
    <w:rPr>
      <w:rFonts w:ascii="宋体" w:hAnsi="宋体" w:eastAsia="宋体" w:cs="宋体"/>
      <w:color w:val="000000"/>
      <w:kern w:val="0"/>
      <w:sz w:val="36"/>
      <w:szCs w:val="36"/>
    </w:rPr>
  </w:style>
  <w:style w:type="paragraph" w:customStyle="1" w:styleId="22">
    <w:name w:val="Table caption|1"/>
    <w:basedOn w:val="1"/>
    <w:qFormat/>
    <w:uiPriority w:val="0"/>
    <w:pPr>
      <w:jc w:val="center"/>
    </w:pPr>
    <w:rPr>
      <w:rFonts w:ascii="宋体" w:hAnsi="宋体" w:eastAsia="宋体" w:cs="宋体"/>
      <w:b/>
      <w:bCs/>
      <w:color w:val="000000"/>
      <w:kern w:val="0"/>
      <w:sz w:val="30"/>
      <w:szCs w:val="30"/>
    </w:rPr>
  </w:style>
  <w:style w:type="paragraph" w:customStyle="1" w:styleId="23">
    <w:name w:val="表格文字"/>
    <w:basedOn w:val="1"/>
    <w:qFormat/>
    <w:uiPriority w:val="0"/>
    <w:pPr>
      <w:spacing w:before="25" w:after="25"/>
      <w:jc w:val="left"/>
    </w:pPr>
    <w:rPr>
      <w:bCs/>
      <w:spacing w:val="10"/>
      <w:kern w:val="0"/>
      <w:sz w:val="24"/>
    </w:rPr>
  </w:style>
  <w:style w:type="character" w:customStyle="1" w:styleId="24">
    <w:name w:val="15"/>
    <w:basedOn w:val="12"/>
    <w:qFormat/>
    <w:uiPriority w:val="0"/>
    <w:rPr>
      <w:rFonts w:hint="eastAsia" w:ascii="等线" w:hAnsi="等线" w:eastAsia="等线" w:cs="Times New Roman"/>
      <w:kern w:val="2"/>
      <w:sz w:val="21"/>
      <w:szCs w:val="21"/>
    </w:rPr>
  </w:style>
  <w:style w:type="paragraph" w:customStyle="1" w:styleId="25">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6">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7">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customStyle="1" w:styleId="28">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8</Pages>
  <Words>1100</Words>
  <Characters>6273</Characters>
  <Lines>52</Lines>
  <Paragraphs>14</Paragraphs>
  <TotalTime>28</TotalTime>
  <ScaleCrop>false</ScaleCrop>
  <LinksUpToDate>false</LinksUpToDate>
  <CharactersWithSpaces>7359</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2023-07-16T20:00:00Z</dcterms:created>
  <dc:creator>肖翔</dc:creator>
  <cp:lastModifiedBy>李映晖</cp:lastModifiedBy>
  <dcterms:modified xsi:type="dcterms:W3CDTF">2026-04-10T17:09:53Z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826DFC31F8964023BCEDC5EB4EE41D01_13</vt:lpwstr>
  </property>
  <property fmtid="{D5CDD505-2E9C-101B-9397-08002B2CF9AE}" pid="4" name="KSOTemplateDocerSaveRecord">
    <vt:lpwstr>eyJoZGlkIjoiN2QyMjg0YTNhZDkxMDgwOTIwODRhOTU0MjcxYTk4OGQiLCJ1c2VySWQiOiI0MDQ0MjcwMjMifQ==</vt:lpwstr>
  </property>
</Properties>
</file>