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bCs/>
          <w:sz w:val="32"/>
          <w:szCs w:val="32"/>
        </w:rPr>
      </w:pPr>
      <w:bookmarkStart w:id="2" w:name="_GoBack"/>
      <w:bookmarkEnd w:id="2"/>
      <w:r>
        <w:rPr>
          <w:rFonts w:hint="eastAsia" w:ascii="仿宋" w:hAnsi="仿宋" w:eastAsia="仿宋" w:cs="仿宋"/>
          <w:b/>
          <w:bCs/>
          <w:sz w:val="32"/>
          <w:szCs w:val="32"/>
        </w:rPr>
        <w:t>研用一体的通用型专病库及专病智能随访系统</w:t>
      </w:r>
    </w:p>
    <w:p>
      <w:pPr>
        <w:jc w:val="center"/>
        <w:rPr>
          <w:rFonts w:ascii="仿宋" w:hAnsi="仿宋" w:eastAsia="仿宋" w:cs="仿宋"/>
          <w:b/>
          <w:bCs/>
          <w:sz w:val="32"/>
          <w:szCs w:val="32"/>
        </w:rPr>
      </w:pPr>
      <w:r>
        <w:rPr>
          <w:rFonts w:hint="eastAsia" w:ascii="仿宋" w:hAnsi="仿宋" w:eastAsia="仿宋" w:cs="仿宋"/>
          <w:b/>
          <w:bCs/>
          <w:sz w:val="32"/>
          <w:szCs w:val="32"/>
        </w:rPr>
        <w:t>项目采购需求</w:t>
      </w:r>
    </w:p>
    <w:p>
      <w:pPr>
        <w:pStyle w:val="4"/>
        <w:keepNext w:val="0"/>
        <w:keepLines w:val="0"/>
        <w:widowControl/>
        <w:numPr>
          <w:ilvl w:val="0"/>
          <w:numId w:val="2"/>
        </w:numPr>
        <w:rPr>
          <w:rFonts w:ascii="仿宋" w:hAnsi="仿宋" w:eastAsia="仿宋" w:cs="仿宋"/>
          <w:bCs/>
          <w:sz w:val="30"/>
          <w:szCs w:val="30"/>
        </w:rPr>
      </w:pPr>
      <w:r>
        <w:rPr>
          <w:rFonts w:hint="eastAsia" w:ascii="仿宋" w:hAnsi="仿宋" w:eastAsia="仿宋" w:cs="仿宋"/>
          <w:bCs/>
          <w:sz w:val="30"/>
          <w:szCs w:val="30"/>
        </w:rPr>
        <w:t>项目背景</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在“十五五”规划（2026-2030）的开局之年，国家对专病数据与全周期管理的政策支持力度显著增强，在这一时期的政策核心逻辑已从单纯的“信息化建设”转向了“数据要素价值”与“患者服务闭环”。此外，随着“健康中国2030”战略的深入推进和医疗体制改革的持续深化，我国医疗卫生事业正经历着从“以治疗为中心”向“以健康为中心”的根本性转变。在这一宏大背景下，构建覆盖全生命周期的健康管理体系，提升临床科研水平与医疗服务质量，已成为各级医疗机构实现高质量发展的核心任务。基于此，构建通用型专病研究和应用一体化平台及自动化随访项目正是在响应国家战略、应对现实挑战、把握技术机遇的多重驱动下应运而生。</w:t>
      </w:r>
    </w:p>
    <w:p>
      <w:pPr>
        <w:pStyle w:val="4"/>
        <w:keepNext w:val="0"/>
        <w:keepLines w:val="0"/>
        <w:widowControl/>
        <w:numPr>
          <w:ilvl w:val="2"/>
          <w:numId w:val="0"/>
        </w:numPr>
        <w:rPr>
          <w:rFonts w:ascii="仿宋" w:hAnsi="仿宋" w:eastAsia="仿宋" w:cs="仿宋"/>
          <w:bCs/>
          <w:sz w:val="30"/>
          <w:szCs w:val="30"/>
        </w:rPr>
      </w:pPr>
      <w:r>
        <w:rPr>
          <w:rFonts w:hint="eastAsia" w:ascii="仿宋" w:hAnsi="仿宋" w:eastAsia="仿宋" w:cs="仿宋"/>
          <w:bCs/>
          <w:sz w:val="30"/>
          <w:szCs w:val="30"/>
        </w:rPr>
        <w:t>1.1  高质量数据集构建的必要性</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十五五”期间，生命健康数据被明确界定为国家重要的基础性战略性资源。政策不再仅仅要求医院“存数据”，而是要求“用数据”并保障数据安全。“十五五”规划纲要明确提出要深化数据资源开发利用，加快构建自主可控的生命健康可信数据空间。这意味着医院必须建立标准化的专病数据库，打破院内孤岛，才能在未来与国家及区域级数据平台对接，参与科研与产业创新。</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国家发改委及卫健委多次强调构建高质量医疗数据集，特别是针对基因、临床、影像等多模态数据的汇聚治理。这是训练医疗AI大模型的基础，也是专病库建设的核心任务。</w:t>
      </w:r>
    </w:p>
    <w:p>
      <w:pPr>
        <w:pStyle w:val="4"/>
        <w:keepNext w:val="0"/>
        <w:keepLines w:val="0"/>
        <w:widowControl/>
        <w:numPr>
          <w:ilvl w:val="2"/>
          <w:numId w:val="0"/>
        </w:numPr>
        <w:rPr>
          <w:rFonts w:ascii="仿宋" w:hAnsi="仿宋" w:eastAsia="仿宋" w:cs="仿宋"/>
          <w:bCs/>
          <w:sz w:val="30"/>
          <w:szCs w:val="30"/>
        </w:rPr>
      </w:pPr>
      <w:r>
        <w:rPr>
          <w:rFonts w:hint="eastAsia" w:ascii="仿宋" w:hAnsi="仿宋" w:eastAsia="仿宋" w:cs="仿宋"/>
          <w:bCs/>
          <w:sz w:val="30"/>
          <w:szCs w:val="30"/>
        </w:rPr>
        <w:t>1.2  患者全周期闭环，推动疾病关口前移</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习近平总书记在2016年全国卫生与健康大会上强调推进“公平可及、系统连续的预防、治疗、康复、健康促进等健康服务”，为发展防治康管全链条服务提供了根本遵循。《中共中央关于制定国民经济和社会发展第十五个五年规划的建议》提出：“发展防治康管全链条服务。”这是落实习近平总书记重要指示精神的具体行动，是推动健康服务供给侧结构性改革的系统性安排，也是更好满足群众看病就医需求的一项重要举措。发展防治康管全链条服务，是指推进全体人民享有所需要的、有质量的、可负担的、连续性的预防、治疗、康复、健康管理与促进服务，重点是强化医防协同、医防融合和社会共治，推动防治康管资源从“碎片化”到“一体化”，构建“院前健康管理、院中诊断治疗、院后保健康复”的全过程健康服务模式，推进对疾病发生发展全过程的连续性管理干预，推动实现早防早诊早治早康复。</w:t>
      </w:r>
    </w:p>
    <w:p>
      <w:pPr>
        <w:pStyle w:val="4"/>
        <w:keepNext w:val="0"/>
        <w:keepLines w:val="0"/>
        <w:widowControl/>
        <w:numPr>
          <w:ilvl w:val="2"/>
          <w:numId w:val="0"/>
        </w:numPr>
        <w:rPr>
          <w:rFonts w:ascii="仿宋" w:hAnsi="仿宋" w:eastAsia="仿宋" w:cs="仿宋"/>
          <w:bCs/>
          <w:sz w:val="30"/>
          <w:szCs w:val="30"/>
        </w:rPr>
      </w:pPr>
      <w:r>
        <w:rPr>
          <w:rFonts w:hint="eastAsia" w:ascii="仿宋" w:hAnsi="仿宋" w:eastAsia="仿宋" w:cs="仿宋"/>
          <w:bCs/>
          <w:sz w:val="30"/>
          <w:szCs w:val="30"/>
        </w:rPr>
        <w:t>1.3 破解发展瓶颈，激活沉睡的临床数据价值</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当前，医院在开展临床科研与患者管理时普遍面临三大核心痛点：</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数据孤岛林立，整合利用难：海量的诊疗数据分散在HIS、EMR、LIS、PACS等多个独立系统中，形成一个个“数据烟囱”。这些数据格式不一、标准各异，尤其是病程记录、手术小结等非结构化文本占据了80%以上的信息量，难以被有效提取和利用，导致宝贵的临床数据如同“沉睡的宝藏”，无法为科研和管理提供有效支持。</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科研效率低下，成果转化慢：传统的临床研究高度依赖人工进行病例筛选、数据摘录和表单填写，这种方式不仅耗时耗力、成本高昂，而且极易出错。研究人员往往将大部分精力耗费在繁琐的数据处理上，而非研究设计与创新思考，严重制约了科研成果的产出效率和转化速度。</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患者随访困难，管理闭环缺位：对于出院患者，特别是慢病患者和术后康复患者，传统的电话或门诊随访方式覆盖率低、依从性差、数据记录不完整。医护人员人均管理患者数量有限，难以实现大规模、精细化的长期跟踪。这导致院外数据缺失，无法形成完整的患者健康档案，使得“院内治疗-院外康复”的管理闭环难以真正落地。</w:t>
      </w:r>
    </w:p>
    <w:p>
      <w:pPr>
        <w:widowControl/>
        <w:spacing w:before="163" w:after="163" w:line="360" w:lineRule="auto"/>
        <w:outlineLvl w:val="2"/>
        <w:rPr>
          <w:rFonts w:ascii="仿宋" w:hAnsi="仿宋" w:eastAsia="仿宋" w:cs="仿宋"/>
          <w:b/>
          <w:bCs/>
          <w:sz w:val="30"/>
          <w:szCs w:val="30"/>
        </w:rPr>
      </w:pPr>
      <w:r>
        <w:rPr>
          <w:rFonts w:hint="eastAsia" w:ascii="仿宋" w:hAnsi="仿宋" w:eastAsia="仿宋" w:cs="仿宋"/>
          <w:b/>
          <w:bCs/>
          <w:sz w:val="30"/>
          <w:szCs w:val="30"/>
        </w:rPr>
        <w:t>1.4 技术突破，构建智慧医疗新范式</w:t>
      </w:r>
    </w:p>
    <w:p>
      <w:pPr>
        <w:widowControl/>
        <w:spacing w:after="120" w:line="360" w:lineRule="auto"/>
        <w:ind w:firstLine="560" w:firstLineChars="200"/>
        <w:rPr>
          <w:rFonts w:ascii="仿宋" w:hAnsi="仿宋" w:eastAsia="仿宋" w:cs="仿宋"/>
          <w:sz w:val="28"/>
          <w:szCs w:val="28"/>
        </w:rPr>
      </w:pPr>
      <w:r>
        <w:rPr>
          <w:rFonts w:hint="eastAsia" w:ascii="仿宋" w:hAnsi="仿宋" w:eastAsia="仿宋" w:cs="仿宋"/>
          <w:sz w:val="28"/>
          <w:szCs w:val="28"/>
        </w:rPr>
        <w:t>人工智能、大数据、自然语言处理（NLP）等新一代信息技术的迅猛发展，为破解上述难题提供了全新的解决方案。</w:t>
      </w:r>
    </w:p>
    <w:p>
      <w:pPr>
        <w:widowControl/>
        <w:ind w:firstLine="560" w:firstLineChars="200"/>
        <w:jc w:val="left"/>
        <w:rPr>
          <w:rFonts w:ascii="仿宋" w:hAnsi="仿宋" w:eastAsia="仿宋" w:cs="仿宋"/>
          <w:sz w:val="28"/>
          <w:szCs w:val="28"/>
        </w:rPr>
      </w:pPr>
      <w:r>
        <w:rPr>
          <w:rFonts w:hint="eastAsia" w:ascii="仿宋" w:hAnsi="仿宋" w:eastAsia="仿宋" w:cs="仿宋"/>
          <w:sz w:val="28"/>
          <w:szCs w:val="28"/>
        </w:rPr>
        <w:t>数据治理智能化：利用先进的ETL工具和NLP引擎，自动对接并整合多源异构数据，将非结构化文本转化为可供分析的结构化信息，构建高质量的专病数据库，为科研与应用打下坚实基础。科研流程自动化：通过可视化队列构建、智能统计分析等功能，将研究人员从重复性劳动中解放出来，显著提升科研效率，加速从数据到发现的转化过程。患者管理精准化：部署基于AI的自动化随访系统，能够通过多种渠道，高效、精准地完成大规模患者随访，实时捕捉患者院外健康状况，并及时预警异常情况，从而实现真正意义上的全周期、精细化患者管理。</w:t>
      </w:r>
    </w:p>
    <w:p>
      <w:pPr>
        <w:pStyle w:val="3"/>
        <w:numPr>
          <w:ilvl w:val="0"/>
          <w:numId w:val="2"/>
        </w:numPr>
        <w:rPr>
          <w:rFonts w:ascii="仿宋" w:hAnsi="仿宋" w:eastAsia="仿宋" w:cs="仿宋"/>
          <w:sz w:val="30"/>
          <w:szCs w:val="30"/>
        </w:rPr>
      </w:pPr>
      <w:r>
        <w:rPr>
          <w:rFonts w:hint="eastAsia" w:ascii="仿宋" w:hAnsi="仿宋" w:eastAsia="仿宋" w:cs="仿宋"/>
          <w:sz w:val="30"/>
          <w:szCs w:val="30"/>
        </w:rPr>
        <w:t>建设目标</w:t>
      </w:r>
    </w:p>
    <w:p>
      <w:pPr>
        <w:pStyle w:val="3"/>
        <w:numPr>
          <w:ilvl w:val="1"/>
          <w:numId w:val="0"/>
        </w:numPr>
        <w:spacing w:before="120" w:after="120"/>
        <w:rPr>
          <w:rFonts w:ascii="仿宋" w:hAnsi="仿宋" w:eastAsia="仿宋" w:cs="仿宋"/>
          <w:sz w:val="30"/>
          <w:szCs w:val="30"/>
        </w:rPr>
      </w:pPr>
      <w:bookmarkStart w:id="0" w:name="_Toc15589"/>
      <w:r>
        <w:rPr>
          <w:rFonts w:hint="eastAsia" w:ascii="仿宋" w:hAnsi="仿宋" w:eastAsia="仿宋" w:cs="仿宋"/>
          <w:sz w:val="30"/>
          <w:szCs w:val="30"/>
        </w:rPr>
        <w:t>2.1 目标一：高质量、标准化的专病数据集</w:t>
      </w:r>
    </w:p>
    <w:p>
      <w:pPr>
        <w:spacing w:line="360" w:lineRule="auto"/>
        <w:ind w:firstLine="560" w:firstLineChars="200"/>
        <w:rPr>
          <w:rFonts w:ascii="仿宋" w:hAnsi="仿宋" w:eastAsia="仿宋" w:cs="仿宋"/>
        </w:rPr>
      </w:pPr>
      <w:r>
        <w:rPr>
          <w:rFonts w:hint="eastAsia" w:ascii="仿宋" w:hAnsi="仿宋" w:eastAsia="仿宋" w:cs="仿宋"/>
          <w:sz w:val="28"/>
          <w:szCs w:val="28"/>
        </w:rPr>
        <w:t>打破数据孤岛，全面对接院内HIS、EMR、LIS、PACS、病理等核心业务系统，实现患者诊疗数据的自动采集与实时同步。通过深度清洗与治理院内电子病历数据，建立符合国际及国家规范的统一数据元与术语标准，实现临床信息的精准结构化。重点聚焦核心诊疗特征与疗效评价指标，确保数据的完整性、准确性与一致性。以此打破数据孤岛，为真实世界研究、临床科研分析及学科高质量发展提供坚实、可靠的数据基石。</w:t>
      </w:r>
    </w:p>
    <w:p>
      <w:pPr>
        <w:pStyle w:val="3"/>
        <w:numPr>
          <w:ilvl w:val="1"/>
          <w:numId w:val="0"/>
        </w:numPr>
        <w:spacing w:before="120" w:after="120"/>
        <w:rPr>
          <w:rFonts w:ascii="仿宋" w:hAnsi="仿宋" w:eastAsia="仿宋" w:cs="仿宋"/>
          <w:sz w:val="30"/>
          <w:szCs w:val="30"/>
        </w:rPr>
      </w:pPr>
      <w:r>
        <w:rPr>
          <w:rFonts w:hint="eastAsia" w:ascii="仿宋" w:hAnsi="仿宋" w:eastAsia="仿宋" w:cs="仿宋"/>
          <w:sz w:val="30"/>
          <w:szCs w:val="30"/>
        </w:rPr>
        <w:t>2.2 目标二：可迅速开展临床科学研究</w:t>
      </w:r>
      <w:bookmarkEnd w:id="0"/>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可根据学科发展和临床医疗服务改善、临床医疗质量提升需要，灵活、迅速地开展临床科学研究，包括病例报告表自定义、数据自动采集、数据治理、专病库生成、病例纳排、队列研究和对照组构建、统计分析、课题或研究方向的定性/定量验证等，支撑医院向研究型医院的数字化转型。</w:t>
      </w:r>
    </w:p>
    <w:p>
      <w:pPr>
        <w:pStyle w:val="3"/>
        <w:numPr>
          <w:ilvl w:val="1"/>
          <w:numId w:val="0"/>
        </w:numPr>
        <w:spacing w:before="120" w:after="120"/>
        <w:rPr>
          <w:rFonts w:ascii="仿宋" w:hAnsi="仿宋" w:eastAsia="仿宋" w:cs="仿宋"/>
          <w:sz w:val="30"/>
          <w:szCs w:val="30"/>
        </w:rPr>
      </w:pPr>
      <w:bookmarkStart w:id="1" w:name="_Toc25984"/>
      <w:r>
        <w:rPr>
          <w:rFonts w:hint="eastAsia" w:ascii="仿宋" w:hAnsi="仿宋" w:eastAsia="仿宋" w:cs="仿宋"/>
          <w:sz w:val="30"/>
          <w:szCs w:val="30"/>
        </w:rPr>
        <w:t>2.3 目标三：识别共病风险推动医院科间转介</w:t>
      </w:r>
      <w:bookmarkEnd w:id="1"/>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基于专病库、患者电子病历等数据，通过大语言模型、机器学习等技术，及时识别当前就诊患者的共病风险，并引导到具体的科室普通门诊、专家门诊等做进一步的诊断和治疗干预，改善就医感受，提升患者体验，推进诊治关口前移。</w:t>
      </w:r>
    </w:p>
    <w:p>
      <w:pPr>
        <w:pStyle w:val="3"/>
        <w:numPr>
          <w:ilvl w:val="1"/>
          <w:numId w:val="0"/>
        </w:numPr>
        <w:spacing w:before="120" w:after="120"/>
        <w:rPr>
          <w:rFonts w:ascii="仿宋" w:hAnsi="仿宋" w:eastAsia="仿宋" w:cs="仿宋"/>
          <w:sz w:val="30"/>
          <w:szCs w:val="30"/>
        </w:rPr>
      </w:pPr>
      <w:r>
        <w:rPr>
          <w:rFonts w:hint="eastAsia" w:ascii="仿宋" w:hAnsi="仿宋" w:eastAsia="仿宋" w:cs="仿宋"/>
          <w:sz w:val="30"/>
          <w:szCs w:val="30"/>
        </w:rPr>
        <w:t>2.4 目标四：打造高效、精准的专病智能随访管理体系</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实现随访自动化与规模化：通过微信、短信等多渠道触达工具，替代传统人工电话随访。目标是将医护人员的随访工作效率大幅提升，人均管理患者数量成倍扩大。</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大幅提升随访依从性：通过个性化的随访计划与智能提醒机制，解决患者失访率高的问题。项目建成后，重点专病的随访覆盖率达到90%以上。</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建立异常预警闭环：系统需具备实时数据分析能力，对随访中采集到的患者异常指标（如术后并发症征兆、慢病指标失控等）自动触发分级预警，并即时推送给医护人员进行干预，有效降低非计划性再入院率。</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ascii="仿宋" w:hAnsi="仿宋" w:eastAsia="仿宋" w:cs="仿宋"/>
          <w:sz w:val="28"/>
          <w:szCs w:val="28"/>
        </w:rPr>
        <w:t xml:space="preserve">  </w:t>
      </w:r>
      <w:r>
        <w:rPr>
          <w:rFonts w:hint="eastAsia" w:ascii="仿宋" w:hAnsi="仿宋" w:eastAsia="仿宋" w:cs="仿宋"/>
          <w:sz w:val="28"/>
          <w:szCs w:val="28"/>
        </w:rPr>
        <w:t>项目实施与售后服务要求</w:t>
      </w:r>
    </w:p>
    <w:p>
      <w:pPr>
        <w:spacing w:line="360" w:lineRule="auto"/>
        <w:ind w:firstLine="560" w:firstLineChars="200"/>
        <w:rPr>
          <w:rFonts w:hint="eastAsia" w:ascii="仿宋" w:hAnsi="仿宋" w:eastAsia="仿宋" w:cs="仿宋"/>
          <w:sz w:val="28"/>
          <w:szCs w:val="28"/>
        </w:rPr>
      </w:pPr>
      <w:r>
        <w:rPr>
          <w:rFonts w:ascii="仿宋" w:hAnsi="仿宋" w:eastAsia="仿宋" w:cs="仿宋"/>
          <w:sz w:val="28"/>
          <w:szCs w:val="28"/>
        </w:rPr>
        <w:t>3.1</w:t>
      </w:r>
      <w:r>
        <w:rPr>
          <w:rFonts w:hint="eastAsia" w:ascii="仿宋" w:hAnsi="仿宋" w:eastAsia="仿宋" w:cs="仿宋"/>
          <w:sz w:val="28"/>
          <w:szCs w:val="28"/>
        </w:rPr>
        <w:t xml:space="preserve">项目实施： </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供应商需提供详细的项目实施计划，包括项目启动、需求调研、系统部署、配置开发、数据迁移、用户培训、上线试运行、项目验收等各阶段的时间安排与交付物。需指派经验丰富的项目经理及实施团队，并建立定期（如每周）沟通汇报机制。优选要求： 供应商应能提供“项目看板”等工具，使医院方能透明化地了解项目任务进度、风险及问题处理情况。</w:t>
      </w:r>
    </w:p>
    <w:p>
      <w:pPr>
        <w:spacing w:line="360" w:lineRule="auto"/>
        <w:ind w:firstLine="560" w:firstLineChars="200"/>
        <w:rPr>
          <w:rFonts w:hint="eastAsia" w:ascii="仿宋" w:hAnsi="仿宋" w:eastAsia="仿宋" w:cs="仿宋"/>
          <w:sz w:val="28"/>
          <w:szCs w:val="28"/>
        </w:rPr>
      </w:pPr>
    </w:p>
    <w:p>
      <w:pPr>
        <w:spacing w:line="360" w:lineRule="auto"/>
        <w:ind w:firstLine="560" w:firstLineChars="200"/>
        <w:rPr>
          <w:rFonts w:ascii="仿宋" w:hAnsi="仿宋" w:eastAsia="仿宋" w:cs="仿宋"/>
          <w:sz w:val="28"/>
          <w:szCs w:val="28"/>
        </w:rPr>
      </w:pPr>
      <w:r>
        <w:rPr>
          <w:rFonts w:ascii="仿宋" w:hAnsi="仿宋" w:eastAsia="仿宋" w:cs="仿宋"/>
          <w:sz w:val="28"/>
          <w:szCs w:val="28"/>
        </w:rPr>
        <w:t>3.2</w:t>
      </w:r>
      <w:r>
        <w:rPr>
          <w:rFonts w:hint="eastAsia" w:ascii="仿宋" w:hAnsi="仿宋" w:eastAsia="仿宋" w:cs="仿宋"/>
          <w:sz w:val="28"/>
          <w:szCs w:val="28"/>
        </w:rPr>
        <w:t>培训要求： 提供针对系统管理员、关键用户、普通员工等不同角色的分层培训，确保各类用户能熟练使用系统。</w:t>
      </w:r>
    </w:p>
    <w:p>
      <w:pPr>
        <w:spacing w:line="360" w:lineRule="auto"/>
        <w:ind w:firstLine="560" w:firstLineChars="200"/>
        <w:rPr>
          <w:rFonts w:hint="eastAsia" w:ascii="仿宋" w:hAnsi="仿宋" w:eastAsia="仿宋" w:cs="仿宋"/>
          <w:sz w:val="28"/>
          <w:szCs w:val="28"/>
        </w:rPr>
      </w:pPr>
    </w:p>
    <w:p>
      <w:pPr>
        <w:spacing w:line="360" w:lineRule="auto"/>
        <w:ind w:firstLine="560" w:firstLineChars="200"/>
        <w:rPr>
          <w:rFonts w:hint="eastAsia" w:ascii="仿宋" w:hAnsi="仿宋" w:eastAsia="仿宋" w:cs="仿宋"/>
          <w:sz w:val="28"/>
          <w:szCs w:val="28"/>
        </w:rPr>
      </w:pPr>
      <w:r>
        <w:rPr>
          <w:rFonts w:ascii="仿宋" w:hAnsi="仿宋" w:eastAsia="仿宋" w:cs="仿宋"/>
          <w:sz w:val="28"/>
          <w:szCs w:val="28"/>
        </w:rPr>
        <w:t>3.3</w:t>
      </w:r>
      <w:r>
        <w:rPr>
          <w:rFonts w:hint="eastAsia" w:ascii="仿宋" w:hAnsi="仿宋" w:eastAsia="仿宋" w:cs="仿宋"/>
          <w:sz w:val="28"/>
          <w:szCs w:val="28"/>
        </w:rPr>
        <w:t xml:space="preserve">售后服务： </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提供至少1年的免费原厂技术支持与维护服务。</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明确服务响应时间（如7×24小时热线，2小时内响应，4小时内提供解决方案等）。</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承诺在免费维保期内提供系统漏洞修复及必要的适应性升级。</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提供长期的产品升级路径与优惠策略。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5BE0D"/>
    <w:multiLevelType w:val="multilevel"/>
    <w:tmpl w:val="9205BE0D"/>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45133286"/>
    <w:multiLevelType w:val="multilevel"/>
    <w:tmpl w:val="45133286"/>
    <w:lvl w:ilvl="0" w:tentative="0">
      <w:start w:val="1"/>
      <w:numFmt w:val="chineseCountingThousand"/>
      <w:lvlText w:val="%1."/>
      <w:lvlJc w:val="left"/>
      <w:pPr>
        <w:ind w:left="0" w:firstLine="0"/>
      </w:pPr>
      <w:rPr>
        <w:rFonts w:hint="eastAsia" w:ascii="宋体" w:hAnsi="宋体" w:eastAsia="宋体"/>
        <w:b/>
        <w:i w:val="0"/>
        <w:sz w:val="32"/>
        <w:szCs w:val="21"/>
      </w:rPr>
    </w:lvl>
    <w:lvl w:ilvl="1" w:tentative="0">
      <w:start w:val="1"/>
      <w:numFmt w:val="decimal"/>
      <w:pStyle w:val="3"/>
      <w:lvlText w:val="%2."/>
      <w:lvlJc w:val="left"/>
      <w:pPr>
        <w:ind w:left="0" w:firstLine="0"/>
      </w:pPr>
      <w:rPr>
        <w:rFonts w:hint="eastAsia"/>
      </w:rPr>
    </w:lvl>
    <w:lvl w:ilvl="2" w:tentative="0">
      <w:start w:val="1"/>
      <w:numFmt w:val="decimal"/>
      <w:pStyle w:val="4"/>
      <w:isLgl/>
      <w:lvlText w:val="%2.%3."/>
      <w:lvlJc w:val="left"/>
      <w:pPr>
        <w:ind w:left="0" w:firstLine="0"/>
      </w:pPr>
      <w:rPr>
        <w:rFonts w:hint="eastAsia"/>
      </w:rPr>
    </w:lvl>
    <w:lvl w:ilvl="3" w:tentative="0">
      <w:start w:val="1"/>
      <w:numFmt w:val="decimal"/>
      <w:lvlText w:val="%2.%3.%4."/>
      <w:lvlJc w:val="left"/>
      <w:pPr>
        <w:ind w:left="0" w:firstLine="0"/>
      </w:pPr>
      <w:rPr>
        <w:rFonts w:hint="eastAsia"/>
      </w:rPr>
    </w:lvl>
    <w:lvl w:ilvl="4" w:tentative="0">
      <w:start w:val="1"/>
      <w:numFmt w:val="decimal"/>
      <w:lvlText w:val="%2.%3.%4.%5."/>
      <w:lvlJc w:val="left"/>
      <w:pPr>
        <w:ind w:left="0" w:firstLine="0"/>
      </w:pPr>
      <w:rPr>
        <w:rFonts w:hint="eastAsia"/>
      </w:rPr>
    </w:lvl>
    <w:lvl w:ilvl="5" w:tentative="0">
      <w:start w:val="1"/>
      <w:numFmt w:val="decimal"/>
      <w:isLgl/>
      <w:lvlText w:val="%2.%3.%4.%5.%6."/>
      <w:lvlJc w:val="left"/>
      <w:pPr>
        <w:ind w:left="0" w:firstLine="0"/>
      </w:pPr>
      <w:rPr>
        <w:rFonts w:hint="default" w:ascii="Times New Roman" w:hAnsi="Times New Roman" w:eastAsia="宋体" w:cs="Times New Roman"/>
        <w:b/>
        <w:bCs w:val="0"/>
        <w:i w:val="0"/>
        <w:iCs w:val="0"/>
        <w:caps w:val="0"/>
        <w:smallCaps w:val="0"/>
        <w:strike w:val="0"/>
        <w:dstrike w:val="0"/>
        <w:vanish w:val="0"/>
        <w:spacing w:val="0"/>
        <w:position w:val="0"/>
        <w:sz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6" w:tentative="0">
      <w:start w:val="1"/>
      <w:numFmt w:val="decimal"/>
      <w:isLgl/>
      <w:lvlText w:val="%2.%3.%4.%5.%6.%7."/>
      <w:lvlJc w:val="left"/>
      <w:pPr>
        <w:ind w:left="0" w:firstLine="0"/>
      </w:pPr>
      <w:rPr>
        <w:rFonts w:hint="default" w:ascii="Times New Roman" w:hAnsi="Times New Roman" w:eastAsia="宋体"/>
        <w:b/>
        <w:i w:val="0"/>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875"/>
    <w:rsid w:val="00555875"/>
    <w:rsid w:val="006C35EB"/>
    <w:rsid w:val="093041B8"/>
    <w:rsid w:val="1DCB2E9F"/>
    <w:rsid w:val="7AD929FA"/>
    <w:rsid w:val="DFFAB067"/>
    <w:rsid w:val="F36FA1F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keepNext/>
      <w:keepLines/>
      <w:numPr>
        <w:ilvl w:val="1"/>
        <w:numId w:val="1"/>
      </w:numPr>
      <w:spacing w:before="163" w:after="163" w:line="360" w:lineRule="auto"/>
      <w:outlineLvl w:val="1"/>
    </w:pPr>
    <w:rPr>
      <w:rFonts w:ascii="Times New Roman" w:hAnsi="Times New Roman" w:eastAsia="宋体" w:cs="Times New Roman"/>
      <w:b/>
      <w:sz w:val="28"/>
      <w:szCs w:val="20"/>
    </w:rPr>
  </w:style>
  <w:style w:type="paragraph" w:styleId="4">
    <w:name w:val="heading 3"/>
    <w:basedOn w:val="1"/>
    <w:next w:val="1"/>
    <w:qFormat/>
    <w:uiPriority w:val="0"/>
    <w:pPr>
      <w:keepNext/>
      <w:keepLines/>
      <w:numPr>
        <w:ilvl w:val="2"/>
        <w:numId w:val="1"/>
      </w:numPr>
      <w:spacing w:before="163" w:after="163" w:line="360" w:lineRule="auto"/>
      <w:outlineLvl w:val="2"/>
    </w:pPr>
    <w:rPr>
      <w:rFonts w:ascii="Times New Roman" w:hAnsi="Times New Roman" w:eastAsia="宋体" w:cs="Times New Roman"/>
      <w:b/>
      <w:sz w:val="28"/>
      <w:szCs w:val="20"/>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customStyle="1" w:styleId="2">
    <w:name w:val="表格文字"/>
    <w:basedOn w:val="1"/>
    <w:qFormat/>
    <w:uiPriority w:val="0"/>
    <w:pPr>
      <w:adjustRightInd w:val="0"/>
      <w:spacing w:line="360" w:lineRule="auto"/>
      <w:textAlignment w:val="baseline"/>
    </w:pPr>
    <w:rPr>
      <w:rFonts w:ascii="Arial" w:hAnsi="Arial" w:eastAsia="仿宋_GB2312" w:cs="Times New Roman"/>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430</Words>
  <Characters>2453</Characters>
  <Lines>20</Lines>
  <Paragraphs>5</Paragraphs>
  <TotalTime>8</TotalTime>
  <ScaleCrop>false</ScaleCrop>
  <LinksUpToDate>false</LinksUpToDate>
  <CharactersWithSpaces>2878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2026-05-14T10:11:00Z</dcterms:created>
  <dc:creator>Patrick</dc:creator>
  <cp:lastModifiedBy>zhengyiqiang</cp:lastModifiedBy>
  <dcterms:modified xsi:type="dcterms:W3CDTF">2026-05-15T16:53:45Z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eyJoZGlkIjoiYWYyZjljOThmOWEzMGJjNzMxYzBhMjk0Y2E0ZjQ4YTciLCJ1c2VySWQiOiIyNjg1NDUyMDAifQ==</vt:lpwstr>
  </property>
  <property fmtid="{D5CDD505-2E9C-101B-9397-08002B2CF9AE}" pid="4" name="ICV">
    <vt:lpwstr>F8DC87444D814F678AC18B393EA1518D_12</vt:lpwstr>
  </property>
</Properties>
</file>