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rPr>
          <w:rFonts w:hint="eastAsia"/>
          <w:b/>
          <w:bCs/>
        </w:rPr>
      </w:pPr>
      <w:bookmarkStart w:id="0" w:name="_GoBack"/>
      <w:bookmarkEnd w:id="0"/>
      <w:r>
        <w:rPr>
          <w:rFonts w:hint="eastAsia"/>
          <w:b/>
          <w:bCs/>
        </w:rPr>
        <w:t>广州医科大学附属番禺中心医院</w:t>
      </w:r>
    </w:p>
    <w:p>
      <w:pPr>
        <w:pStyle w:val="13"/>
        <w:rPr>
          <w:rFonts w:hint="eastAsia"/>
          <w:b/>
          <w:bCs/>
        </w:rPr>
      </w:pPr>
      <w:r>
        <w:rPr>
          <w:rFonts w:hint="eastAsia"/>
          <w:b/>
          <w:bCs/>
        </w:rPr>
        <w:t>安防视频监控数据压缩项目</w:t>
      </w:r>
    </w:p>
    <w:p>
      <w:pPr>
        <w:rPr>
          <w:rFonts w:hint="eastAsia"/>
        </w:rPr>
      </w:pPr>
    </w:p>
    <w:p>
      <w:pPr>
        <w:pStyle w:val="2"/>
        <w:rPr>
          <w:rFonts w:hint="eastAsia"/>
        </w:rPr>
      </w:pPr>
      <w:r>
        <w:rPr>
          <w:rFonts w:hint="eastAsia"/>
        </w:rPr>
        <w:t>项目概述</w:t>
      </w:r>
    </w:p>
    <w:p>
      <w:pPr>
        <w:ind w:firstLine="480" w:firstLineChars="200"/>
        <w:rPr>
          <w:rFonts w:hint="eastAsia"/>
        </w:rPr>
      </w:pPr>
      <w:r>
        <w:rPr>
          <w:rFonts w:hint="eastAsia"/>
        </w:rPr>
        <w:t>广州医科大学附属番禺中心医院（以下简称“我院”）作为番禺区重要的三甲医院和区域医疗中心，日均人流量大，治安环境复杂，安防监控系统是保障医患安全、维护医疗秩序、处理突发事件的关键基础设施。随着医院业务规模持续扩大以及国家对医疗机构安全技术防范要求的不断提高，现有视频监控系统的存储容量已无法满足90天的保存时长需求。</w:t>
      </w:r>
    </w:p>
    <w:p>
      <w:pPr>
        <w:pStyle w:val="2"/>
        <w:rPr>
          <w:rFonts w:hint="eastAsia"/>
        </w:rPr>
      </w:pPr>
      <w:r>
        <w:rPr>
          <w:rFonts w:hint="eastAsia"/>
        </w:rPr>
        <w:t>需求描述</w:t>
      </w:r>
    </w:p>
    <w:p>
      <w:pPr>
        <w:ind w:firstLine="480" w:firstLineChars="200"/>
        <w:rPr>
          <w:rFonts w:hint="eastAsia"/>
        </w:rPr>
      </w:pPr>
      <w:r>
        <w:rPr>
          <w:rFonts w:hint="eastAsia"/>
        </w:rPr>
        <w:t>目前，我院视频监控系统整体运行覆盖全面，现有在用监控摄像头总路数共计2203路，全方位保障院内区域安全防控、日常监管、事件追溯等各项工作开展。整体监控设备以高清画质为标准配置，主流设备规格统一，能够满足日常视频采集、画面监测的基础使用需求，为院内常态化管理提供了坚实的视频数据支撑。</w:t>
      </w:r>
    </w:p>
    <w:p>
      <w:pPr>
        <w:ind w:firstLine="480" w:firstLineChars="200"/>
        <w:rPr>
          <w:rFonts w:hint="eastAsia"/>
        </w:rPr>
      </w:pPr>
      <w:r>
        <w:rPr>
          <w:rFonts w:hint="eastAsia"/>
        </w:rPr>
        <w:t>在全部摄像头设备中，有1463路摄像头的视频存储周期仅设置为30天，为院内核心监控存储设备主体。设备配置方面，该批次摄像头以400万像素高清规格为主，画面采集清晰度高、成像效果稳定，可精准记录现场细节，适配各类场景的监控取证需求。存储资源方面，这1463路摄像头配套的总存储容量为2291T，截至目前，实际已使用存储容量达到2266T，整体存储空间利用率趋近饱和，剩余可用存储空间极少。</w:t>
      </w:r>
    </w:p>
    <w:p>
      <w:pPr>
        <w:ind w:firstLine="480" w:firstLineChars="200"/>
        <w:rPr>
          <w:rFonts w:hint="eastAsia"/>
        </w:rPr>
      </w:pPr>
      <w:r>
        <w:rPr>
          <w:rFonts w:hint="eastAsia"/>
        </w:rPr>
        <w:t>受存储空间不足的限制，当前短存储周期、高存储占用的问题，导致视频资料留存时间较短，无法满足长期追溯、合规存档、事故复盘等长效工作需求，一定程度上制约了院内安防管理、事件核查工作的开展。为有效破解存储容量紧张、视频留存时长不足的痛点，最大化盘活现有存储资源，本次拟实施视频压缩优化改造项目。</w:t>
      </w:r>
    </w:p>
    <w:p>
      <w:pPr>
        <w:ind w:firstLine="480" w:firstLineChars="200"/>
        <w:rPr>
          <w:rFonts w:hint="eastAsia"/>
        </w:rPr>
      </w:pPr>
      <w:r>
        <w:rPr>
          <w:rFonts w:hint="eastAsia"/>
        </w:rPr>
        <w:t>本项目计划采用专业视频压缩设备，针对现有1463路短时存储摄像头进行优化升级，优先对其中1020路400万像素高清摄像头的视频录像进行智能压缩处理。项目核心改造目标为，在完全依托现有存储空间、不新增存储硬件设备的基础上，将该部分摄像头视频存储时长从原有30天延长至90天，同时改造完成后可至少空余出600T存储容量，大幅释放存储资源冗余空间，为后续监控扩容、高清视频留存、数据备份等工作预留充足资源。</w:t>
      </w:r>
    </w:p>
    <w:p>
      <w:pPr>
        <w:ind w:firstLine="480" w:firstLineChars="200"/>
        <w:rPr>
          <w:rFonts w:hint="eastAsia"/>
        </w:rPr>
      </w:pPr>
      <w:r>
        <w:rPr>
          <w:rFonts w:hint="eastAsia"/>
        </w:rPr>
        <w:t>为保障改造后监控视频的实用性、完整性与合规性，本次选用的视频压缩设备需满足严苛技术要求。设备压缩倍率需稳定达到</w:t>
      </w:r>
      <w:r>
        <w:t xml:space="preserve"> 5-10 倍，在高效压缩、降低存储占用的前提下，压缩文件无解压延迟，支持实时视频及 CVR 存储视频正常调取，全程无解码故障；处理过程不抽帧、不插帧，完整保留视频原始真实性。同时设备不得更改视频原有分辨率、帧率、封装格式与播放时长，画面清晰度、色彩还原度及细节表现均与原视频保持一致，杜绝画面模糊、卡顿、失真、丢帧等问题，保障视频可顺利应用于实时查看、事件取证、存档备查等场景，完全符合院内监控工作规</w:t>
      </w:r>
      <w:r>
        <w:rPr>
          <w:rFonts w:hint="eastAsia"/>
        </w:rPr>
        <w:t>范。</w:t>
      </w:r>
    </w:p>
    <w:p>
      <w:pPr>
        <w:pStyle w:val="3"/>
        <w:rPr>
          <w:rFonts w:hint="eastAsia"/>
        </w:rPr>
      </w:pPr>
      <w:r>
        <w:rPr>
          <w:rFonts w:hint="eastAsia"/>
        </w:rPr>
        <w:t>需求清单</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2330"/>
        <w:gridCol w:w="876"/>
        <w:gridCol w:w="726"/>
        <w:gridCol w:w="38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shd w:val="clear" w:color="000000" w:fill="E7E6E6" w:themeFill="background2"/>
            <w:vAlign w:val="center"/>
          </w:tcPr>
          <w:p>
            <w:pPr>
              <w:jc w:val="center"/>
              <w:rPr>
                <w:rFonts w:hint="eastAsia" w:cs="宋体"/>
                <w:b/>
                <w:bCs/>
                <w:kern w:val="0"/>
              </w:rPr>
            </w:pPr>
            <w:r>
              <w:rPr>
                <w:rFonts w:hint="eastAsia" w:cs="宋体"/>
                <w:b/>
                <w:bCs/>
                <w:kern w:val="0"/>
              </w:rPr>
              <w:t>序号</w:t>
            </w:r>
          </w:p>
        </w:tc>
        <w:tc>
          <w:tcPr>
            <w:tcW w:w="1367" w:type="pct"/>
            <w:shd w:val="clear" w:color="000000" w:fill="E7E6E6" w:themeFill="background2"/>
            <w:vAlign w:val="center"/>
          </w:tcPr>
          <w:p>
            <w:pPr>
              <w:jc w:val="center"/>
              <w:rPr>
                <w:rFonts w:hint="eastAsia" w:cs="宋体"/>
                <w:b/>
                <w:bCs/>
                <w:kern w:val="0"/>
              </w:rPr>
            </w:pPr>
            <w:r>
              <w:rPr>
                <w:rFonts w:hint="eastAsia" w:cs="宋体"/>
                <w:b/>
                <w:bCs/>
                <w:kern w:val="0"/>
              </w:rPr>
              <w:t>产品名称</w:t>
            </w:r>
          </w:p>
        </w:tc>
        <w:tc>
          <w:tcPr>
            <w:tcW w:w="514" w:type="pct"/>
            <w:shd w:val="clear" w:color="000000" w:fill="E7E6E6" w:themeFill="background2"/>
            <w:vAlign w:val="center"/>
          </w:tcPr>
          <w:p>
            <w:pPr>
              <w:jc w:val="center"/>
              <w:rPr>
                <w:rFonts w:hint="eastAsia" w:cs="宋体"/>
                <w:b/>
                <w:bCs/>
                <w:kern w:val="0"/>
              </w:rPr>
            </w:pPr>
            <w:r>
              <w:rPr>
                <w:rFonts w:hint="eastAsia" w:cs="宋体"/>
                <w:b/>
                <w:bCs/>
                <w:kern w:val="0"/>
              </w:rPr>
              <w:t>数量</w:t>
            </w:r>
          </w:p>
        </w:tc>
        <w:tc>
          <w:tcPr>
            <w:tcW w:w="426" w:type="pct"/>
            <w:shd w:val="clear" w:color="000000" w:fill="E7E6E6" w:themeFill="background2"/>
            <w:vAlign w:val="center"/>
          </w:tcPr>
          <w:p>
            <w:pPr>
              <w:jc w:val="center"/>
              <w:rPr>
                <w:rFonts w:hint="eastAsia" w:cs="宋体"/>
                <w:b/>
                <w:bCs/>
                <w:kern w:val="0"/>
              </w:rPr>
            </w:pPr>
            <w:r>
              <w:rPr>
                <w:rFonts w:hint="eastAsia" w:cs="宋体"/>
                <w:b/>
                <w:bCs/>
                <w:kern w:val="0"/>
              </w:rPr>
              <w:t>单位</w:t>
            </w:r>
          </w:p>
        </w:tc>
        <w:tc>
          <w:tcPr>
            <w:tcW w:w="2269" w:type="pct"/>
            <w:shd w:val="clear" w:color="000000" w:fill="E7E6E6" w:themeFill="background2"/>
          </w:tcPr>
          <w:p>
            <w:pPr>
              <w:jc w:val="center"/>
              <w:rPr>
                <w:rFonts w:hint="eastAsia" w:cs="宋体"/>
                <w:b/>
                <w:bCs/>
                <w:kern w:val="0"/>
              </w:rPr>
            </w:pPr>
            <w:r>
              <w:rPr>
                <w:rFonts w:hint="eastAsia" w:cs="宋体"/>
                <w:b/>
                <w:bCs/>
                <w:kern w:val="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vAlign w:val="center"/>
          </w:tcPr>
          <w:p>
            <w:pPr>
              <w:jc w:val="center"/>
              <w:rPr>
                <w:rFonts w:hint="eastAsia" w:cs="宋体"/>
                <w:kern w:val="0"/>
              </w:rPr>
            </w:pPr>
            <w:r>
              <w:rPr>
                <w:rFonts w:hint="eastAsia" w:cs="宋体"/>
                <w:kern w:val="0"/>
              </w:rPr>
              <w:t>1</w:t>
            </w:r>
          </w:p>
        </w:tc>
        <w:tc>
          <w:tcPr>
            <w:tcW w:w="1367" w:type="pct"/>
            <w:vAlign w:val="center"/>
          </w:tcPr>
          <w:p>
            <w:pPr>
              <w:rPr>
                <w:rFonts w:hint="eastAsia"/>
              </w:rPr>
            </w:pPr>
            <w:r>
              <w:rPr>
                <w:rFonts w:hint="eastAsia"/>
              </w:rPr>
              <w:t>视频压缩设备（1）</w:t>
            </w:r>
          </w:p>
        </w:tc>
        <w:tc>
          <w:tcPr>
            <w:tcW w:w="514" w:type="pct"/>
            <w:noWrap/>
            <w:vAlign w:val="center"/>
          </w:tcPr>
          <w:p>
            <w:pPr>
              <w:jc w:val="center"/>
              <w:rPr>
                <w:rFonts w:hint="eastAsia" w:cs="宋体"/>
                <w:kern w:val="0"/>
              </w:rPr>
            </w:pPr>
            <w:r>
              <w:rPr>
                <w:rFonts w:hint="eastAsia" w:cs="宋体"/>
                <w:kern w:val="0"/>
              </w:rPr>
              <w:t>1</w:t>
            </w:r>
          </w:p>
        </w:tc>
        <w:tc>
          <w:tcPr>
            <w:tcW w:w="426" w:type="pct"/>
            <w:noWrap/>
            <w:vAlign w:val="center"/>
          </w:tcPr>
          <w:p>
            <w:pPr>
              <w:jc w:val="center"/>
              <w:rPr>
                <w:rFonts w:hint="eastAsia" w:cs="宋体"/>
                <w:kern w:val="0"/>
              </w:rPr>
            </w:pPr>
            <w:r>
              <w:rPr>
                <w:rFonts w:hint="eastAsia" w:cs="宋体"/>
                <w:kern w:val="0"/>
              </w:rPr>
              <w:t>台</w:t>
            </w:r>
          </w:p>
        </w:tc>
        <w:tc>
          <w:tcPr>
            <w:tcW w:w="2269" w:type="pct"/>
          </w:tcPr>
          <w:p>
            <w:pPr>
              <w:rPr>
                <w:rFonts w:hint="eastAsia" w:cs="宋体"/>
                <w:kern w:val="0"/>
              </w:rPr>
            </w:pPr>
            <w:r>
              <w:rPr>
                <w:rFonts w:hint="eastAsia" w:cs="宋体"/>
                <w:kern w:val="0"/>
              </w:rPr>
              <w:t>视频并发压缩路数：支持不低于6</w:t>
            </w:r>
            <w:r>
              <w:rPr>
                <w:rFonts w:cs="宋体"/>
                <w:kern w:val="0"/>
              </w:rPr>
              <w:t>0</w:t>
            </w:r>
            <w:r>
              <w:rPr>
                <w:rFonts w:hint="eastAsia" w:cs="宋体"/>
                <w:kern w:val="0"/>
              </w:rPr>
              <w:t>路2</w:t>
            </w:r>
            <w:r>
              <w:rPr>
                <w:rFonts w:cs="宋体"/>
                <w:kern w:val="0"/>
              </w:rPr>
              <w:t>560x1440</w:t>
            </w:r>
            <w:r>
              <w:rPr>
                <w:rFonts w:hint="eastAsia" w:cs="宋体"/>
                <w:kern w:val="0"/>
              </w:rPr>
              <w:t>@</w:t>
            </w:r>
            <w:r>
              <w:rPr>
                <w:rFonts w:cs="宋体"/>
                <w:kern w:val="0"/>
              </w:rPr>
              <w:t>25</w:t>
            </w:r>
            <w:r>
              <w:rPr>
                <w:rFonts w:hint="eastAsia" w:cs="宋体"/>
                <w:kern w:val="0"/>
              </w:rPr>
              <w:t>fps（4</w:t>
            </w:r>
            <w:r>
              <w:rPr>
                <w:rFonts w:cs="宋体"/>
                <w:kern w:val="0"/>
              </w:rPr>
              <w:t>00</w:t>
            </w:r>
            <w:r>
              <w:rPr>
                <w:rFonts w:hint="eastAsia" w:cs="宋体"/>
                <w:kern w:val="0"/>
              </w:rPr>
              <w:t>万像素）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vAlign w:val="center"/>
          </w:tcPr>
          <w:p>
            <w:pPr>
              <w:jc w:val="center"/>
              <w:rPr>
                <w:rFonts w:hint="eastAsia" w:cs="宋体"/>
                <w:kern w:val="0"/>
              </w:rPr>
            </w:pPr>
            <w:r>
              <w:rPr>
                <w:rFonts w:hint="eastAsia" w:cs="宋体"/>
                <w:kern w:val="0"/>
              </w:rPr>
              <w:t>2</w:t>
            </w:r>
          </w:p>
        </w:tc>
        <w:tc>
          <w:tcPr>
            <w:tcW w:w="1367" w:type="pct"/>
            <w:vAlign w:val="center"/>
          </w:tcPr>
          <w:p>
            <w:pPr>
              <w:rPr>
                <w:rFonts w:hint="eastAsia"/>
              </w:rPr>
            </w:pPr>
            <w:r>
              <w:rPr>
                <w:rFonts w:hint="eastAsia"/>
              </w:rPr>
              <w:t>视频压缩设备（2）</w:t>
            </w:r>
          </w:p>
        </w:tc>
        <w:tc>
          <w:tcPr>
            <w:tcW w:w="514" w:type="pct"/>
            <w:noWrap/>
            <w:vAlign w:val="center"/>
          </w:tcPr>
          <w:p>
            <w:pPr>
              <w:jc w:val="center"/>
              <w:rPr>
                <w:rFonts w:hint="eastAsia" w:cs="宋体"/>
                <w:kern w:val="0"/>
              </w:rPr>
            </w:pPr>
            <w:r>
              <w:rPr>
                <w:rFonts w:hint="eastAsia" w:cs="宋体"/>
                <w:kern w:val="0"/>
              </w:rPr>
              <w:t>6</w:t>
            </w:r>
          </w:p>
        </w:tc>
        <w:tc>
          <w:tcPr>
            <w:tcW w:w="426" w:type="pct"/>
            <w:noWrap/>
            <w:vAlign w:val="center"/>
          </w:tcPr>
          <w:p>
            <w:pPr>
              <w:jc w:val="center"/>
              <w:rPr>
                <w:rFonts w:hint="eastAsia" w:cs="宋体"/>
                <w:kern w:val="0"/>
              </w:rPr>
            </w:pPr>
            <w:r>
              <w:rPr>
                <w:rFonts w:hint="eastAsia" w:cs="宋体"/>
                <w:kern w:val="0"/>
              </w:rPr>
              <w:t>台</w:t>
            </w:r>
          </w:p>
        </w:tc>
        <w:tc>
          <w:tcPr>
            <w:tcW w:w="2269" w:type="pct"/>
          </w:tcPr>
          <w:p>
            <w:pPr>
              <w:rPr>
                <w:rFonts w:hint="eastAsia" w:cs="宋体"/>
                <w:kern w:val="0"/>
              </w:rPr>
            </w:pPr>
            <w:r>
              <w:rPr>
                <w:rFonts w:hint="eastAsia" w:cs="宋体"/>
                <w:kern w:val="0"/>
              </w:rPr>
              <w:t>视频并发压缩路数：支持不低于16</w:t>
            </w:r>
            <w:r>
              <w:rPr>
                <w:rFonts w:cs="宋体"/>
                <w:kern w:val="0"/>
              </w:rPr>
              <w:t>0</w:t>
            </w:r>
            <w:r>
              <w:rPr>
                <w:rFonts w:hint="eastAsia" w:cs="宋体"/>
                <w:kern w:val="0"/>
              </w:rPr>
              <w:t>路2</w:t>
            </w:r>
            <w:r>
              <w:rPr>
                <w:rFonts w:cs="宋体"/>
                <w:kern w:val="0"/>
              </w:rPr>
              <w:t>560x1440</w:t>
            </w:r>
            <w:r>
              <w:rPr>
                <w:rFonts w:hint="eastAsia" w:cs="宋体"/>
                <w:kern w:val="0"/>
              </w:rPr>
              <w:t>@</w:t>
            </w:r>
            <w:r>
              <w:rPr>
                <w:rFonts w:cs="宋体"/>
                <w:kern w:val="0"/>
              </w:rPr>
              <w:t>25</w:t>
            </w:r>
            <w:r>
              <w:rPr>
                <w:rFonts w:hint="eastAsia" w:cs="宋体"/>
                <w:kern w:val="0"/>
              </w:rPr>
              <w:t>fps（4</w:t>
            </w:r>
            <w:r>
              <w:rPr>
                <w:rFonts w:cs="宋体"/>
                <w:kern w:val="0"/>
              </w:rPr>
              <w:t>00</w:t>
            </w:r>
            <w:r>
              <w:rPr>
                <w:rFonts w:hint="eastAsia" w:cs="宋体"/>
                <w:kern w:val="0"/>
              </w:rPr>
              <w:t>万像素）</w:t>
            </w:r>
          </w:p>
        </w:tc>
      </w:tr>
    </w:tbl>
    <w:p>
      <w:pPr>
        <w:pStyle w:val="3"/>
        <w:rPr>
          <w:rFonts w:hint="eastAsia"/>
        </w:rPr>
      </w:pPr>
      <w:r>
        <w:rPr>
          <w:rFonts w:hint="eastAsia"/>
        </w:rPr>
        <w:t>技术参数</w:t>
      </w:r>
    </w:p>
    <w:p>
      <w:pPr>
        <w:pStyle w:val="28"/>
        <w:numPr>
          <w:ilvl w:val="0"/>
          <w:numId w:val="2"/>
        </w:numPr>
        <w:ind w:firstLineChars="0"/>
        <w:rPr>
          <w:rFonts w:hint="eastAsia"/>
        </w:rPr>
      </w:pPr>
      <w:r>
        <w:rPr>
          <w:rFonts w:hint="eastAsia"/>
        </w:rPr>
        <w:t>视频解码能力：支持8K@25fps H.265/VP9/AVS2 ，8K@25fps H.264 AVC/MVC ，4K@25fps AV1 ，1080P@25fps MPEG-2/-1/VC-1/VP8；</w:t>
      </w:r>
    </w:p>
    <w:p>
      <w:pPr>
        <w:pStyle w:val="28"/>
        <w:numPr>
          <w:ilvl w:val="0"/>
          <w:numId w:val="2"/>
        </w:numPr>
        <w:ind w:firstLineChars="0"/>
        <w:rPr>
          <w:rFonts w:hint="eastAsia"/>
        </w:rPr>
      </w:pPr>
      <w:r>
        <w:rPr>
          <w:rFonts w:hint="eastAsia"/>
        </w:rPr>
        <w:t xml:space="preserve">视频压缩比：支持在H.264、H.265编码基础上再压缩4~10倍(输入视频码流大小/压缩后的视频码流大小)； </w:t>
      </w:r>
    </w:p>
    <w:p>
      <w:pPr>
        <w:pStyle w:val="28"/>
        <w:numPr>
          <w:ilvl w:val="0"/>
          <w:numId w:val="2"/>
        </w:numPr>
        <w:ind w:firstLineChars="0"/>
        <w:rPr>
          <w:rFonts w:hint="eastAsia"/>
        </w:rPr>
      </w:pPr>
      <w:r>
        <w:rPr>
          <w:rFonts w:hint="eastAsia"/>
        </w:rPr>
        <w:t xml:space="preserve">视频接入协议：支持ONVIF、RTSP等标准协议接入； </w:t>
      </w:r>
    </w:p>
    <w:p>
      <w:pPr>
        <w:pStyle w:val="28"/>
        <w:numPr>
          <w:ilvl w:val="0"/>
          <w:numId w:val="2"/>
        </w:numPr>
        <w:ind w:firstLineChars="0"/>
        <w:rPr>
          <w:rFonts w:hint="eastAsia"/>
        </w:rPr>
      </w:pPr>
      <w:r>
        <w:rPr>
          <w:rFonts w:hint="eastAsia"/>
        </w:rPr>
        <w:t>支持子码流不压缩透传，支持主流的深度学习框架，设备支持不拆机固件升级</w:t>
      </w:r>
    </w:p>
    <w:p>
      <w:pPr>
        <w:pStyle w:val="2"/>
        <w:rPr>
          <w:rFonts w:hint="eastAsia"/>
        </w:rPr>
      </w:pPr>
      <w:r>
        <w:rPr>
          <w:rFonts w:hint="eastAsia"/>
        </w:rPr>
        <w:t>商务要求</w:t>
      </w:r>
    </w:p>
    <w:p>
      <w:pPr>
        <w:ind w:firstLine="480" w:firstLineChars="200"/>
        <w:rPr>
          <w:rFonts w:hint="eastAsia"/>
        </w:rPr>
      </w:pPr>
      <w:r>
        <w:rPr>
          <w:rFonts w:hint="eastAsia"/>
        </w:rPr>
        <w:t xml:space="preserve">1、 供应商必须承诺提供厂商原装、全新的正品、该产品符合国家级的出厂标准或采购人提出的有关质量标准； </w:t>
      </w:r>
    </w:p>
    <w:p>
      <w:pPr>
        <w:ind w:firstLine="480" w:firstLineChars="200"/>
        <w:rPr>
          <w:rFonts w:hint="eastAsia"/>
        </w:rPr>
      </w:pPr>
      <w:r>
        <w:rPr>
          <w:rFonts w:hint="eastAsia"/>
        </w:rPr>
        <w:t>2、 所有货物必须完好，无破损，配置与采购要求相符或者优于采购要求。货物外观清洁。数量、质量及性能不低于本采购人需求中提出的要求；</w:t>
      </w:r>
    </w:p>
    <w:p>
      <w:pPr>
        <w:ind w:firstLine="480" w:firstLineChars="200"/>
        <w:rPr>
          <w:rFonts w:hint="eastAsia"/>
        </w:rPr>
      </w:pPr>
      <w:r>
        <w:rPr>
          <w:rFonts w:hint="eastAsia"/>
        </w:rPr>
        <w:t>3、 对于影响货物正常工作的必要组成部分，无论在技术规范中指出与否，供应商都应提供并在报价文件中明确列出；</w:t>
      </w:r>
    </w:p>
    <w:p>
      <w:pPr>
        <w:ind w:firstLine="480" w:firstLineChars="200"/>
        <w:rPr>
          <w:rFonts w:hint="eastAsia"/>
        </w:rPr>
      </w:pPr>
      <w:r>
        <w:rPr>
          <w:rFonts w:hint="eastAsia"/>
        </w:rPr>
        <w:t>4、 报价总额应包含：货物供货、运输、保管、安装、调试、验收、培训、人工、备品备件、所有税费及供应商认为需要的其它费用等，如发生缺漏项视同已包含在报价之中。</w:t>
      </w:r>
    </w:p>
    <w:p>
      <w:pPr>
        <w:pStyle w:val="2"/>
        <w:rPr>
          <w:rFonts w:hint="eastAsia"/>
        </w:rPr>
      </w:pPr>
      <w:r>
        <w:rPr>
          <w:rFonts w:hint="eastAsia"/>
        </w:rPr>
        <w:t>售后服务要求</w:t>
      </w:r>
    </w:p>
    <w:p>
      <w:pPr>
        <w:ind w:firstLine="480" w:firstLineChars="200"/>
        <w:rPr>
          <w:rFonts w:hint="eastAsia"/>
        </w:rPr>
      </w:pPr>
      <w:r>
        <w:rPr>
          <w:rFonts w:hint="eastAsia"/>
        </w:rPr>
        <w:t>1 、供应商必须为所有设备提供不少于3年保修服务，保修期内，所有设备维修服务均为上门服务，维修费及所产生的其他费用均为免费。</w:t>
      </w:r>
    </w:p>
    <w:p>
      <w:pPr>
        <w:ind w:firstLine="480" w:firstLineChars="200"/>
        <w:rPr>
          <w:rFonts w:hint="eastAsia"/>
        </w:rPr>
      </w:pPr>
      <w:r>
        <w:rPr>
          <w:rFonts w:hint="eastAsia"/>
        </w:rPr>
        <w:t>2 、设备故障报修的响应时间：维护服务响应方式包括服务热线电话支持、远程协助支持、现场维护服务，维修人员接到维修通知后15分钟内响应，保证在4个小时内赶赴现场进行维修，遇到紧急故障时则在1个小时内到赴现场进行处理，并保证非人为严重破坏的所有故障情况在当天修复。</w:t>
      </w:r>
    </w:p>
    <w:p>
      <w:pPr>
        <w:ind w:firstLine="480" w:firstLineChars="200"/>
        <w:rPr>
          <w:rFonts w:hint="eastAsia"/>
        </w:rPr>
      </w:pPr>
      <w:r>
        <w:rPr>
          <w:rFonts w:hint="eastAsia"/>
        </w:rPr>
        <w:t>3 、所有新安装设备及线路要按规范做好标识。</w:t>
      </w:r>
    </w:p>
    <w:p>
      <w:pPr>
        <w:ind w:firstLine="480" w:firstLineChars="200"/>
        <w:rPr>
          <w:rFonts w:hint="eastAsia"/>
        </w:rPr>
      </w:pPr>
      <w:r>
        <w:t>4</w:t>
      </w:r>
      <w:r>
        <w:rPr>
          <w:rFonts w:hint="eastAsia"/>
        </w:rPr>
        <w:t xml:space="preserve"> 、保修服务期后，每年的维保费用，不超过合同价的8%。</w:t>
      </w:r>
    </w:p>
    <w:p>
      <w:pPr>
        <w:pStyle w:val="2"/>
        <w:rPr>
          <w:rFonts w:hint="eastAsia"/>
        </w:rPr>
      </w:pPr>
      <w:r>
        <w:rPr>
          <w:rFonts w:hint="eastAsia"/>
        </w:rPr>
        <w:t>项目验收要求</w:t>
      </w:r>
    </w:p>
    <w:p>
      <w:pPr>
        <w:pStyle w:val="28"/>
        <w:numPr>
          <w:ilvl w:val="0"/>
          <w:numId w:val="3"/>
        </w:numPr>
        <w:ind w:left="0" w:firstLine="480"/>
        <w:rPr>
          <w:rFonts w:hint="eastAsia"/>
        </w:rPr>
      </w:pPr>
      <w:r>
        <w:t>项目工期：合同签订后，180 天内完成采购文件中的</w:t>
      </w:r>
      <w:r>
        <w:rPr>
          <w:rFonts w:hint="eastAsia"/>
        </w:rPr>
        <w:t>设备</w:t>
      </w:r>
      <w:r>
        <w:t>实施、调试与安装，</w:t>
      </w:r>
      <w:r>
        <w:rPr>
          <w:rFonts w:hint="eastAsia"/>
        </w:rPr>
        <w:t>并</w:t>
      </w:r>
      <w:r>
        <w:t>投入试运行，达到系统上线要求。</w:t>
      </w:r>
    </w:p>
    <w:p>
      <w:pPr>
        <w:pStyle w:val="28"/>
        <w:numPr>
          <w:ilvl w:val="0"/>
          <w:numId w:val="3"/>
        </w:numPr>
        <w:ind w:left="0" w:firstLine="480"/>
        <w:rPr>
          <w:rFonts w:hint="eastAsia"/>
        </w:rPr>
      </w:pPr>
      <w:r>
        <w:rPr>
          <w:rFonts w:hint="eastAsia"/>
        </w:rPr>
        <w:t>供应商提供厂商原装、完整、全新的、符合国家及甲方提出的有关质量标准的设备及部件。</w:t>
      </w:r>
    </w:p>
    <w:p>
      <w:pPr>
        <w:pStyle w:val="28"/>
        <w:numPr>
          <w:ilvl w:val="0"/>
          <w:numId w:val="3"/>
        </w:numPr>
        <w:ind w:left="0" w:firstLine="480"/>
        <w:rPr>
          <w:rFonts w:hint="eastAsia"/>
        </w:rPr>
      </w:pPr>
      <w:r>
        <w:rPr>
          <w:rFonts w:hint="eastAsia"/>
        </w:rPr>
        <w:t>要求对全部设备、产品、型号、规格、数量、外型、外观、包装及资料、文件（如装箱单、保修单、随箱介质等）的验收。供应商应已经包含设备连接并构成完整运行环境所必要的配件、辅件、配线、许可。</w:t>
      </w:r>
    </w:p>
    <w:p>
      <w:pPr>
        <w:pStyle w:val="28"/>
        <w:numPr>
          <w:ilvl w:val="0"/>
          <w:numId w:val="3"/>
        </w:numPr>
        <w:ind w:left="0" w:firstLine="480"/>
        <w:rPr>
          <w:rFonts w:hint="eastAsia"/>
        </w:rPr>
      </w:pPr>
      <w:r>
        <w:rPr>
          <w:rFonts w:hint="eastAsia"/>
        </w:rPr>
        <w:t>供应商负责在项目验收时将系统的全部有关装箱清单、产品说明书、安装手册、用户手册、原厂保修卡、随机资料及配件、随机工具等技术文件、资料及安装、验收报告等文档汇集成册交付招标人。供应商不能完整交付货物及规定的单证和工具的，视为未按合同约定付货，供应商必须负责补齐，因此导致逾期交付的，由供应商承担相关的违约责任。</w:t>
      </w:r>
    </w:p>
    <w:p>
      <w:pPr>
        <w:pStyle w:val="28"/>
        <w:numPr>
          <w:ilvl w:val="0"/>
          <w:numId w:val="3"/>
        </w:numPr>
        <w:ind w:left="0" w:firstLine="480"/>
        <w:rPr>
          <w:rFonts w:hint="eastAsia"/>
        </w:rPr>
      </w:pPr>
      <w:r>
        <w:rPr>
          <w:rFonts w:hint="eastAsia"/>
        </w:rPr>
        <w:t>所有设备、器材在开箱时须完好，无破损。配置与装箱单相符。数量、质量及性能不低于合同及采购文件中的要求。</w:t>
      </w:r>
    </w:p>
    <w:p>
      <w:pPr>
        <w:pStyle w:val="28"/>
        <w:numPr>
          <w:ilvl w:val="0"/>
          <w:numId w:val="3"/>
        </w:numPr>
        <w:ind w:left="0" w:firstLine="480"/>
        <w:rPr>
          <w:rFonts w:hint="eastAsia"/>
        </w:rPr>
      </w:pPr>
      <w:r>
        <w:rPr>
          <w:rFonts w:hint="eastAsia"/>
        </w:rPr>
        <w:t>拆箱后，供应商应对其全部产品、零件、配件、用户许可证书、资料、介质造册登记，并与装箱单对比，如有出入应立即书面记录，由供货商解决，如影响安装导致逾期交付的，由供应商承担相关的违约责任。登记册作为验收文档之一。</w:t>
      </w:r>
    </w:p>
    <w:p>
      <w:pPr>
        <w:pStyle w:val="2"/>
        <w:rPr>
          <w:rFonts w:hint="eastAsia"/>
        </w:rPr>
      </w:pPr>
      <w:r>
        <w:rPr>
          <w:rFonts w:hint="eastAsia"/>
        </w:rPr>
        <w:t>付款要求</w:t>
      </w:r>
    </w:p>
    <w:p>
      <w:pPr>
        <w:pStyle w:val="28"/>
        <w:numPr>
          <w:ilvl w:val="0"/>
          <w:numId w:val="4"/>
        </w:numPr>
        <w:ind w:left="0" w:firstLine="480"/>
        <w:rPr>
          <w:rFonts w:hint="eastAsia"/>
        </w:rPr>
      </w:pPr>
      <w:r>
        <w:rPr>
          <w:rFonts w:hint="eastAsia"/>
        </w:rPr>
        <w:t>双方签订合同后，15 个工作日内，乙方向甲方提供有效发票，甲方向乙方支付合同总额的 20%。</w:t>
      </w:r>
    </w:p>
    <w:p>
      <w:pPr>
        <w:pStyle w:val="28"/>
        <w:numPr>
          <w:ilvl w:val="0"/>
          <w:numId w:val="4"/>
        </w:numPr>
        <w:ind w:left="0" w:firstLine="480"/>
        <w:rPr>
          <w:rFonts w:hint="eastAsia"/>
        </w:rPr>
      </w:pPr>
      <w:r>
        <w:rPr>
          <w:rFonts w:hint="eastAsia"/>
        </w:rPr>
        <w:t>乙方完成合同规定的所有硬件设备到货后，乙方向甲方提供有效发票，甲方向乙方支付合同总额的 60%。</w:t>
      </w:r>
    </w:p>
    <w:p>
      <w:pPr>
        <w:pStyle w:val="28"/>
        <w:numPr>
          <w:ilvl w:val="0"/>
          <w:numId w:val="4"/>
        </w:numPr>
        <w:ind w:left="0" w:firstLine="480"/>
        <w:rPr>
          <w:rFonts w:hint="eastAsia"/>
        </w:rPr>
      </w:pPr>
      <w:r>
        <w:rPr>
          <w:rFonts w:hint="eastAsia"/>
        </w:rPr>
        <w:t>系统稳定运行 3 个月后，乙方向甲方提请本项目初步验收。经甲方验收合格后，乙方向甲方提供有效发票，甲方向乙方支付合同总额的 20%。</w:t>
      </w:r>
    </w:p>
    <w:p>
      <w:pPr>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0E3D0E"/>
    <w:multiLevelType w:val="multilevel"/>
    <w:tmpl w:val="040E3D0E"/>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21ED3E5B"/>
    <w:multiLevelType w:val="multilevel"/>
    <w:tmpl w:val="21ED3E5B"/>
    <w:lvl w:ilvl="0" w:tentative="0">
      <w:start w:val="1"/>
      <w:numFmt w:val="chineseCountingThousand"/>
      <w:pStyle w:val="2"/>
      <w:suff w:val="nothing"/>
      <w:lvlText w:val="%1、"/>
      <w:lvlJc w:val="left"/>
      <w:pPr>
        <w:ind w:left="573" w:hanging="432"/>
      </w:pPr>
      <w:rPr>
        <w:rFonts w:hint="eastAsia"/>
      </w:rPr>
    </w:lvl>
    <w:lvl w:ilvl="1" w:tentative="0">
      <w:start w:val="1"/>
      <w:numFmt w:val="decimal"/>
      <w:pStyle w:val="3"/>
      <w:isLgl/>
      <w:suff w:val="nothing"/>
      <w:lvlText w:val="%2、"/>
      <w:lvlJc w:val="left"/>
      <w:pPr>
        <w:ind w:left="576" w:hanging="576"/>
      </w:pPr>
      <w:rPr>
        <w:rFonts w:hint="eastAsia"/>
      </w:rPr>
    </w:lvl>
    <w:lvl w:ilvl="2" w:tentative="0">
      <w:start w:val="1"/>
      <w:numFmt w:val="decimal"/>
      <w:pStyle w:val="4"/>
      <w:isLgl/>
      <w:lvlText w:val="%1.%2.%3"/>
      <w:lvlJc w:val="left"/>
      <w:pPr>
        <w:ind w:left="720" w:hanging="720"/>
      </w:pPr>
      <w:rPr>
        <w:rFonts w:hint="eastAsia"/>
      </w:rPr>
    </w:lvl>
    <w:lvl w:ilvl="3" w:tentative="0">
      <w:start w:val="1"/>
      <w:numFmt w:val="decimal"/>
      <w:pStyle w:val="5"/>
      <w:isLgl/>
      <w:lvlText w:val="%1.%2.%3.%4"/>
      <w:lvlJc w:val="left"/>
      <w:pPr>
        <w:ind w:left="864" w:hanging="864"/>
      </w:pPr>
      <w:rPr>
        <w:rFonts w:hint="eastAsia"/>
      </w:rPr>
    </w:lvl>
    <w:lvl w:ilvl="4" w:tentative="0">
      <w:start w:val="1"/>
      <w:numFmt w:val="decimal"/>
      <w:pStyle w:val="6"/>
      <w:isLgl/>
      <w:lvlText w:val="%1.%2.%3.%4.%5"/>
      <w:lvlJc w:val="left"/>
      <w:pPr>
        <w:ind w:left="1008" w:hanging="1008"/>
      </w:pPr>
      <w:rPr>
        <w:rFonts w:hint="eastAsia"/>
      </w:rPr>
    </w:lvl>
    <w:lvl w:ilvl="5" w:tentative="0">
      <w:start w:val="1"/>
      <w:numFmt w:val="decimal"/>
      <w:pStyle w:val="7"/>
      <w:isLgl/>
      <w:lvlText w:val="%1.%2.%3.%4.%5.%6"/>
      <w:lvlJc w:val="left"/>
      <w:pPr>
        <w:ind w:left="1152" w:hanging="1152"/>
      </w:pPr>
      <w:rPr>
        <w:rFonts w:hint="eastAsia"/>
      </w:rPr>
    </w:lvl>
    <w:lvl w:ilvl="6" w:tentative="0">
      <w:start w:val="1"/>
      <w:numFmt w:val="decimal"/>
      <w:pStyle w:val="8"/>
      <w:lvlText w:val="%1.%2.%3.%4.%5.%6.%7"/>
      <w:lvlJc w:val="left"/>
      <w:pPr>
        <w:ind w:left="1296" w:hanging="1296"/>
      </w:pPr>
      <w:rPr>
        <w:rFonts w:hint="eastAsia"/>
      </w:rPr>
    </w:lvl>
    <w:lvl w:ilvl="7" w:tentative="0">
      <w:start w:val="1"/>
      <w:numFmt w:val="decimal"/>
      <w:pStyle w:val="9"/>
      <w:lvlText w:val="%1.%2.%3.%4.%5.%6.%7.%8"/>
      <w:lvlJc w:val="left"/>
      <w:pPr>
        <w:ind w:left="1440" w:hanging="1440"/>
      </w:pPr>
      <w:rPr>
        <w:rFonts w:hint="eastAsia"/>
      </w:rPr>
    </w:lvl>
    <w:lvl w:ilvl="8" w:tentative="0">
      <w:start w:val="1"/>
      <w:numFmt w:val="decimal"/>
      <w:pStyle w:val="10"/>
      <w:lvlText w:val="%1.%2.%3.%4.%5.%6.%7.%8.%9"/>
      <w:lvlJc w:val="left"/>
      <w:pPr>
        <w:ind w:left="1584" w:hanging="1584"/>
      </w:pPr>
      <w:rPr>
        <w:rFonts w:hint="eastAsia"/>
      </w:rPr>
    </w:lvl>
  </w:abstractNum>
  <w:abstractNum w:abstractNumId="2">
    <w:nsid w:val="33266580"/>
    <w:multiLevelType w:val="multilevel"/>
    <w:tmpl w:val="33266580"/>
    <w:lvl w:ilvl="0" w:tentative="0">
      <w:start w:val="1"/>
      <w:numFmt w:val="decimal"/>
      <w:lvlText w:val="%1."/>
      <w:lvlJc w:val="left"/>
      <w:pPr>
        <w:ind w:left="920" w:hanging="440"/>
      </w:p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35E70C73"/>
    <w:multiLevelType w:val="multilevel"/>
    <w:tmpl w:val="35E70C73"/>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0F4"/>
    <w:rsid w:val="000315FD"/>
    <w:rsid w:val="00133149"/>
    <w:rsid w:val="001A7433"/>
    <w:rsid w:val="00305F68"/>
    <w:rsid w:val="00354920"/>
    <w:rsid w:val="003907FB"/>
    <w:rsid w:val="00504B5E"/>
    <w:rsid w:val="005C3017"/>
    <w:rsid w:val="00600F8C"/>
    <w:rsid w:val="00741AC3"/>
    <w:rsid w:val="00861D1D"/>
    <w:rsid w:val="00940182"/>
    <w:rsid w:val="00950E0C"/>
    <w:rsid w:val="00C63CE5"/>
    <w:rsid w:val="00DD0C43"/>
    <w:rsid w:val="00E130F4"/>
    <w:rsid w:val="00E44088"/>
    <w:rsid w:val="00E678B3"/>
    <w:rsid w:val="00ED0D59"/>
    <w:rsid w:val="00F30805"/>
    <w:rsid w:val="5FA5F61E"/>
    <w:rsid w:val="FFFF0B0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pPr>
    <w:rPr>
      <w:rFonts w:ascii="宋体" w:hAnsi="宋体" w:eastAsia="宋体" w:cstheme="minorBidi"/>
      <w:kern w:val="2"/>
      <w:sz w:val="24"/>
      <w:szCs w:val="24"/>
      <w:lang w:val="en-US" w:eastAsia="zh-CN" w:bidi="ar-SA"/>
      <w14:ligatures w14:val="standardContextual"/>
    </w:rPr>
  </w:style>
  <w:style w:type="paragraph" w:styleId="2">
    <w:name w:val="heading 1"/>
    <w:basedOn w:val="1"/>
    <w:next w:val="1"/>
    <w:link w:val="18"/>
    <w:qFormat/>
    <w:uiPriority w:val="9"/>
    <w:pPr>
      <w:keepNext/>
      <w:keepLines/>
      <w:numPr>
        <w:ilvl w:val="0"/>
        <w:numId w:val="1"/>
      </w:numPr>
      <w:spacing w:before="312" w:beforeLines="100"/>
      <w:outlineLvl w:val="0"/>
    </w:pPr>
    <w:rPr>
      <w:rFonts w:cstheme="majorBidi"/>
      <w:b/>
      <w:bCs/>
      <w:sz w:val="48"/>
      <w:szCs w:val="48"/>
    </w:rPr>
  </w:style>
  <w:style w:type="paragraph" w:styleId="3">
    <w:name w:val="heading 2"/>
    <w:basedOn w:val="1"/>
    <w:next w:val="1"/>
    <w:link w:val="19"/>
    <w:qFormat/>
    <w:uiPriority w:val="9"/>
    <w:pPr>
      <w:keepNext/>
      <w:keepLines/>
      <w:numPr>
        <w:ilvl w:val="1"/>
        <w:numId w:val="1"/>
      </w:numPr>
      <w:spacing w:before="312" w:beforeLines="100"/>
      <w:outlineLvl w:val="1"/>
    </w:pPr>
    <w:rPr>
      <w:rFonts w:cstheme="majorBidi"/>
      <w:b/>
      <w:bCs/>
      <w:sz w:val="40"/>
      <w:szCs w:val="40"/>
    </w:rPr>
  </w:style>
  <w:style w:type="paragraph" w:styleId="4">
    <w:name w:val="heading 3"/>
    <w:basedOn w:val="1"/>
    <w:next w:val="1"/>
    <w:link w:val="20"/>
    <w:qFormat/>
    <w:uiPriority w:val="9"/>
    <w:pPr>
      <w:keepNext/>
      <w:keepLines/>
      <w:numPr>
        <w:ilvl w:val="2"/>
        <w:numId w:val="1"/>
      </w:numPr>
      <w:spacing w:before="312" w:beforeLines="100"/>
      <w:outlineLvl w:val="2"/>
    </w:pPr>
    <w:rPr>
      <w:rFonts w:cstheme="majorBidi"/>
      <w:b/>
      <w:bCs/>
      <w:sz w:val="32"/>
      <w:szCs w:val="32"/>
    </w:rPr>
  </w:style>
  <w:style w:type="paragraph" w:styleId="5">
    <w:name w:val="heading 4"/>
    <w:basedOn w:val="1"/>
    <w:next w:val="1"/>
    <w:link w:val="21"/>
    <w:qFormat/>
    <w:uiPriority w:val="9"/>
    <w:pPr>
      <w:keepNext/>
      <w:keepLines/>
      <w:numPr>
        <w:ilvl w:val="3"/>
        <w:numId w:val="1"/>
      </w:numPr>
      <w:spacing w:before="156" w:beforeLines="50"/>
      <w:outlineLvl w:val="3"/>
    </w:pPr>
    <w:rPr>
      <w:rFonts w:cstheme="majorBidi"/>
      <w:b/>
      <w:bCs/>
      <w:sz w:val="28"/>
      <w:szCs w:val="28"/>
    </w:rPr>
  </w:style>
  <w:style w:type="paragraph" w:styleId="6">
    <w:name w:val="heading 5"/>
    <w:basedOn w:val="1"/>
    <w:next w:val="1"/>
    <w:link w:val="22"/>
    <w:qFormat/>
    <w:uiPriority w:val="9"/>
    <w:pPr>
      <w:keepNext/>
      <w:keepLines/>
      <w:numPr>
        <w:ilvl w:val="4"/>
        <w:numId w:val="1"/>
      </w:numPr>
      <w:spacing w:before="156" w:beforeLines="50"/>
      <w:outlineLvl w:val="4"/>
    </w:pPr>
    <w:rPr>
      <w:rFonts w:cstheme="majorBidi"/>
      <w:b/>
      <w:bCs/>
    </w:rPr>
  </w:style>
  <w:style w:type="paragraph" w:styleId="7">
    <w:name w:val="heading 6"/>
    <w:basedOn w:val="1"/>
    <w:next w:val="1"/>
    <w:link w:val="23"/>
    <w:qFormat/>
    <w:uiPriority w:val="9"/>
    <w:pPr>
      <w:keepNext/>
      <w:keepLines/>
      <w:numPr>
        <w:ilvl w:val="5"/>
        <w:numId w:val="1"/>
      </w:numPr>
      <w:spacing w:before="40"/>
      <w:outlineLvl w:val="5"/>
    </w:pPr>
    <w:rPr>
      <w:rFonts w:cstheme="majorBidi"/>
      <w:b/>
      <w:bCs/>
    </w:rPr>
  </w:style>
  <w:style w:type="paragraph" w:styleId="8">
    <w:name w:val="heading 7"/>
    <w:basedOn w:val="1"/>
    <w:next w:val="1"/>
    <w:link w:val="24"/>
    <w:qFormat/>
    <w:uiPriority w:val="9"/>
    <w:pPr>
      <w:keepNext/>
      <w:keepLines/>
      <w:numPr>
        <w:ilvl w:val="6"/>
        <w:numId w:val="1"/>
      </w:numPr>
      <w:spacing w:before="40"/>
      <w:outlineLvl w:val="6"/>
    </w:pPr>
    <w:rPr>
      <w:rFonts w:cstheme="majorBidi"/>
      <w:b/>
      <w:bCs/>
    </w:rPr>
  </w:style>
  <w:style w:type="paragraph" w:styleId="9">
    <w:name w:val="heading 8"/>
    <w:basedOn w:val="1"/>
    <w:next w:val="1"/>
    <w:link w:val="25"/>
    <w:qFormat/>
    <w:uiPriority w:val="9"/>
    <w:pPr>
      <w:keepNext/>
      <w:keepLines/>
      <w:numPr>
        <w:ilvl w:val="7"/>
        <w:numId w:val="1"/>
      </w:numPr>
      <w:outlineLvl w:val="7"/>
    </w:pPr>
    <w:rPr>
      <w:rFonts w:cstheme="majorBidi"/>
      <w:b/>
      <w:bCs/>
    </w:rPr>
  </w:style>
  <w:style w:type="paragraph" w:styleId="10">
    <w:name w:val="heading 9"/>
    <w:basedOn w:val="1"/>
    <w:next w:val="1"/>
    <w:link w:val="26"/>
    <w:qFormat/>
    <w:uiPriority w:val="9"/>
    <w:pPr>
      <w:keepNext/>
      <w:keepLines/>
      <w:numPr>
        <w:ilvl w:val="8"/>
        <w:numId w:val="1"/>
      </w:numPr>
      <w:outlineLvl w:val="8"/>
    </w:pPr>
    <w:rPr>
      <w:rFonts w:cstheme="majorBidi"/>
      <w:b/>
      <w:bCs/>
      <w:color w:val="595959" w:themeColor="text1" w:themeTint="A6"/>
      <w14:textFill>
        <w14:solidFill>
          <w14:schemeClr w14:val="tx1">
            <w14:lumMod w14:val="65000"/>
            <w14:lumOff w14:val="35000"/>
          </w14:schemeClr>
        </w14:solidFill>
      </w14:textFill>
    </w:rPr>
  </w:style>
  <w:style w:type="character" w:default="1" w:styleId="15">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11">
    <w:name w:val="footer"/>
    <w:basedOn w:val="1"/>
    <w:link w:val="17"/>
    <w:unhideWhenUsed/>
    <w:uiPriority w:val="99"/>
    <w:pPr>
      <w:tabs>
        <w:tab w:val="center" w:pos="4153"/>
        <w:tab w:val="right" w:pos="8306"/>
      </w:tabs>
      <w:snapToGrid w:val="0"/>
    </w:pPr>
    <w:rPr>
      <w:sz w:val="18"/>
      <w:szCs w:val="18"/>
    </w:rPr>
  </w:style>
  <w:style w:type="paragraph" w:styleId="12">
    <w:name w:val="header"/>
    <w:basedOn w:val="1"/>
    <w:link w:val="16"/>
    <w:unhideWhenUsed/>
    <w:uiPriority w:val="99"/>
    <w:pPr>
      <w:pBdr>
        <w:bottom w:val="single" w:color="auto" w:sz="6" w:space="1"/>
      </w:pBdr>
      <w:tabs>
        <w:tab w:val="center" w:pos="4153"/>
        <w:tab w:val="right" w:pos="8306"/>
      </w:tabs>
      <w:snapToGrid w:val="0"/>
      <w:jc w:val="center"/>
    </w:pPr>
    <w:rPr>
      <w:sz w:val="18"/>
      <w:szCs w:val="18"/>
    </w:rPr>
  </w:style>
  <w:style w:type="paragraph" w:styleId="13">
    <w:name w:val="Title"/>
    <w:basedOn w:val="1"/>
    <w:next w:val="1"/>
    <w:link w:val="27"/>
    <w:qFormat/>
    <w:uiPriority w:val="10"/>
    <w:pPr>
      <w:spacing w:after="80" w:line="240" w:lineRule="auto"/>
      <w:contextualSpacing/>
      <w:jc w:val="center"/>
    </w:pPr>
    <w:rPr>
      <w:rFonts w:cstheme="majorBidi"/>
      <w:spacing w:val="-10"/>
      <w:kern w:val="28"/>
      <w:sz w:val="44"/>
      <w:szCs w:val="44"/>
    </w:rPr>
  </w:style>
  <w:style w:type="character" w:customStyle="1" w:styleId="16">
    <w:name w:val="页眉 字符"/>
    <w:basedOn w:val="15"/>
    <w:link w:val="12"/>
    <w:uiPriority w:val="99"/>
    <w:rPr>
      <w:sz w:val="18"/>
      <w:szCs w:val="18"/>
    </w:rPr>
  </w:style>
  <w:style w:type="character" w:customStyle="1" w:styleId="17">
    <w:name w:val="页脚 字符"/>
    <w:basedOn w:val="15"/>
    <w:link w:val="11"/>
    <w:uiPriority w:val="99"/>
    <w:rPr>
      <w:sz w:val="18"/>
      <w:szCs w:val="18"/>
    </w:rPr>
  </w:style>
  <w:style w:type="character" w:customStyle="1" w:styleId="18">
    <w:name w:val="标题 1 字符"/>
    <w:basedOn w:val="15"/>
    <w:link w:val="2"/>
    <w:uiPriority w:val="9"/>
    <w:rPr>
      <w:rFonts w:ascii="宋体" w:hAnsi="宋体" w:eastAsia="宋体" w:cstheme="majorBidi"/>
      <w:b/>
      <w:bCs/>
      <w:sz w:val="48"/>
      <w:szCs w:val="48"/>
      <w14:ligatures w14:val="standardContextual"/>
    </w:rPr>
  </w:style>
  <w:style w:type="character" w:customStyle="1" w:styleId="19">
    <w:name w:val="标题 2 字符"/>
    <w:basedOn w:val="15"/>
    <w:link w:val="3"/>
    <w:uiPriority w:val="9"/>
    <w:rPr>
      <w:rFonts w:ascii="宋体" w:hAnsi="宋体" w:eastAsia="宋体" w:cstheme="majorBidi"/>
      <w:b/>
      <w:bCs/>
      <w:sz w:val="40"/>
      <w:szCs w:val="40"/>
      <w14:ligatures w14:val="standardContextual"/>
    </w:rPr>
  </w:style>
  <w:style w:type="character" w:customStyle="1" w:styleId="20">
    <w:name w:val="标题 3 字符"/>
    <w:basedOn w:val="15"/>
    <w:link w:val="4"/>
    <w:uiPriority w:val="9"/>
    <w:rPr>
      <w:rFonts w:ascii="宋体" w:hAnsi="宋体" w:eastAsia="宋体" w:cstheme="majorBidi"/>
      <w:b/>
      <w:bCs/>
      <w:sz w:val="32"/>
      <w:szCs w:val="32"/>
      <w14:ligatures w14:val="standardContextual"/>
    </w:rPr>
  </w:style>
  <w:style w:type="character" w:customStyle="1" w:styleId="21">
    <w:name w:val="标题 4 字符"/>
    <w:basedOn w:val="15"/>
    <w:link w:val="5"/>
    <w:uiPriority w:val="9"/>
    <w:rPr>
      <w:rFonts w:ascii="宋体" w:hAnsi="宋体" w:eastAsia="宋体" w:cstheme="majorBidi"/>
      <w:b/>
      <w:bCs/>
      <w:sz w:val="28"/>
      <w:szCs w:val="28"/>
      <w14:ligatures w14:val="standardContextual"/>
    </w:rPr>
  </w:style>
  <w:style w:type="character" w:customStyle="1" w:styleId="22">
    <w:name w:val="标题 5 字符"/>
    <w:basedOn w:val="15"/>
    <w:link w:val="6"/>
    <w:uiPriority w:val="9"/>
    <w:rPr>
      <w:rFonts w:ascii="宋体" w:hAnsi="宋体" w:eastAsia="宋体" w:cstheme="majorBidi"/>
      <w:b/>
      <w:bCs/>
      <w:sz w:val="24"/>
      <w:szCs w:val="24"/>
      <w14:ligatures w14:val="standardContextual"/>
    </w:rPr>
  </w:style>
  <w:style w:type="character" w:customStyle="1" w:styleId="23">
    <w:name w:val="标题 6 字符"/>
    <w:basedOn w:val="15"/>
    <w:link w:val="7"/>
    <w:uiPriority w:val="9"/>
    <w:rPr>
      <w:rFonts w:ascii="宋体" w:hAnsi="宋体" w:eastAsia="宋体" w:cstheme="majorBidi"/>
      <w:b/>
      <w:bCs/>
      <w:sz w:val="24"/>
      <w:szCs w:val="24"/>
      <w14:ligatures w14:val="standardContextual"/>
    </w:rPr>
  </w:style>
  <w:style w:type="character" w:customStyle="1" w:styleId="24">
    <w:name w:val="标题 7 字符"/>
    <w:basedOn w:val="15"/>
    <w:link w:val="8"/>
    <w:uiPriority w:val="9"/>
    <w:rPr>
      <w:rFonts w:ascii="宋体" w:hAnsi="宋体" w:eastAsia="宋体" w:cstheme="majorBidi"/>
      <w:b/>
      <w:bCs/>
      <w:sz w:val="24"/>
      <w:szCs w:val="24"/>
      <w14:ligatures w14:val="standardContextual"/>
    </w:rPr>
  </w:style>
  <w:style w:type="character" w:customStyle="1" w:styleId="25">
    <w:name w:val="标题 8 字符"/>
    <w:basedOn w:val="15"/>
    <w:link w:val="9"/>
    <w:uiPriority w:val="9"/>
    <w:rPr>
      <w:rFonts w:ascii="宋体" w:hAnsi="宋体" w:eastAsia="宋体" w:cstheme="majorBidi"/>
      <w:b/>
      <w:bCs/>
      <w:sz w:val="24"/>
      <w:szCs w:val="24"/>
      <w14:ligatures w14:val="standardContextual"/>
    </w:rPr>
  </w:style>
  <w:style w:type="character" w:customStyle="1" w:styleId="26">
    <w:name w:val="标题 9 字符"/>
    <w:basedOn w:val="15"/>
    <w:link w:val="10"/>
    <w:uiPriority w:val="9"/>
    <w:rPr>
      <w:rFonts w:ascii="宋体" w:hAnsi="宋体" w:eastAsia="宋体" w:cstheme="majorBidi"/>
      <w:b/>
      <w:bCs/>
      <w:color w:val="595959" w:themeColor="text1" w:themeTint="A6"/>
      <w:sz w:val="24"/>
      <w:szCs w:val="24"/>
      <w14:textFill>
        <w14:solidFill>
          <w14:schemeClr w14:val="tx1">
            <w14:lumMod w14:val="65000"/>
            <w14:lumOff w14:val="35000"/>
          </w14:schemeClr>
        </w14:solidFill>
      </w14:textFill>
      <w14:ligatures w14:val="standardContextual"/>
    </w:rPr>
  </w:style>
  <w:style w:type="character" w:customStyle="1" w:styleId="27">
    <w:name w:val="标题 字符"/>
    <w:basedOn w:val="15"/>
    <w:link w:val="13"/>
    <w:uiPriority w:val="10"/>
    <w:rPr>
      <w:rFonts w:ascii="宋体" w:hAnsi="宋体" w:eastAsia="宋体" w:cstheme="majorBidi"/>
      <w:spacing w:val="-10"/>
      <w:kern w:val="28"/>
      <w:sz w:val="44"/>
      <w:szCs w:val="44"/>
      <w14:ligatures w14:val="standardContextual"/>
    </w:rPr>
  </w:style>
  <w:style w:type="paragraph" w:styleId="2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401</Words>
  <Characters>2290</Characters>
  <Lines>19</Lines>
  <Paragraphs>5</Paragraphs>
  <TotalTime>2</TotalTime>
  <ScaleCrop>false</ScaleCrop>
  <LinksUpToDate>false</LinksUpToDate>
  <CharactersWithSpaces>2686</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2026-06-03T18:06:00Z</dcterms:created>
  <dc:creator>工作</dc:creator>
  <cp:lastModifiedBy>剑涛 冯</cp:lastModifiedBy>
  <dcterms:modified xsi:type="dcterms:W3CDTF">2026-06-09T07:51:52Z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