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31777" w14:textId="50EC1DC6" w:rsidR="00DF3755" w:rsidRPr="007A2559" w:rsidRDefault="00BD30CD">
      <w:pPr>
        <w:spacing w:line="360" w:lineRule="auto"/>
        <w:jc w:val="center"/>
        <w:rPr>
          <w:rFonts w:ascii="宋体" w:eastAsia="宋体" w:hAnsi="宋体"/>
          <w:b/>
          <w:bCs/>
          <w:sz w:val="44"/>
          <w:szCs w:val="30"/>
        </w:rPr>
      </w:pPr>
      <w:r w:rsidRPr="007A2559">
        <w:rPr>
          <w:rFonts w:ascii="宋体" w:eastAsia="宋体" w:hAnsi="宋体" w:hint="eastAsia"/>
          <w:b/>
          <w:bCs/>
          <w:sz w:val="44"/>
          <w:szCs w:val="30"/>
        </w:rPr>
        <w:t>广州医科大学附属番禺中心医院康复治疗数字化管理系统采购项目用户需求书</w:t>
      </w:r>
    </w:p>
    <w:p w14:paraId="79B80C77" w14:textId="77777777" w:rsidR="00DF3755" w:rsidRPr="007A2559" w:rsidRDefault="00DF3755">
      <w:pPr>
        <w:spacing w:line="360" w:lineRule="auto"/>
        <w:jc w:val="center"/>
        <w:rPr>
          <w:rFonts w:ascii="仿宋" w:eastAsia="仿宋" w:hAnsi="仿宋"/>
          <w:sz w:val="24"/>
          <w:szCs w:val="28"/>
        </w:rPr>
      </w:pPr>
    </w:p>
    <w:p w14:paraId="24C32213" w14:textId="77777777" w:rsidR="00DF3755" w:rsidRPr="007A2559" w:rsidRDefault="009F05F6">
      <w:pPr>
        <w:pStyle w:val="a9"/>
        <w:numPr>
          <w:ilvl w:val="0"/>
          <w:numId w:val="1"/>
        </w:numPr>
        <w:spacing w:line="360" w:lineRule="auto"/>
        <w:jc w:val="left"/>
        <w:rPr>
          <w:rFonts w:ascii="仿宋" w:eastAsia="仿宋" w:hAnsi="仿宋"/>
          <w:b/>
          <w:bCs/>
          <w:sz w:val="24"/>
          <w:szCs w:val="28"/>
        </w:rPr>
      </w:pPr>
      <w:r w:rsidRPr="007A2559">
        <w:rPr>
          <w:rFonts w:ascii="仿宋" w:eastAsia="仿宋" w:hAnsi="仿宋" w:hint="eastAsia"/>
          <w:b/>
          <w:bCs/>
          <w:sz w:val="24"/>
          <w:szCs w:val="28"/>
        </w:rPr>
        <w:t>项目建设背景</w:t>
      </w:r>
    </w:p>
    <w:p w14:paraId="6CFEFBA8" w14:textId="77777777" w:rsidR="00DF3755" w:rsidRDefault="009F05F6">
      <w:pPr>
        <w:spacing w:line="360" w:lineRule="auto"/>
        <w:ind w:firstLineChars="200" w:firstLine="480"/>
        <w:rPr>
          <w:rFonts w:ascii="仿宋" w:eastAsia="仿宋" w:hAnsi="仿宋"/>
          <w:sz w:val="24"/>
          <w:szCs w:val="24"/>
        </w:rPr>
      </w:pPr>
      <w:bookmarkStart w:id="0" w:name="OLE_LINK6"/>
      <w:r>
        <w:rPr>
          <w:rFonts w:ascii="仿宋" w:eastAsia="仿宋" w:hAnsi="仿宋"/>
          <w:sz w:val="24"/>
          <w:szCs w:val="24"/>
        </w:rPr>
        <w:t>随着《国家卫生计生委办公厅关于印发医院信息平台应用功能指引的通知》《电子病历系统功能应用水平分级标准》及《医院信息互联互通标准化成熟度测评方案》等政策文件的出台，康复信息化建设已成为医院现代化发展的核心任务</w:t>
      </w:r>
      <w:r>
        <w:rPr>
          <w:rFonts w:ascii="仿宋" w:eastAsia="仿宋" w:hAnsi="仿宋" w:hint="eastAsia"/>
          <w:sz w:val="24"/>
          <w:szCs w:val="24"/>
        </w:rPr>
        <w:t>。</w:t>
      </w:r>
    </w:p>
    <w:p w14:paraId="0D09442F" w14:textId="77777777" w:rsidR="00DF3755" w:rsidRDefault="009F05F6" w:rsidP="007A2559">
      <w:pPr>
        <w:widowControl/>
        <w:numPr>
          <w:ilvl w:val="0"/>
          <w:numId w:val="2"/>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政策驱动：国家明确要求实现康复治疗全流程信息化管理，覆盖患者管理、康复评估、治疗记录、质控等环节。</w:t>
      </w:r>
    </w:p>
    <w:p w14:paraId="37898522" w14:textId="77777777" w:rsidR="00DF3755" w:rsidRDefault="009F05F6" w:rsidP="007A2559">
      <w:pPr>
        <w:widowControl/>
        <w:numPr>
          <w:ilvl w:val="0"/>
          <w:numId w:val="2"/>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评级需求：电子病历评级（四级以上）、互联互通测评等对康复信息化提出硬性指标。</w:t>
      </w:r>
    </w:p>
    <w:p w14:paraId="31C53CD3" w14:textId="04AA406E" w:rsidR="00DF3755" w:rsidRDefault="009F05F6" w:rsidP="007A2559">
      <w:pPr>
        <w:widowControl/>
        <w:numPr>
          <w:ilvl w:val="0"/>
          <w:numId w:val="2"/>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科室发展需求：传统手工管理模式已无法满足患者增长、质控精细化和科研数据整合需求，亟需通过数字化升级提升效率与服务能力。</w:t>
      </w:r>
      <w:bookmarkEnd w:id="0"/>
    </w:p>
    <w:p w14:paraId="057F52A5" w14:textId="77777777" w:rsidR="00DF3755" w:rsidRPr="007A2559" w:rsidRDefault="009F05F6">
      <w:pPr>
        <w:pStyle w:val="a9"/>
        <w:numPr>
          <w:ilvl w:val="0"/>
          <w:numId w:val="1"/>
        </w:numPr>
        <w:spacing w:line="360" w:lineRule="auto"/>
        <w:jc w:val="left"/>
        <w:rPr>
          <w:rFonts w:ascii="仿宋" w:eastAsia="仿宋" w:hAnsi="仿宋"/>
          <w:b/>
          <w:bCs/>
          <w:sz w:val="24"/>
          <w:szCs w:val="28"/>
        </w:rPr>
      </w:pPr>
      <w:r w:rsidRPr="007A2559">
        <w:rPr>
          <w:rFonts w:ascii="仿宋" w:eastAsia="仿宋" w:hAnsi="仿宋" w:hint="eastAsia"/>
          <w:b/>
          <w:bCs/>
          <w:sz w:val="24"/>
          <w:szCs w:val="28"/>
        </w:rPr>
        <w:t>建设目标</w:t>
      </w:r>
    </w:p>
    <w:p w14:paraId="00923254" w14:textId="77777777" w:rsidR="00DF3755" w:rsidRDefault="009F05F6">
      <w:pPr>
        <w:spacing w:line="360" w:lineRule="auto"/>
        <w:ind w:firstLineChars="300" w:firstLine="720"/>
        <w:rPr>
          <w:rFonts w:ascii="仿宋" w:eastAsia="仿宋" w:hAnsi="仿宋"/>
          <w:sz w:val="24"/>
          <w:szCs w:val="24"/>
        </w:rPr>
      </w:pPr>
      <w:r>
        <w:rPr>
          <w:rFonts w:ascii="仿宋" w:eastAsia="仿宋" w:hAnsi="仿宋" w:hint="eastAsia"/>
          <w:sz w:val="24"/>
          <w:szCs w:val="24"/>
        </w:rPr>
        <w:t>服务于康复科及全院的康复患者，覆盖全周期康复流程，支撑康复早期介入、医治护深度协作、通过信息化手段形成门诊、住院、会诊业务的全流程闭环式管理，为患者提供完整的、可追溯的在</w:t>
      </w:r>
      <w:proofErr w:type="gramStart"/>
      <w:r>
        <w:rPr>
          <w:rFonts w:ascii="仿宋" w:eastAsia="仿宋" w:hAnsi="仿宋" w:hint="eastAsia"/>
          <w:sz w:val="24"/>
          <w:szCs w:val="24"/>
        </w:rPr>
        <w:t>院信息</w:t>
      </w:r>
      <w:proofErr w:type="gramEnd"/>
      <w:r>
        <w:rPr>
          <w:rFonts w:ascii="仿宋" w:eastAsia="仿宋" w:hAnsi="仿宋" w:hint="eastAsia"/>
          <w:sz w:val="24"/>
          <w:szCs w:val="24"/>
        </w:rPr>
        <w:t>档案，解放医务人员非临床作业的多余工作量，提高工作效率，系统的建设需满足科室的高标准管理，发挥专科特色优势，同时亦要满足医院信息化建设电子病历评级、互联互通，三甲复审等各项政策的要求，具体如下：</w:t>
      </w:r>
    </w:p>
    <w:p w14:paraId="03A15E57" w14:textId="77777777" w:rsidR="00DF3755" w:rsidRDefault="009F05F6" w:rsidP="007A2559">
      <w:pPr>
        <w:widowControl/>
        <w:numPr>
          <w:ilvl w:val="0"/>
          <w:numId w:val="3"/>
        </w:numPr>
        <w:spacing w:line="360" w:lineRule="auto"/>
        <w:ind w:left="0" w:firstLine="482"/>
        <w:jc w:val="left"/>
        <w:rPr>
          <w:rFonts w:ascii="仿宋" w:eastAsia="仿宋" w:hAnsi="仿宋"/>
          <w:bCs/>
          <w:sz w:val="24"/>
          <w:szCs w:val="24"/>
        </w:rPr>
      </w:pPr>
      <w:bookmarkStart w:id="1" w:name="OLE_LINK4"/>
      <w:r>
        <w:rPr>
          <w:rFonts w:ascii="仿宋" w:eastAsia="仿宋" w:hAnsi="仿宋" w:hint="eastAsia"/>
          <w:bCs/>
          <w:sz w:val="24"/>
          <w:szCs w:val="24"/>
        </w:rPr>
        <w:t>打破信息孤岛：实现与EMR等系统无缝对接，构建临床康复数据中心。</w:t>
      </w:r>
    </w:p>
    <w:p w14:paraId="60ACEE52" w14:textId="77777777" w:rsidR="00DF3755" w:rsidRDefault="009F05F6" w:rsidP="007A2559">
      <w:pPr>
        <w:widowControl/>
        <w:numPr>
          <w:ilvl w:val="0"/>
          <w:numId w:val="3"/>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实现全院治疗一体化管理：通过治疗系统建设，满足全院治疗项目的执行与统计</w:t>
      </w:r>
    </w:p>
    <w:p w14:paraId="653FA666" w14:textId="77777777" w:rsidR="00DF3755" w:rsidRDefault="009F05F6" w:rsidP="007A2559">
      <w:pPr>
        <w:widowControl/>
        <w:numPr>
          <w:ilvl w:val="0"/>
          <w:numId w:val="3"/>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实现康复诊疗流程规范化管理：建立标准化康复路径及全流程信息化覆盖。</w:t>
      </w:r>
    </w:p>
    <w:p w14:paraId="55DF7324" w14:textId="77777777" w:rsidR="00DF3755" w:rsidRDefault="009F05F6" w:rsidP="007A2559">
      <w:pPr>
        <w:widowControl/>
        <w:numPr>
          <w:ilvl w:val="0"/>
          <w:numId w:val="3"/>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提升效率与服务：通过智能排班、治疗跟踪、数据统计等功能，提升治疗师效率及患者体验。</w:t>
      </w:r>
    </w:p>
    <w:p w14:paraId="78510EFB" w14:textId="77777777" w:rsidR="00DF3755" w:rsidRDefault="009F05F6" w:rsidP="007A2559">
      <w:pPr>
        <w:widowControl/>
        <w:numPr>
          <w:ilvl w:val="0"/>
          <w:numId w:val="3"/>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加强康复数据分析和研究能力：整合康复数据（评估结果、治疗记录、他科治疗等）形成可视化报表，辅助科室制定学科发展计划。</w:t>
      </w:r>
    </w:p>
    <w:p w14:paraId="58B8AA65" w14:textId="77777777" w:rsidR="00DF3755" w:rsidRDefault="009F05F6" w:rsidP="007A2559">
      <w:pPr>
        <w:widowControl/>
        <w:numPr>
          <w:ilvl w:val="0"/>
          <w:numId w:val="3"/>
        </w:numPr>
        <w:spacing w:line="360" w:lineRule="auto"/>
        <w:ind w:left="0" w:firstLine="482"/>
        <w:jc w:val="left"/>
        <w:rPr>
          <w:rFonts w:ascii="仿宋" w:eastAsia="仿宋" w:hAnsi="仿宋"/>
          <w:bCs/>
          <w:sz w:val="24"/>
          <w:szCs w:val="24"/>
        </w:rPr>
      </w:pPr>
      <w:r>
        <w:rPr>
          <w:rFonts w:ascii="仿宋" w:eastAsia="仿宋" w:hAnsi="仿宋" w:cs="Times New Roman" w:hint="eastAsia"/>
          <w:bCs/>
          <w:sz w:val="24"/>
          <w:szCs w:val="24"/>
          <w:lang w:bidi="ar"/>
        </w:rPr>
        <w:lastRenderedPageBreak/>
        <w:t>采用</w:t>
      </w:r>
      <w:r w:rsidRPr="00BD30CD">
        <w:rPr>
          <w:rFonts w:ascii="仿宋" w:eastAsia="仿宋" w:hAnsi="仿宋" w:hint="eastAsia"/>
          <w:bCs/>
          <w:sz w:val="24"/>
          <w:szCs w:val="24"/>
        </w:rPr>
        <w:t>先进</w:t>
      </w:r>
      <w:r>
        <w:rPr>
          <w:rFonts w:ascii="仿宋" w:eastAsia="仿宋" w:hAnsi="仿宋" w:cs="Times New Roman" w:hint="eastAsia"/>
          <w:bCs/>
          <w:sz w:val="24"/>
          <w:szCs w:val="24"/>
          <w:lang w:bidi="ar"/>
        </w:rPr>
        <w:t>合理的技术架构（如</w:t>
      </w:r>
      <w:proofErr w:type="gramStart"/>
      <w:r>
        <w:rPr>
          <w:rFonts w:ascii="仿宋" w:eastAsia="仿宋" w:hAnsi="仿宋" w:cs="Times New Roman" w:hint="eastAsia"/>
          <w:bCs/>
          <w:sz w:val="24"/>
          <w:szCs w:val="24"/>
          <w:lang w:bidi="ar"/>
        </w:rPr>
        <w:t>微服务</w:t>
      </w:r>
      <w:proofErr w:type="gramEnd"/>
      <w:r>
        <w:rPr>
          <w:rFonts w:ascii="仿宋" w:eastAsia="仿宋" w:hAnsi="仿宋" w:cs="Times New Roman" w:hint="eastAsia"/>
          <w:bCs/>
          <w:sz w:val="24"/>
          <w:szCs w:val="24"/>
          <w:lang w:bidi="ar"/>
        </w:rPr>
        <w:t>架构等），确保系统具备良好的可扩展性、灵活性和可维护性，并提供详细的技术架构图及说明。</w:t>
      </w:r>
    </w:p>
    <w:p w14:paraId="3F6DBE3B" w14:textId="23B7FEFF" w:rsidR="00DF3755" w:rsidRDefault="009F05F6" w:rsidP="007A2559">
      <w:pPr>
        <w:widowControl/>
        <w:numPr>
          <w:ilvl w:val="0"/>
          <w:numId w:val="3"/>
        </w:numPr>
        <w:spacing w:line="360" w:lineRule="auto"/>
        <w:ind w:left="0" w:firstLine="482"/>
        <w:jc w:val="left"/>
        <w:rPr>
          <w:rFonts w:ascii="仿宋" w:eastAsia="仿宋" w:hAnsi="仿宋"/>
          <w:bCs/>
          <w:sz w:val="24"/>
          <w:szCs w:val="24"/>
        </w:rPr>
      </w:pPr>
      <w:r>
        <w:rPr>
          <w:rFonts w:ascii="仿宋" w:eastAsia="仿宋" w:hAnsi="仿宋" w:cs="Times New Roman" w:hint="eastAsia"/>
          <w:bCs/>
          <w:sz w:val="24"/>
          <w:szCs w:val="24"/>
          <w:lang w:bidi="ar"/>
        </w:rPr>
        <w:t>系统</w:t>
      </w:r>
      <w:r w:rsidRPr="00BD30CD">
        <w:rPr>
          <w:rFonts w:ascii="仿宋" w:eastAsia="仿宋" w:hAnsi="仿宋" w:hint="eastAsia"/>
          <w:bCs/>
          <w:sz w:val="24"/>
          <w:szCs w:val="24"/>
        </w:rPr>
        <w:t>建设</w:t>
      </w:r>
      <w:r>
        <w:rPr>
          <w:rFonts w:ascii="仿宋" w:eastAsia="仿宋" w:hAnsi="仿宋" w:cs="Times New Roman" w:hint="eastAsia"/>
          <w:bCs/>
          <w:sz w:val="24"/>
          <w:szCs w:val="24"/>
          <w:lang w:bidi="ar"/>
        </w:rPr>
        <w:t>需全面满足电子病历系统应用水平分级评价五级、国家医疗健康信息互联互通标准化成熟度测评、三级甲等医院复审等相关政策要求，投标人需提供详细的政策对照说明及具体实现路径，</w:t>
      </w:r>
      <w:r w:rsidRPr="00FB4834">
        <w:rPr>
          <w:rFonts w:ascii="仿宋" w:eastAsia="仿宋" w:hAnsi="仿宋" w:cs="Times New Roman" w:hint="eastAsia"/>
          <w:b/>
          <w:bCs/>
          <w:color w:val="FF0000"/>
          <w:sz w:val="24"/>
          <w:szCs w:val="24"/>
          <w:lang w:bidi="ar"/>
        </w:rPr>
        <w:t>并提交相应承诺函</w:t>
      </w:r>
      <w:r>
        <w:rPr>
          <w:rFonts w:ascii="仿宋" w:eastAsia="仿宋" w:hAnsi="仿宋" w:cs="Times New Roman" w:hint="eastAsia"/>
          <w:bCs/>
          <w:sz w:val="24"/>
          <w:szCs w:val="24"/>
          <w:lang w:bidi="ar"/>
        </w:rPr>
        <w:t>。</w:t>
      </w:r>
      <w:r>
        <w:rPr>
          <w:rFonts w:ascii="宋体" w:eastAsia="宋体" w:hAnsi="宋体" w:cs="宋体"/>
          <w:sz w:val="24"/>
          <w:szCs w:val="24"/>
        </w:rPr>
        <w:t xml:space="preserve"> </w:t>
      </w:r>
    </w:p>
    <w:p w14:paraId="3F07E618"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项目建设范围</w:t>
      </w:r>
    </w:p>
    <w:p w14:paraId="2D12F386" w14:textId="77777777" w:rsidR="00DF3755" w:rsidRDefault="009F05F6">
      <w:pPr>
        <w:widowControl/>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科室以覆盖康复医学科、高压氧科、中医科为主实现科室闭环管理，全院其他治疗科室为辅，其中其他治疗科室则以通用流程为主提供执行及数据统计功能。</w:t>
      </w:r>
    </w:p>
    <w:p w14:paraId="02FE972E"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项目建设内容</w:t>
      </w:r>
    </w:p>
    <w:p w14:paraId="378DC3C9" w14:textId="77777777" w:rsidR="00DF3755" w:rsidRDefault="009F05F6">
      <w:pPr>
        <w:pStyle w:val="a9"/>
        <w:numPr>
          <w:ilvl w:val="0"/>
          <w:numId w:val="4"/>
        </w:numPr>
        <w:spacing w:line="360" w:lineRule="auto"/>
        <w:jc w:val="left"/>
        <w:rPr>
          <w:rFonts w:ascii="仿宋" w:eastAsia="仿宋" w:hAnsi="仿宋"/>
          <w:b/>
          <w:sz w:val="24"/>
          <w:szCs w:val="24"/>
        </w:rPr>
      </w:pPr>
      <w:r>
        <w:rPr>
          <w:rFonts w:ascii="仿宋" w:eastAsia="仿宋" w:hAnsi="仿宋" w:hint="eastAsia"/>
          <w:b/>
          <w:sz w:val="24"/>
          <w:szCs w:val="24"/>
        </w:rPr>
        <w:t>全院治疗系统建设内容</w:t>
      </w:r>
    </w:p>
    <w:p w14:paraId="549CCE0F" w14:textId="77777777" w:rsidR="00DF3755" w:rsidRDefault="009F05F6">
      <w:pPr>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全院治疗通用流程说明：</w:t>
      </w:r>
    </w:p>
    <w:p w14:paraId="1E99FFB3" w14:textId="77777777" w:rsidR="00DF3755" w:rsidRDefault="009F05F6">
      <w:pPr>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科室范围：针对康复医学科、高压氧科、中医科以外的治疗科室</w:t>
      </w:r>
      <w:r>
        <w:rPr>
          <w:rFonts w:ascii="仿宋" w:eastAsia="仿宋" w:hAnsi="仿宋"/>
          <w:bCs/>
          <w:sz w:val="24"/>
          <w:szCs w:val="24"/>
        </w:rPr>
        <w:t>。</w:t>
      </w:r>
    </w:p>
    <w:p w14:paraId="14F33F3C" w14:textId="77777777" w:rsidR="00DF3755" w:rsidRDefault="009F05F6">
      <w:pPr>
        <w:widowControl/>
        <w:spacing w:line="360" w:lineRule="auto"/>
        <w:ind w:firstLineChars="200" w:firstLine="480"/>
        <w:jc w:val="left"/>
        <w:rPr>
          <w:rFonts w:ascii="仿宋" w:eastAsia="仿宋" w:hAnsi="仿宋"/>
          <w:bCs/>
          <w:sz w:val="24"/>
          <w:szCs w:val="24"/>
        </w:rPr>
      </w:pPr>
      <w:r>
        <w:rPr>
          <w:rFonts w:ascii="仿宋" w:eastAsia="仿宋" w:hAnsi="仿宋"/>
          <w:bCs/>
          <w:sz w:val="24"/>
          <w:szCs w:val="24"/>
        </w:rPr>
        <w:t>门诊流程</w:t>
      </w:r>
      <w:r>
        <w:rPr>
          <w:rFonts w:ascii="仿宋" w:eastAsia="仿宋" w:hAnsi="仿宋" w:hint="eastAsia"/>
          <w:bCs/>
          <w:sz w:val="24"/>
          <w:szCs w:val="24"/>
        </w:rPr>
        <w:t>：门诊医生接诊查体，进行简单评估，并同时下达治疗医嘱，患者缴费后，来到治疗区，系统自动同步治疗医嘱信息，治疗师进行治疗后，通过电脑端为患者提交治疗执行，执行时可备注患者该项治疗治疗效果，完成执行后，查看患者治疗记录，治疗记录自动加载已执行的治疗项目明细及治疗效果。</w:t>
      </w:r>
    </w:p>
    <w:p w14:paraId="52CDA608" w14:textId="77777777" w:rsidR="00DF3755" w:rsidRDefault="009F05F6">
      <w:pPr>
        <w:widowControl/>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住院流程说明：患者办理入院， 医生通过问诊、检查等结果下达治疗医嘱，护士审核。患者到达治疗区，治疗完成后，治疗师在治疗系统进行项目执行（执行项目并统计工作量），接口</w:t>
      </w:r>
      <w:proofErr w:type="gramStart"/>
      <w:r>
        <w:rPr>
          <w:rFonts w:ascii="仿宋" w:eastAsia="仿宋" w:hAnsi="仿宋" w:hint="eastAsia"/>
          <w:bCs/>
          <w:sz w:val="24"/>
          <w:szCs w:val="24"/>
        </w:rPr>
        <w:t>回传费</w:t>
      </w:r>
      <w:proofErr w:type="gramEnd"/>
      <w:r>
        <w:rPr>
          <w:rFonts w:ascii="仿宋" w:eastAsia="仿宋" w:hAnsi="仿宋" w:hint="eastAsia"/>
          <w:bCs/>
          <w:sz w:val="24"/>
          <w:szCs w:val="24"/>
        </w:rPr>
        <w:t>清单用在EMR计费。</w:t>
      </w:r>
    </w:p>
    <w:p w14:paraId="36675474" w14:textId="77777777" w:rsidR="00DF3755" w:rsidRDefault="009F05F6">
      <w:pPr>
        <w:widowControl/>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会诊流程说明：临床科室发起会诊，治疗科室参与会诊，医生根据会诊结果下达响应执行科室治疗医嘱，护士审核，患者到达</w:t>
      </w:r>
      <w:proofErr w:type="gramStart"/>
      <w:r>
        <w:rPr>
          <w:rFonts w:ascii="仿宋" w:eastAsia="仿宋" w:hAnsi="仿宋" w:hint="eastAsia"/>
          <w:bCs/>
          <w:sz w:val="24"/>
          <w:szCs w:val="24"/>
        </w:rPr>
        <w:t>治疗区</w:t>
      </w:r>
      <w:proofErr w:type="gramEnd"/>
      <w:r>
        <w:rPr>
          <w:rFonts w:ascii="仿宋" w:eastAsia="仿宋" w:hAnsi="仿宋" w:hint="eastAsia"/>
          <w:bCs/>
          <w:sz w:val="24"/>
          <w:szCs w:val="24"/>
        </w:rPr>
        <w:t>进行治疗。患者治疗完成后，治疗师在治疗系统进行项目执行（执行项目并统计工作量），接口回传费用清单在EMR计费。</w:t>
      </w:r>
    </w:p>
    <w:p w14:paraId="351FADEC" w14:textId="77777777" w:rsidR="00DF3755" w:rsidRDefault="009F05F6">
      <w:pPr>
        <w:widowControl/>
        <w:spacing w:line="360" w:lineRule="auto"/>
        <w:jc w:val="left"/>
        <w:rPr>
          <w:rFonts w:ascii="仿宋" w:eastAsia="仿宋" w:hAnsi="仿宋"/>
          <w:b/>
          <w:sz w:val="24"/>
          <w:szCs w:val="24"/>
        </w:rPr>
      </w:pPr>
      <w:r>
        <w:rPr>
          <w:rFonts w:ascii="仿宋" w:eastAsia="仿宋" w:hAnsi="仿宋" w:hint="eastAsia"/>
          <w:b/>
          <w:sz w:val="24"/>
          <w:szCs w:val="24"/>
        </w:rPr>
        <w:t xml:space="preserve">   建设功能模块清单</w:t>
      </w:r>
    </w:p>
    <w:tbl>
      <w:tblPr>
        <w:tblStyle w:val="a8"/>
        <w:tblW w:w="8784" w:type="dxa"/>
        <w:tblLook w:val="04A0" w:firstRow="1" w:lastRow="0" w:firstColumn="1" w:lastColumn="0" w:noHBand="0" w:noVBand="1"/>
      </w:tblPr>
      <w:tblGrid>
        <w:gridCol w:w="699"/>
        <w:gridCol w:w="1699"/>
        <w:gridCol w:w="6386"/>
      </w:tblGrid>
      <w:tr w:rsidR="00DF3755" w14:paraId="0CF347B1" w14:textId="77777777">
        <w:tc>
          <w:tcPr>
            <w:tcW w:w="699" w:type="dxa"/>
            <w:shd w:val="clear" w:color="auto" w:fill="FFFFFF"/>
            <w:vAlign w:val="center"/>
          </w:tcPr>
          <w:p w14:paraId="1B601107" w14:textId="77777777" w:rsidR="00DF3755" w:rsidRDefault="009F05F6">
            <w:pPr>
              <w:spacing w:line="360" w:lineRule="auto"/>
              <w:rPr>
                <w:rFonts w:ascii="仿宋" w:eastAsia="仿宋" w:hAnsi="仿宋" w:cs="仿宋"/>
                <w:b/>
                <w:bCs/>
                <w:color w:val="262626" w:themeColor="text1" w:themeTint="D9"/>
                <w:kern w:val="0"/>
                <w:sz w:val="24"/>
                <w:szCs w:val="24"/>
              </w:rPr>
            </w:pPr>
            <w:r>
              <w:rPr>
                <w:rFonts w:ascii="仿宋" w:eastAsia="仿宋" w:hAnsi="仿宋" w:cs="仿宋" w:hint="eastAsia"/>
                <w:b/>
                <w:bCs/>
                <w:color w:val="262626" w:themeColor="text1" w:themeTint="D9"/>
                <w:kern w:val="0"/>
                <w:sz w:val="24"/>
                <w:szCs w:val="24"/>
              </w:rPr>
              <w:t>序号</w:t>
            </w:r>
          </w:p>
        </w:tc>
        <w:tc>
          <w:tcPr>
            <w:tcW w:w="1699" w:type="dxa"/>
            <w:shd w:val="clear" w:color="auto" w:fill="FFFFFF"/>
            <w:vAlign w:val="center"/>
          </w:tcPr>
          <w:p w14:paraId="4F79E84C" w14:textId="77777777" w:rsidR="00DF3755" w:rsidRDefault="009F05F6">
            <w:pPr>
              <w:spacing w:line="360" w:lineRule="auto"/>
              <w:ind w:firstLine="422"/>
              <w:jc w:val="center"/>
              <w:rPr>
                <w:rFonts w:ascii="仿宋" w:eastAsia="仿宋" w:hAnsi="仿宋" w:cs="仿宋"/>
                <w:b/>
                <w:bCs/>
                <w:color w:val="262626" w:themeColor="text1" w:themeTint="D9"/>
                <w:kern w:val="0"/>
                <w:sz w:val="24"/>
                <w:szCs w:val="24"/>
              </w:rPr>
            </w:pPr>
            <w:r>
              <w:rPr>
                <w:rFonts w:ascii="仿宋" w:eastAsia="仿宋" w:hAnsi="仿宋" w:cs="仿宋" w:hint="eastAsia"/>
                <w:b/>
                <w:bCs/>
                <w:color w:val="262626" w:themeColor="text1" w:themeTint="D9"/>
                <w:kern w:val="0"/>
                <w:sz w:val="24"/>
                <w:szCs w:val="24"/>
              </w:rPr>
              <w:t>模块名称</w:t>
            </w:r>
          </w:p>
        </w:tc>
        <w:tc>
          <w:tcPr>
            <w:tcW w:w="6386" w:type="dxa"/>
            <w:shd w:val="clear" w:color="auto" w:fill="FFFFFF"/>
            <w:vAlign w:val="center"/>
          </w:tcPr>
          <w:p w14:paraId="12D192A4" w14:textId="77777777" w:rsidR="00DF3755" w:rsidRDefault="009F05F6">
            <w:pPr>
              <w:spacing w:line="360" w:lineRule="auto"/>
              <w:ind w:firstLine="422"/>
              <w:jc w:val="center"/>
              <w:rPr>
                <w:rFonts w:ascii="仿宋" w:eastAsia="仿宋" w:hAnsi="仿宋" w:cs="仿宋"/>
                <w:b/>
                <w:bCs/>
                <w:color w:val="262626" w:themeColor="text1" w:themeTint="D9"/>
                <w:kern w:val="0"/>
                <w:sz w:val="24"/>
                <w:szCs w:val="24"/>
              </w:rPr>
            </w:pPr>
            <w:r>
              <w:rPr>
                <w:rFonts w:ascii="仿宋" w:eastAsia="仿宋" w:hAnsi="仿宋" w:cs="仿宋" w:hint="eastAsia"/>
                <w:b/>
                <w:bCs/>
                <w:color w:val="262626" w:themeColor="text1" w:themeTint="D9"/>
                <w:kern w:val="0"/>
                <w:sz w:val="24"/>
                <w:szCs w:val="24"/>
              </w:rPr>
              <w:t>功能简介</w:t>
            </w:r>
          </w:p>
        </w:tc>
      </w:tr>
      <w:tr w:rsidR="00DF3755" w14:paraId="54CCF401" w14:textId="77777777">
        <w:tc>
          <w:tcPr>
            <w:tcW w:w="699" w:type="dxa"/>
            <w:shd w:val="clear" w:color="auto" w:fill="FFFFFF"/>
            <w:vAlign w:val="center"/>
          </w:tcPr>
          <w:p w14:paraId="6C1207EC"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lastRenderedPageBreak/>
              <w:t>1</w:t>
            </w:r>
          </w:p>
        </w:tc>
        <w:tc>
          <w:tcPr>
            <w:tcW w:w="1699" w:type="dxa"/>
            <w:shd w:val="clear" w:color="auto" w:fill="FFFFFF"/>
            <w:vAlign w:val="center"/>
          </w:tcPr>
          <w:p w14:paraId="0AC6D289"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宋体" w:hint="eastAsia"/>
                <w:color w:val="262626"/>
                <w:kern w:val="0"/>
                <w:sz w:val="24"/>
                <w:szCs w:val="24"/>
                <w:lang w:bidi="ar"/>
              </w:rPr>
              <w:t>系统配置</w:t>
            </w:r>
          </w:p>
        </w:tc>
        <w:tc>
          <w:tcPr>
            <w:tcW w:w="6386" w:type="dxa"/>
            <w:shd w:val="clear" w:color="auto" w:fill="FFFFFF"/>
            <w:vAlign w:val="center"/>
          </w:tcPr>
          <w:p w14:paraId="08879788" w14:textId="77777777" w:rsidR="00DF3755" w:rsidRDefault="009F05F6">
            <w:pPr>
              <w:widowControl/>
              <w:spacing w:line="360" w:lineRule="auto"/>
              <w:jc w:val="left"/>
              <w:textAlignment w:val="center"/>
              <w:rPr>
                <w:rFonts w:ascii="仿宋" w:eastAsia="仿宋" w:hAnsi="仿宋" w:cs="仿宋"/>
                <w:color w:val="262626" w:themeColor="text1" w:themeTint="D9"/>
                <w:kern w:val="0"/>
                <w:sz w:val="20"/>
                <w:szCs w:val="21"/>
                <w:lang w:bidi="ar"/>
              </w:rPr>
            </w:pPr>
            <w:r>
              <w:rPr>
                <w:rFonts w:ascii="仿宋" w:eastAsia="仿宋" w:hAnsi="仿宋" w:cs="仿宋" w:hint="eastAsia"/>
                <w:color w:val="262626" w:themeColor="text1" w:themeTint="D9"/>
                <w:kern w:val="0"/>
                <w:szCs w:val="21"/>
                <w:lang w:bidi="ar"/>
              </w:rPr>
              <w:t xml:space="preserve">提供软件运行基础数据管理，如科室人员信息、治疗项目、治疗区、等业务基础数据；支持对系统运行所需要的基础数据进行管理、维护： </w:t>
            </w:r>
          </w:p>
        </w:tc>
      </w:tr>
      <w:tr w:rsidR="00DF3755" w14:paraId="59F65980" w14:textId="77777777">
        <w:tc>
          <w:tcPr>
            <w:tcW w:w="699" w:type="dxa"/>
            <w:shd w:val="clear" w:color="auto" w:fill="FFFFFF"/>
            <w:vAlign w:val="center"/>
          </w:tcPr>
          <w:p w14:paraId="55B99BA9"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2</w:t>
            </w:r>
          </w:p>
        </w:tc>
        <w:tc>
          <w:tcPr>
            <w:tcW w:w="1699" w:type="dxa"/>
            <w:shd w:val="clear" w:color="auto" w:fill="FFFFFF"/>
            <w:vAlign w:val="center"/>
          </w:tcPr>
          <w:p w14:paraId="4C957F4E"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接口模块</w:t>
            </w:r>
          </w:p>
        </w:tc>
        <w:tc>
          <w:tcPr>
            <w:tcW w:w="6386" w:type="dxa"/>
            <w:shd w:val="clear" w:color="auto" w:fill="FFFFFF"/>
            <w:vAlign w:val="center"/>
          </w:tcPr>
          <w:p w14:paraId="1E41B62B"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提供系统运行所需的基础接口标准对接第三方系统接口模块（例如：对接EMR系统，CA等）</w:t>
            </w:r>
          </w:p>
        </w:tc>
      </w:tr>
      <w:tr w:rsidR="00DF3755" w14:paraId="2CDBB070" w14:textId="77777777">
        <w:tc>
          <w:tcPr>
            <w:tcW w:w="699" w:type="dxa"/>
            <w:shd w:val="clear" w:color="auto" w:fill="FFFFFF"/>
            <w:vAlign w:val="center"/>
          </w:tcPr>
          <w:p w14:paraId="5AD46116"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3</w:t>
            </w:r>
          </w:p>
        </w:tc>
        <w:tc>
          <w:tcPr>
            <w:tcW w:w="1699" w:type="dxa"/>
            <w:shd w:val="clear" w:color="auto" w:fill="FFFFFF"/>
            <w:vAlign w:val="center"/>
          </w:tcPr>
          <w:p w14:paraId="209D5DD0"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消息中心</w:t>
            </w:r>
          </w:p>
        </w:tc>
        <w:tc>
          <w:tcPr>
            <w:tcW w:w="6386" w:type="dxa"/>
            <w:shd w:val="clear" w:color="auto" w:fill="FFFFFF"/>
            <w:vAlign w:val="center"/>
          </w:tcPr>
          <w:p w14:paraId="5024BFB7" w14:textId="77777777" w:rsidR="00DF3755" w:rsidRDefault="009F05F6">
            <w:pPr>
              <w:tabs>
                <w:tab w:val="center" w:pos="2585"/>
              </w:tabs>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提供灵活的消息提示机制，可通过多种通讯方式获取系统发送的提示信息</w:t>
            </w:r>
            <w:r>
              <w:rPr>
                <w:rFonts w:ascii="仿宋" w:eastAsia="仿宋" w:hAnsi="仿宋" w:cs="仿宋" w:hint="eastAsia"/>
                <w:color w:val="262626" w:themeColor="text1" w:themeTint="D9"/>
                <w:kern w:val="0"/>
                <w:szCs w:val="21"/>
              </w:rPr>
              <w:tab/>
            </w:r>
          </w:p>
        </w:tc>
      </w:tr>
      <w:tr w:rsidR="00DF3755" w14:paraId="19B98BB4" w14:textId="77777777">
        <w:tc>
          <w:tcPr>
            <w:tcW w:w="699" w:type="dxa"/>
            <w:shd w:val="clear" w:color="auto" w:fill="FFFFFF"/>
            <w:vAlign w:val="center"/>
          </w:tcPr>
          <w:p w14:paraId="030C942E"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4</w:t>
            </w:r>
          </w:p>
        </w:tc>
        <w:tc>
          <w:tcPr>
            <w:tcW w:w="1699" w:type="dxa"/>
            <w:shd w:val="clear" w:color="auto" w:fill="FFFFFF"/>
            <w:vAlign w:val="center"/>
          </w:tcPr>
          <w:p w14:paraId="149D53DF"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任务中心</w:t>
            </w:r>
          </w:p>
        </w:tc>
        <w:tc>
          <w:tcPr>
            <w:tcW w:w="6386" w:type="dxa"/>
            <w:shd w:val="clear" w:color="auto" w:fill="FFFFFF"/>
            <w:vAlign w:val="center"/>
          </w:tcPr>
          <w:p w14:paraId="72A75D77"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支持针对个人工作信息进行系统化的跟踪,提供每日工作情况总</w:t>
            </w:r>
            <w:proofErr w:type="gramStart"/>
            <w:r>
              <w:rPr>
                <w:rFonts w:ascii="仿宋" w:eastAsia="仿宋" w:hAnsi="仿宋" w:cs="仿宋" w:hint="eastAsia"/>
                <w:color w:val="262626" w:themeColor="text1" w:themeTint="D9"/>
                <w:kern w:val="0"/>
                <w:szCs w:val="21"/>
              </w:rPr>
              <w:t>览</w:t>
            </w:r>
            <w:proofErr w:type="gramEnd"/>
            <w:r>
              <w:rPr>
                <w:rFonts w:ascii="仿宋" w:eastAsia="仿宋" w:hAnsi="仿宋" w:cs="仿宋" w:hint="eastAsia"/>
                <w:color w:val="262626" w:themeColor="text1" w:themeTint="D9"/>
                <w:kern w:val="0"/>
                <w:szCs w:val="21"/>
              </w:rPr>
              <w:t>功能及任务追踪路径，提供治疗执行自动排查功能，支持在治疗登记时提醒显示未执行医嘱</w:t>
            </w:r>
          </w:p>
        </w:tc>
      </w:tr>
      <w:tr w:rsidR="00DF3755" w14:paraId="47374E46" w14:textId="77777777">
        <w:tc>
          <w:tcPr>
            <w:tcW w:w="699" w:type="dxa"/>
            <w:shd w:val="clear" w:color="auto" w:fill="FFFFFF"/>
            <w:vAlign w:val="center"/>
          </w:tcPr>
          <w:p w14:paraId="7E313A66"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5</w:t>
            </w:r>
          </w:p>
        </w:tc>
        <w:tc>
          <w:tcPr>
            <w:tcW w:w="1699" w:type="dxa"/>
            <w:shd w:val="clear" w:color="auto" w:fill="FFFFFF"/>
            <w:vAlign w:val="center"/>
          </w:tcPr>
          <w:p w14:paraId="419A5C3B"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个人中心</w:t>
            </w:r>
          </w:p>
        </w:tc>
        <w:tc>
          <w:tcPr>
            <w:tcW w:w="6386" w:type="dxa"/>
            <w:shd w:val="clear" w:color="auto" w:fill="FFFFFF"/>
            <w:vAlign w:val="center"/>
          </w:tcPr>
          <w:p w14:paraId="59D122F7"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个人个性化系统设置，支持对当前账户信息进行编辑维护，实现多病区联合办公，可根据需要切换不同科室/病区进行业务处理，且能实现数据隔离</w:t>
            </w:r>
          </w:p>
        </w:tc>
      </w:tr>
      <w:tr w:rsidR="00DF3755" w14:paraId="3F6353B3" w14:textId="77777777">
        <w:tc>
          <w:tcPr>
            <w:tcW w:w="699" w:type="dxa"/>
            <w:shd w:val="clear" w:color="auto" w:fill="FFFFFF"/>
            <w:vAlign w:val="center"/>
          </w:tcPr>
          <w:p w14:paraId="2FC2A687"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6</w:t>
            </w:r>
          </w:p>
        </w:tc>
        <w:tc>
          <w:tcPr>
            <w:tcW w:w="1699" w:type="dxa"/>
            <w:shd w:val="clear" w:color="auto" w:fill="FFFFFF"/>
            <w:vAlign w:val="center"/>
          </w:tcPr>
          <w:p w14:paraId="597B4D60"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患者360</w:t>
            </w:r>
          </w:p>
        </w:tc>
        <w:tc>
          <w:tcPr>
            <w:tcW w:w="6386" w:type="dxa"/>
            <w:shd w:val="clear" w:color="auto" w:fill="FFFFFF"/>
            <w:vAlign w:val="center"/>
          </w:tcPr>
          <w:p w14:paraId="6A544EE3"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以患者为中心，提供患者管理功能，支持以名片、列表两种方式进行管理；且能同步EMR患者信息</w:t>
            </w:r>
          </w:p>
        </w:tc>
      </w:tr>
      <w:tr w:rsidR="00DF3755" w14:paraId="245DE3FD" w14:textId="77777777">
        <w:tc>
          <w:tcPr>
            <w:tcW w:w="699" w:type="dxa"/>
            <w:shd w:val="clear" w:color="auto" w:fill="FFFFFF"/>
            <w:vAlign w:val="center"/>
          </w:tcPr>
          <w:p w14:paraId="608ECFD2"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7</w:t>
            </w:r>
          </w:p>
        </w:tc>
        <w:tc>
          <w:tcPr>
            <w:tcW w:w="1699" w:type="dxa"/>
            <w:shd w:val="clear" w:color="auto" w:fill="FFFFFF"/>
            <w:vAlign w:val="center"/>
          </w:tcPr>
          <w:p w14:paraId="61C7844D"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治疗工作站</w:t>
            </w:r>
          </w:p>
        </w:tc>
        <w:tc>
          <w:tcPr>
            <w:tcW w:w="6386" w:type="dxa"/>
            <w:shd w:val="clear" w:color="auto" w:fill="FFFFFF"/>
            <w:vAlign w:val="center"/>
          </w:tcPr>
          <w:p w14:paraId="3E2B7615"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用于治疗师进行治疗执行、治疗记录查看统计等操作；支持治疗所需要的基础功能，具备待治疗项目查询、治疗登记、治疗记录、收（补）退费等功能</w:t>
            </w:r>
          </w:p>
        </w:tc>
      </w:tr>
      <w:tr w:rsidR="00DF3755" w14:paraId="00BA96C6" w14:textId="77777777">
        <w:tc>
          <w:tcPr>
            <w:tcW w:w="699" w:type="dxa"/>
            <w:shd w:val="clear" w:color="auto" w:fill="FFFFFF"/>
            <w:vAlign w:val="center"/>
          </w:tcPr>
          <w:p w14:paraId="41002B04"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8</w:t>
            </w:r>
          </w:p>
        </w:tc>
        <w:tc>
          <w:tcPr>
            <w:tcW w:w="1699" w:type="dxa"/>
            <w:shd w:val="clear" w:color="auto" w:fill="FFFFFF"/>
            <w:vAlign w:val="center"/>
          </w:tcPr>
          <w:p w14:paraId="3E7F0495"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统计报表</w:t>
            </w:r>
          </w:p>
        </w:tc>
        <w:tc>
          <w:tcPr>
            <w:tcW w:w="6386" w:type="dxa"/>
            <w:shd w:val="clear" w:color="auto" w:fill="FFFFFF"/>
            <w:vAlign w:val="center"/>
          </w:tcPr>
          <w:p w14:paraId="29DF9096"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用于整个科室运营综合统计分析，协助科室管理者实时对整个科室治疗项目进行监管；支持统计科室的所有治疗项目，治疗人次、治疗费用、工作量统计、量表统计、患者治疗情况统计功能，报表可集中展示</w:t>
            </w:r>
          </w:p>
        </w:tc>
      </w:tr>
      <w:tr w:rsidR="00DF3755" w14:paraId="4FF3A174" w14:textId="77777777">
        <w:tc>
          <w:tcPr>
            <w:tcW w:w="699" w:type="dxa"/>
            <w:shd w:val="clear" w:color="auto" w:fill="FFFFFF"/>
            <w:vAlign w:val="center"/>
          </w:tcPr>
          <w:p w14:paraId="1136D9F6"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9</w:t>
            </w:r>
          </w:p>
        </w:tc>
        <w:tc>
          <w:tcPr>
            <w:tcW w:w="1699" w:type="dxa"/>
            <w:shd w:val="clear" w:color="auto" w:fill="FFFFFF"/>
            <w:vAlign w:val="center"/>
          </w:tcPr>
          <w:p w14:paraId="00547668"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移动执行系统</w:t>
            </w:r>
          </w:p>
        </w:tc>
        <w:tc>
          <w:tcPr>
            <w:tcW w:w="6386" w:type="dxa"/>
            <w:shd w:val="clear" w:color="auto" w:fill="FFFFFF"/>
            <w:vAlign w:val="center"/>
          </w:tcPr>
          <w:p w14:paraId="434F3010"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移动执行系统集成任务中心、消息中心、治疗医嘱管理、治疗执行、治疗记录、患者管理、治疗工作统计等功能，为治疗师工作日常提升便利性，减轻工作压力</w:t>
            </w:r>
          </w:p>
        </w:tc>
      </w:tr>
    </w:tbl>
    <w:p w14:paraId="5085C232" w14:textId="77777777" w:rsidR="00DF3755" w:rsidRDefault="00DF3755">
      <w:pPr>
        <w:pStyle w:val="a9"/>
      </w:pPr>
    </w:p>
    <w:p w14:paraId="3677D6F3" w14:textId="77777777" w:rsidR="00DF3755" w:rsidRDefault="009F05F6">
      <w:pPr>
        <w:pStyle w:val="a9"/>
        <w:numPr>
          <w:ilvl w:val="0"/>
          <w:numId w:val="4"/>
        </w:numPr>
        <w:spacing w:line="360" w:lineRule="auto"/>
        <w:jc w:val="left"/>
        <w:rPr>
          <w:rFonts w:ascii="仿宋" w:eastAsia="仿宋" w:hAnsi="仿宋"/>
          <w:b/>
          <w:sz w:val="24"/>
          <w:szCs w:val="24"/>
        </w:rPr>
      </w:pPr>
      <w:r>
        <w:rPr>
          <w:rFonts w:ascii="仿宋" w:eastAsia="仿宋" w:hAnsi="仿宋" w:hint="eastAsia"/>
          <w:b/>
          <w:sz w:val="24"/>
          <w:szCs w:val="24"/>
        </w:rPr>
        <w:t>针对康复医学科、高压氧科、中医</w:t>
      </w:r>
      <w:proofErr w:type="gramStart"/>
      <w:r>
        <w:rPr>
          <w:rFonts w:ascii="仿宋" w:eastAsia="仿宋" w:hAnsi="仿宋" w:hint="eastAsia"/>
          <w:b/>
          <w:sz w:val="24"/>
          <w:szCs w:val="24"/>
        </w:rPr>
        <w:t>科建设</w:t>
      </w:r>
      <w:proofErr w:type="gramEnd"/>
      <w:r>
        <w:rPr>
          <w:rFonts w:ascii="仿宋" w:eastAsia="仿宋" w:hAnsi="仿宋" w:hint="eastAsia"/>
          <w:b/>
          <w:sz w:val="24"/>
          <w:szCs w:val="24"/>
        </w:rPr>
        <w:t>内容</w:t>
      </w:r>
    </w:p>
    <w:p w14:paraId="2E7DF980" w14:textId="77777777" w:rsidR="00DF3755" w:rsidRDefault="009F05F6">
      <w:pPr>
        <w:widowControl/>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流程说明：适配康复医学科，高压氧科，</w:t>
      </w:r>
      <w:proofErr w:type="gramStart"/>
      <w:r>
        <w:rPr>
          <w:rFonts w:ascii="仿宋" w:eastAsia="仿宋" w:hAnsi="仿宋" w:hint="eastAsia"/>
          <w:bCs/>
          <w:sz w:val="24"/>
          <w:szCs w:val="24"/>
        </w:rPr>
        <w:t>中医科专属</w:t>
      </w:r>
      <w:proofErr w:type="gramEnd"/>
      <w:r>
        <w:rPr>
          <w:rFonts w:ascii="仿宋" w:eastAsia="仿宋" w:hAnsi="仿宋" w:hint="eastAsia"/>
          <w:bCs/>
          <w:sz w:val="24"/>
          <w:szCs w:val="24"/>
        </w:rPr>
        <w:t>康复治疗流程及规范，实现科室全流程闭环式管理</w:t>
      </w:r>
    </w:p>
    <w:p w14:paraId="31D97972" w14:textId="64BE356E" w:rsidR="00DF3755" w:rsidRDefault="009F05F6">
      <w:pPr>
        <w:widowControl/>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建设功能模块清单：</w:t>
      </w:r>
    </w:p>
    <w:tbl>
      <w:tblPr>
        <w:tblStyle w:val="a8"/>
        <w:tblW w:w="8784" w:type="dxa"/>
        <w:tblLook w:val="04A0" w:firstRow="1" w:lastRow="0" w:firstColumn="1" w:lastColumn="0" w:noHBand="0" w:noVBand="1"/>
      </w:tblPr>
      <w:tblGrid>
        <w:gridCol w:w="699"/>
        <w:gridCol w:w="1699"/>
        <w:gridCol w:w="6386"/>
      </w:tblGrid>
      <w:tr w:rsidR="00DF3755" w14:paraId="7A08C468" w14:textId="77777777">
        <w:tc>
          <w:tcPr>
            <w:tcW w:w="699" w:type="dxa"/>
            <w:shd w:val="clear" w:color="auto" w:fill="FFFFFF"/>
            <w:vAlign w:val="center"/>
          </w:tcPr>
          <w:bookmarkEnd w:id="1"/>
          <w:p w14:paraId="7F14CB00" w14:textId="77777777" w:rsidR="00DF3755" w:rsidRDefault="009F05F6">
            <w:pPr>
              <w:spacing w:line="360" w:lineRule="auto"/>
              <w:rPr>
                <w:rFonts w:ascii="仿宋" w:eastAsia="仿宋" w:hAnsi="仿宋" w:cs="仿宋"/>
                <w:b/>
                <w:bCs/>
                <w:color w:val="262626" w:themeColor="text1" w:themeTint="D9"/>
                <w:kern w:val="0"/>
                <w:sz w:val="24"/>
                <w:szCs w:val="24"/>
              </w:rPr>
            </w:pPr>
            <w:r>
              <w:rPr>
                <w:rFonts w:ascii="仿宋" w:eastAsia="仿宋" w:hAnsi="仿宋" w:cs="仿宋" w:hint="eastAsia"/>
                <w:b/>
                <w:bCs/>
                <w:color w:val="262626" w:themeColor="text1" w:themeTint="D9"/>
                <w:kern w:val="0"/>
                <w:sz w:val="24"/>
                <w:szCs w:val="24"/>
              </w:rPr>
              <w:lastRenderedPageBreak/>
              <w:t>序号</w:t>
            </w:r>
          </w:p>
        </w:tc>
        <w:tc>
          <w:tcPr>
            <w:tcW w:w="1699" w:type="dxa"/>
            <w:shd w:val="clear" w:color="auto" w:fill="FFFFFF"/>
            <w:vAlign w:val="center"/>
          </w:tcPr>
          <w:p w14:paraId="5BBCAEDE" w14:textId="77777777" w:rsidR="00DF3755" w:rsidRDefault="009F05F6">
            <w:pPr>
              <w:spacing w:line="360" w:lineRule="auto"/>
              <w:ind w:firstLine="422"/>
              <w:jc w:val="center"/>
              <w:rPr>
                <w:rFonts w:ascii="仿宋" w:eastAsia="仿宋" w:hAnsi="仿宋" w:cs="仿宋"/>
                <w:b/>
                <w:bCs/>
                <w:color w:val="262626" w:themeColor="text1" w:themeTint="D9"/>
                <w:kern w:val="0"/>
                <w:sz w:val="24"/>
                <w:szCs w:val="24"/>
              </w:rPr>
            </w:pPr>
            <w:r>
              <w:rPr>
                <w:rFonts w:ascii="仿宋" w:eastAsia="仿宋" w:hAnsi="仿宋" w:cs="仿宋" w:hint="eastAsia"/>
                <w:b/>
                <w:bCs/>
                <w:color w:val="262626" w:themeColor="text1" w:themeTint="D9"/>
                <w:kern w:val="0"/>
                <w:sz w:val="24"/>
                <w:szCs w:val="24"/>
              </w:rPr>
              <w:t>模块名称</w:t>
            </w:r>
          </w:p>
        </w:tc>
        <w:tc>
          <w:tcPr>
            <w:tcW w:w="6386" w:type="dxa"/>
            <w:shd w:val="clear" w:color="auto" w:fill="FFFFFF"/>
            <w:vAlign w:val="center"/>
          </w:tcPr>
          <w:p w14:paraId="708D5BD4" w14:textId="77777777" w:rsidR="00DF3755" w:rsidRDefault="009F05F6">
            <w:pPr>
              <w:spacing w:line="360" w:lineRule="auto"/>
              <w:ind w:firstLine="422"/>
              <w:jc w:val="center"/>
              <w:rPr>
                <w:rFonts w:ascii="仿宋" w:eastAsia="仿宋" w:hAnsi="仿宋" w:cs="仿宋"/>
                <w:b/>
                <w:bCs/>
                <w:color w:val="262626" w:themeColor="text1" w:themeTint="D9"/>
                <w:kern w:val="0"/>
                <w:sz w:val="24"/>
                <w:szCs w:val="24"/>
              </w:rPr>
            </w:pPr>
            <w:r>
              <w:rPr>
                <w:rFonts w:ascii="仿宋" w:eastAsia="仿宋" w:hAnsi="仿宋" w:cs="仿宋" w:hint="eastAsia"/>
                <w:b/>
                <w:bCs/>
                <w:color w:val="262626" w:themeColor="text1" w:themeTint="D9"/>
                <w:kern w:val="0"/>
                <w:sz w:val="24"/>
                <w:szCs w:val="24"/>
              </w:rPr>
              <w:t>功能简介</w:t>
            </w:r>
          </w:p>
        </w:tc>
      </w:tr>
      <w:tr w:rsidR="00DF3755" w14:paraId="29A0FF73" w14:textId="77777777">
        <w:tc>
          <w:tcPr>
            <w:tcW w:w="699" w:type="dxa"/>
            <w:shd w:val="clear" w:color="auto" w:fill="FFFFFF"/>
            <w:vAlign w:val="center"/>
          </w:tcPr>
          <w:p w14:paraId="3D63B54E"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w:t>
            </w:r>
          </w:p>
        </w:tc>
        <w:tc>
          <w:tcPr>
            <w:tcW w:w="1699" w:type="dxa"/>
            <w:shd w:val="clear" w:color="auto" w:fill="FFFFFF"/>
            <w:vAlign w:val="center"/>
          </w:tcPr>
          <w:p w14:paraId="352F3DFD"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宋体" w:hint="eastAsia"/>
                <w:color w:val="262626"/>
                <w:kern w:val="0"/>
                <w:sz w:val="24"/>
                <w:szCs w:val="24"/>
                <w:lang w:bidi="ar"/>
              </w:rPr>
              <w:t>系统配置</w:t>
            </w:r>
          </w:p>
        </w:tc>
        <w:tc>
          <w:tcPr>
            <w:tcW w:w="6386" w:type="dxa"/>
            <w:shd w:val="clear" w:color="auto" w:fill="FFFFFF"/>
            <w:vAlign w:val="center"/>
          </w:tcPr>
          <w:p w14:paraId="7069E5C7" w14:textId="77777777" w:rsidR="00DF3755" w:rsidRDefault="009F05F6">
            <w:pPr>
              <w:widowControl/>
              <w:spacing w:line="360" w:lineRule="auto"/>
              <w:jc w:val="left"/>
              <w:textAlignment w:val="center"/>
              <w:rPr>
                <w:rFonts w:ascii="仿宋" w:eastAsia="仿宋" w:hAnsi="仿宋" w:cs="仿宋"/>
                <w:color w:val="262626" w:themeColor="text1" w:themeTint="D9"/>
                <w:kern w:val="0"/>
                <w:sz w:val="20"/>
                <w:szCs w:val="21"/>
                <w:lang w:bidi="ar"/>
              </w:rPr>
            </w:pPr>
            <w:r>
              <w:rPr>
                <w:rFonts w:ascii="仿宋" w:eastAsia="仿宋" w:hAnsi="仿宋" w:cs="仿宋" w:hint="eastAsia"/>
                <w:color w:val="262626" w:themeColor="text1" w:themeTint="D9"/>
                <w:kern w:val="0"/>
                <w:szCs w:val="21"/>
                <w:lang w:bidi="ar"/>
              </w:rPr>
              <w:t>提供软件运行基础数据管理，如科室人员信息、治疗项目、治疗区、人员排班数据，设备排班数据、评估量表等业务基础数据；支持对系统运行所需要的基础数据进行管理、维护：可分别配置评定报告、治疗文书、团队会议文书等报告个性化多级审核流程。</w:t>
            </w:r>
            <w:r>
              <w:rPr>
                <w:rFonts w:ascii="仿宋" w:eastAsia="仿宋" w:hAnsi="仿宋" w:cs="仿宋" w:hint="eastAsia"/>
                <w:color w:val="262626" w:themeColor="text1" w:themeTint="D9"/>
                <w:kern w:val="0"/>
                <w:szCs w:val="21"/>
              </w:rPr>
              <w:t>提供科室业务开展流程配置参数管理，支持角色对应权限管理功能，并能将分配的权限应用到相应员工个人权限中。且具备核心业务参数配置功能以满足不同需求管理流程需要</w:t>
            </w:r>
          </w:p>
        </w:tc>
      </w:tr>
      <w:tr w:rsidR="00DF3755" w14:paraId="19EF24A9" w14:textId="77777777">
        <w:tc>
          <w:tcPr>
            <w:tcW w:w="699" w:type="dxa"/>
            <w:shd w:val="clear" w:color="auto" w:fill="FFFFFF"/>
            <w:vAlign w:val="center"/>
          </w:tcPr>
          <w:p w14:paraId="2074B7DF"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2</w:t>
            </w:r>
          </w:p>
        </w:tc>
        <w:tc>
          <w:tcPr>
            <w:tcW w:w="1699" w:type="dxa"/>
            <w:shd w:val="clear" w:color="auto" w:fill="FFFFFF"/>
            <w:vAlign w:val="center"/>
          </w:tcPr>
          <w:p w14:paraId="38BE985D"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接口模块</w:t>
            </w:r>
          </w:p>
        </w:tc>
        <w:tc>
          <w:tcPr>
            <w:tcW w:w="6386" w:type="dxa"/>
            <w:shd w:val="clear" w:color="auto" w:fill="FFFFFF"/>
            <w:vAlign w:val="center"/>
          </w:tcPr>
          <w:p w14:paraId="02E80407"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提供系统运行所需的基础接口及电子病历过级所需的业务接口和数据接口，标准对接第三方系统接口模块（例如：对接EMR系统、CA等）</w:t>
            </w:r>
          </w:p>
        </w:tc>
      </w:tr>
      <w:tr w:rsidR="00DF3755" w14:paraId="75504F91" w14:textId="77777777">
        <w:tc>
          <w:tcPr>
            <w:tcW w:w="699" w:type="dxa"/>
            <w:shd w:val="clear" w:color="auto" w:fill="FFFFFF"/>
            <w:vAlign w:val="center"/>
          </w:tcPr>
          <w:p w14:paraId="065E3002"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3</w:t>
            </w:r>
          </w:p>
        </w:tc>
        <w:tc>
          <w:tcPr>
            <w:tcW w:w="1699" w:type="dxa"/>
            <w:shd w:val="clear" w:color="auto" w:fill="FFFFFF"/>
            <w:vAlign w:val="center"/>
          </w:tcPr>
          <w:p w14:paraId="66646137"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消息中心</w:t>
            </w:r>
          </w:p>
        </w:tc>
        <w:tc>
          <w:tcPr>
            <w:tcW w:w="6386" w:type="dxa"/>
            <w:shd w:val="clear" w:color="auto" w:fill="FFFFFF"/>
            <w:vAlign w:val="center"/>
          </w:tcPr>
          <w:p w14:paraId="33F2666E" w14:textId="77777777" w:rsidR="00DF3755" w:rsidRDefault="009F05F6">
            <w:pPr>
              <w:tabs>
                <w:tab w:val="center" w:pos="2585"/>
              </w:tabs>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提供灵活的消息提示机制，可通过多种通讯方式获取系统发送的提示信息；支持根据角色对应权限业务有针对性获取系统中的提示消息，可根据院方需要针对性的选择科室、病区、人员接受消息并处理</w:t>
            </w:r>
            <w:r>
              <w:rPr>
                <w:rFonts w:ascii="仿宋" w:eastAsia="仿宋" w:hAnsi="仿宋" w:cs="仿宋" w:hint="eastAsia"/>
                <w:color w:val="262626" w:themeColor="text1" w:themeTint="D9"/>
                <w:kern w:val="0"/>
                <w:szCs w:val="21"/>
              </w:rPr>
              <w:tab/>
            </w:r>
          </w:p>
        </w:tc>
      </w:tr>
      <w:tr w:rsidR="00DF3755" w14:paraId="599A1E95" w14:textId="77777777">
        <w:tc>
          <w:tcPr>
            <w:tcW w:w="699" w:type="dxa"/>
            <w:shd w:val="clear" w:color="auto" w:fill="FFFFFF"/>
            <w:vAlign w:val="center"/>
          </w:tcPr>
          <w:p w14:paraId="25096410"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4</w:t>
            </w:r>
          </w:p>
        </w:tc>
        <w:tc>
          <w:tcPr>
            <w:tcW w:w="1699" w:type="dxa"/>
            <w:shd w:val="clear" w:color="auto" w:fill="FFFFFF"/>
            <w:vAlign w:val="center"/>
          </w:tcPr>
          <w:p w14:paraId="74509359"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任务中心</w:t>
            </w:r>
          </w:p>
        </w:tc>
        <w:tc>
          <w:tcPr>
            <w:tcW w:w="6386" w:type="dxa"/>
            <w:shd w:val="clear" w:color="auto" w:fill="FFFFFF"/>
            <w:vAlign w:val="center"/>
          </w:tcPr>
          <w:p w14:paraId="5231BFDB"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支持针对个人工作信息进行系统化的跟踪,提供每日工作情况总</w:t>
            </w:r>
            <w:proofErr w:type="gramStart"/>
            <w:r>
              <w:rPr>
                <w:rFonts w:ascii="仿宋" w:eastAsia="仿宋" w:hAnsi="仿宋" w:cs="仿宋" w:hint="eastAsia"/>
                <w:color w:val="262626" w:themeColor="text1" w:themeTint="D9"/>
                <w:kern w:val="0"/>
                <w:szCs w:val="21"/>
              </w:rPr>
              <w:t>览</w:t>
            </w:r>
            <w:proofErr w:type="gramEnd"/>
            <w:r>
              <w:rPr>
                <w:rFonts w:ascii="仿宋" w:eastAsia="仿宋" w:hAnsi="仿宋" w:cs="仿宋" w:hint="eastAsia"/>
                <w:color w:val="262626" w:themeColor="text1" w:themeTint="D9"/>
                <w:kern w:val="0"/>
                <w:szCs w:val="21"/>
              </w:rPr>
              <w:t>功能及任务追踪路径，提供治疗执行自动排查功能，支持在治疗登记时提醒显示未执行医嘱</w:t>
            </w:r>
          </w:p>
        </w:tc>
      </w:tr>
      <w:tr w:rsidR="00DF3755" w14:paraId="6A5AD1AC" w14:textId="77777777">
        <w:tc>
          <w:tcPr>
            <w:tcW w:w="699" w:type="dxa"/>
            <w:shd w:val="clear" w:color="auto" w:fill="FFFFFF"/>
            <w:vAlign w:val="center"/>
          </w:tcPr>
          <w:p w14:paraId="089414CC"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5</w:t>
            </w:r>
          </w:p>
        </w:tc>
        <w:tc>
          <w:tcPr>
            <w:tcW w:w="1699" w:type="dxa"/>
            <w:shd w:val="clear" w:color="auto" w:fill="FFFFFF"/>
            <w:vAlign w:val="center"/>
          </w:tcPr>
          <w:p w14:paraId="33EE8158"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个人中心</w:t>
            </w:r>
          </w:p>
        </w:tc>
        <w:tc>
          <w:tcPr>
            <w:tcW w:w="6386" w:type="dxa"/>
            <w:shd w:val="clear" w:color="auto" w:fill="FFFFFF"/>
            <w:vAlign w:val="center"/>
          </w:tcPr>
          <w:p w14:paraId="5FE4DF63"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个人个性化系统设置，支持对当前账户信息进行编辑维护，实现多病区联合办公，可根据需要切换不同科室/病区进行业务处理，且能实现数据隔离</w:t>
            </w:r>
          </w:p>
        </w:tc>
      </w:tr>
      <w:tr w:rsidR="00DF3755" w14:paraId="2DEBC6E8" w14:textId="77777777">
        <w:tc>
          <w:tcPr>
            <w:tcW w:w="699" w:type="dxa"/>
            <w:shd w:val="clear" w:color="auto" w:fill="FFFFFF"/>
            <w:vAlign w:val="center"/>
          </w:tcPr>
          <w:p w14:paraId="392AA53A"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6</w:t>
            </w:r>
          </w:p>
        </w:tc>
        <w:tc>
          <w:tcPr>
            <w:tcW w:w="1699" w:type="dxa"/>
            <w:shd w:val="clear" w:color="auto" w:fill="FFFFFF"/>
            <w:vAlign w:val="center"/>
          </w:tcPr>
          <w:p w14:paraId="34117192"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患者360</w:t>
            </w:r>
          </w:p>
        </w:tc>
        <w:tc>
          <w:tcPr>
            <w:tcW w:w="6386" w:type="dxa"/>
            <w:shd w:val="clear" w:color="auto" w:fill="FFFFFF"/>
            <w:vAlign w:val="center"/>
          </w:tcPr>
          <w:p w14:paraId="1C3EBD2A"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以患者为中心，提供患者管理功能，支持以名片、列表两种方式进行管理；且能同步EMR患者信息</w:t>
            </w:r>
          </w:p>
        </w:tc>
      </w:tr>
      <w:tr w:rsidR="00DF3755" w14:paraId="2912DCB0" w14:textId="77777777">
        <w:tc>
          <w:tcPr>
            <w:tcW w:w="699" w:type="dxa"/>
            <w:shd w:val="clear" w:color="auto" w:fill="FFFFFF"/>
            <w:vAlign w:val="center"/>
          </w:tcPr>
          <w:p w14:paraId="493A732B"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7</w:t>
            </w:r>
          </w:p>
        </w:tc>
        <w:tc>
          <w:tcPr>
            <w:tcW w:w="1699" w:type="dxa"/>
            <w:shd w:val="clear" w:color="auto" w:fill="FFFFFF"/>
            <w:vAlign w:val="center"/>
          </w:tcPr>
          <w:p w14:paraId="62611DFF"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康复评估工作站</w:t>
            </w:r>
          </w:p>
        </w:tc>
        <w:tc>
          <w:tcPr>
            <w:tcW w:w="6386" w:type="dxa"/>
            <w:shd w:val="clear" w:color="auto" w:fill="FFFFFF"/>
            <w:vAlign w:val="center"/>
          </w:tcPr>
          <w:p w14:paraId="42C8B69F"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用于评估师对患者不同阶段病情情况的评估，并对评估结果进行报告汇总、对比。支持评估所需要的基础功能,满足创建评估方案-&gt;调整评估量表-&gt;执行评估-&gt;书写评估报告-&gt;完成评估-&gt;评估查看-&gt;评估对比的业务要求</w:t>
            </w:r>
          </w:p>
        </w:tc>
      </w:tr>
      <w:tr w:rsidR="00DF3755" w14:paraId="50174D8E" w14:textId="77777777">
        <w:tc>
          <w:tcPr>
            <w:tcW w:w="699" w:type="dxa"/>
            <w:shd w:val="clear" w:color="auto" w:fill="FFFFFF"/>
            <w:vAlign w:val="center"/>
          </w:tcPr>
          <w:p w14:paraId="53A90721"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8</w:t>
            </w:r>
          </w:p>
        </w:tc>
        <w:tc>
          <w:tcPr>
            <w:tcW w:w="1699" w:type="dxa"/>
            <w:shd w:val="clear" w:color="auto" w:fill="FFFFFF"/>
            <w:vAlign w:val="center"/>
          </w:tcPr>
          <w:p w14:paraId="168369DD"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康复治疗工作站</w:t>
            </w:r>
          </w:p>
        </w:tc>
        <w:tc>
          <w:tcPr>
            <w:tcW w:w="6386" w:type="dxa"/>
            <w:shd w:val="clear" w:color="auto" w:fill="FFFFFF"/>
            <w:vAlign w:val="center"/>
          </w:tcPr>
          <w:p w14:paraId="4A80F3D7"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用于治疗师进行治疗、排队治疗、治疗记录查看统计等操作；支持治疗所需要的基础功能，具备待治疗项目查询、治疗登记、治疗记</w:t>
            </w:r>
            <w:r>
              <w:rPr>
                <w:rFonts w:ascii="仿宋" w:eastAsia="仿宋" w:hAnsi="仿宋" w:cs="仿宋" w:hint="eastAsia"/>
                <w:color w:val="262626" w:themeColor="text1" w:themeTint="D9"/>
                <w:kern w:val="0"/>
                <w:szCs w:val="21"/>
              </w:rPr>
              <w:lastRenderedPageBreak/>
              <w:t>录、收（补）退费等功能</w:t>
            </w:r>
          </w:p>
        </w:tc>
      </w:tr>
      <w:tr w:rsidR="00DF3755" w14:paraId="3FED6A2E" w14:textId="77777777">
        <w:tc>
          <w:tcPr>
            <w:tcW w:w="699" w:type="dxa"/>
            <w:shd w:val="clear" w:color="auto" w:fill="FFFFFF"/>
            <w:vAlign w:val="center"/>
          </w:tcPr>
          <w:p w14:paraId="2907213F"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lastRenderedPageBreak/>
              <w:t>9</w:t>
            </w:r>
          </w:p>
        </w:tc>
        <w:tc>
          <w:tcPr>
            <w:tcW w:w="1699" w:type="dxa"/>
            <w:shd w:val="clear" w:color="auto" w:fill="FFFFFF"/>
            <w:vAlign w:val="center"/>
          </w:tcPr>
          <w:p w14:paraId="11932D81"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康复护士工作站</w:t>
            </w:r>
          </w:p>
        </w:tc>
        <w:tc>
          <w:tcPr>
            <w:tcW w:w="6386" w:type="dxa"/>
            <w:shd w:val="clear" w:color="auto" w:fill="FFFFFF"/>
            <w:vAlign w:val="center"/>
          </w:tcPr>
          <w:p w14:paraId="56456981"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此工作站用于护士对患者的康复医疗信息进行查看、记录和编辑，旨在使护士能够有效地管理患者的康复过程，并记录必要的医疗信息以确保信息的完整性。</w:t>
            </w:r>
          </w:p>
        </w:tc>
      </w:tr>
      <w:tr w:rsidR="00DF3755" w14:paraId="42BF735A" w14:textId="77777777">
        <w:tc>
          <w:tcPr>
            <w:tcW w:w="699" w:type="dxa"/>
            <w:shd w:val="clear" w:color="auto" w:fill="FFFFFF"/>
            <w:vAlign w:val="center"/>
          </w:tcPr>
          <w:p w14:paraId="120F4B45"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10</w:t>
            </w:r>
          </w:p>
        </w:tc>
        <w:tc>
          <w:tcPr>
            <w:tcW w:w="1699" w:type="dxa"/>
            <w:shd w:val="clear" w:color="auto" w:fill="FFFFFF"/>
            <w:vAlign w:val="center"/>
          </w:tcPr>
          <w:p w14:paraId="6FC74066"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高压氧工作站</w:t>
            </w:r>
          </w:p>
        </w:tc>
        <w:tc>
          <w:tcPr>
            <w:tcW w:w="6386" w:type="dxa"/>
            <w:shd w:val="clear" w:color="auto" w:fill="FFFFFF"/>
            <w:vAlign w:val="center"/>
          </w:tcPr>
          <w:p w14:paraId="49FE7AF2"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含高压氧医嘱下单，可实现医生护士对患者不同阶段病情情况的评估相关操作，提供多种评估模板并支持自定义模板添加，需满足患者氧舱排班，文书书写，氧舱管理、科室经营等。实现电子化、结构化的</w:t>
            </w:r>
            <w:proofErr w:type="gramStart"/>
            <w:r>
              <w:rPr>
                <w:rFonts w:ascii="仿宋" w:eastAsia="仿宋" w:hAnsi="仿宋" w:cs="仿宋" w:hint="eastAsia"/>
                <w:color w:val="262626" w:themeColor="text1" w:themeTint="D9"/>
                <w:kern w:val="0"/>
                <w:szCs w:val="21"/>
              </w:rPr>
              <w:t>操舱记录</w:t>
            </w:r>
            <w:proofErr w:type="gramEnd"/>
            <w:r>
              <w:rPr>
                <w:rFonts w:ascii="仿宋" w:eastAsia="仿宋" w:hAnsi="仿宋" w:cs="仿宋" w:hint="eastAsia"/>
                <w:color w:val="262626" w:themeColor="text1" w:themeTint="D9"/>
                <w:kern w:val="0"/>
                <w:szCs w:val="21"/>
              </w:rPr>
              <w:t>单，具备氧舱方案、三步安检、患者记录、舱内记录、患者交接、治疗确认等均通过高压氧工作站完成，实现无纸化记录。</w:t>
            </w:r>
          </w:p>
        </w:tc>
      </w:tr>
      <w:tr w:rsidR="00DF3755" w14:paraId="535D93FA" w14:textId="77777777">
        <w:tc>
          <w:tcPr>
            <w:tcW w:w="699" w:type="dxa"/>
            <w:shd w:val="clear" w:color="auto" w:fill="FFFFFF"/>
            <w:vAlign w:val="center"/>
          </w:tcPr>
          <w:p w14:paraId="45B90A94"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11</w:t>
            </w:r>
          </w:p>
        </w:tc>
        <w:tc>
          <w:tcPr>
            <w:tcW w:w="1699" w:type="dxa"/>
            <w:shd w:val="clear" w:color="auto" w:fill="FFFFFF"/>
            <w:vAlign w:val="center"/>
          </w:tcPr>
          <w:p w14:paraId="66D7A329"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统计报表</w:t>
            </w:r>
          </w:p>
        </w:tc>
        <w:tc>
          <w:tcPr>
            <w:tcW w:w="6386" w:type="dxa"/>
            <w:shd w:val="clear" w:color="auto" w:fill="FFFFFF"/>
            <w:vAlign w:val="center"/>
          </w:tcPr>
          <w:p w14:paraId="799B3C19"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用于整个科室运营综合统计分析，协助科室管理者实时对整个科室运营状况及绩效考核进行监管；支持统计科室的所有项目，设备使用率、治疗人次、治疗费用、工作量统计、量表统计、绩效统计，患者治疗情况统计功能，报表可集中展示</w:t>
            </w:r>
          </w:p>
        </w:tc>
      </w:tr>
      <w:tr w:rsidR="00DF3755" w14:paraId="3C8B4B4D" w14:textId="77777777">
        <w:tc>
          <w:tcPr>
            <w:tcW w:w="699" w:type="dxa"/>
            <w:shd w:val="clear" w:color="auto" w:fill="FFFFFF"/>
            <w:vAlign w:val="center"/>
          </w:tcPr>
          <w:p w14:paraId="4802B244"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12</w:t>
            </w:r>
          </w:p>
        </w:tc>
        <w:tc>
          <w:tcPr>
            <w:tcW w:w="1699" w:type="dxa"/>
            <w:shd w:val="clear" w:color="auto" w:fill="FFFFFF"/>
            <w:vAlign w:val="center"/>
          </w:tcPr>
          <w:p w14:paraId="2A7DA961" w14:textId="77777777" w:rsidR="00DF3755" w:rsidRDefault="009F05F6">
            <w:pPr>
              <w:spacing w:line="360" w:lineRule="auto"/>
              <w:jc w:val="left"/>
              <w:rPr>
                <w:rFonts w:ascii="仿宋" w:eastAsia="仿宋" w:hAnsi="仿宋" w:cs="仿宋"/>
                <w:color w:val="262626" w:themeColor="text1" w:themeTint="D9"/>
                <w:kern w:val="0"/>
                <w:sz w:val="24"/>
                <w:szCs w:val="24"/>
              </w:rPr>
            </w:pPr>
            <w:proofErr w:type="gramStart"/>
            <w:r>
              <w:rPr>
                <w:rFonts w:ascii="仿宋" w:eastAsia="仿宋" w:hAnsi="仿宋" w:cs="仿宋" w:hint="eastAsia"/>
                <w:color w:val="262626" w:themeColor="text1" w:themeTint="D9"/>
                <w:kern w:val="0"/>
                <w:sz w:val="24"/>
                <w:szCs w:val="24"/>
              </w:rPr>
              <w:t>智能排程管理</w:t>
            </w:r>
            <w:proofErr w:type="gramEnd"/>
          </w:p>
        </w:tc>
        <w:tc>
          <w:tcPr>
            <w:tcW w:w="6386" w:type="dxa"/>
            <w:shd w:val="clear" w:color="auto" w:fill="FFFFFF"/>
            <w:vAlign w:val="center"/>
          </w:tcPr>
          <w:p w14:paraId="31D7BD70"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具备智能化排班排队功能，提供一键智能排班、智能排队两种方式；支持对患者进行治疗安排，结合医院资源情况，提供排班、排队等方式进行患者日程安排。且系统提供多级任务分配+精细化排班、患者分配+患者排队、排队等组合方式供医院选择</w:t>
            </w:r>
          </w:p>
        </w:tc>
      </w:tr>
      <w:tr w:rsidR="00DF3755" w14:paraId="61EDC2CE" w14:textId="77777777">
        <w:tc>
          <w:tcPr>
            <w:tcW w:w="699" w:type="dxa"/>
            <w:shd w:val="clear" w:color="auto" w:fill="FFFFFF"/>
            <w:vAlign w:val="center"/>
          </w:tcPr>
          <w:p w14:paraId="46D4AC1A"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13</w:t>
            </w:r>
          </w:p>
        </w:tc>
        <w:tc>
          <w:tcPr>
            <w:tcW w:w="1699" w:type="dxa"/>
            <w:shd w:val="clear" w:color="auto" w:fill="FFFFFF"/>
            <w:vAlign w:val="center"/>
          </w:tcPr>
          <w:p w14:paraId="67DB4732"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康复文书</w:t>
            </w:r>
          </w:p>
        </w:tc>
        <w:tc>
          <w:tcPr>
            <w:tcW w:w="6386" w:type="dxa"/>
            <w:shd w:val="clear" w:color="auto" w:fill="FFFFFF"/>
            <w:vAlign w:val="center"/>
          </w:tcPr>
          <w:p w14:paraId="62473CA0"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主要实现中医康复治疗文书管理，其中包括首次治疗记录、上级治疗师查房记录等和其他文书如出院小结、评定报告等。提供各类康复文书的编辑与存储功能</w:t>
            </w:r>
          </w:p>
        </w:tc>
      </w:tr>
      <w:tr w:rsidR="00DF3755" w14:paraId="5B3D3AAC" w14:textId="77777777">
        <w:tc>
          <w:tcPr>
            <w:tcW w:w="699" w:type="dxa"/>
            <w:shd w:val="clear" w:color="auto" w:fill="FFFFFF"/>
            <w:vAlign w:val="center"/>
          </w:tcPr>
          <w:p w14:paraId="79573C43"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14</w:t>
            </w:r>
          </w:p>
        </w:tc>
        <w:tc>
          <w:tcPr>
            <w:tcW w:w="1699" w:type="dxa"/>
            <w:shd w:val="clear" w:color="auto" w:fill="FFFFFF"/>
            <w:vAlign w:val="center"/>
          </w:tcPr>
          <w:p w14:paraId="22AFD7F8"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康复看板</w:t>
            </w:r>
          </w:p>
        </w:tc>
        <w:tc>
          <w:tcPr>
            <w:tcW w:w="6386" w:type="dxa"/>
            <w:shd w:val="clear" w:color="auto" w:fill="FFFFFF"/>
            <w:vAlign w:val="center"/>
          </w:tcPr>
          <w:p w14:paraId="4EFD01DC"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为医师、治疗师、康复护士提供患者的汇总信息，让治疗组人员可以随时随地快速了解患者的任何信息，满足患者信息整合需要</w:t>
            </w:r>
          </w:p>
        </w:tc>
      </w:tr>
      <w:tr w:rsidR="00DF3755" w14:paraId="5ADDB491" w14:textId="77777777">
        <w:tc>
          <w:tcPr>
            <w:tcW w:w="699" w:type="dxa"/>
            <w:shd w:val="clear" w:color="auto" w:fill="FFFFFF"/>
            <w:vAlign w:val="center"/>
          </w:tcPr>
          <w:p w14:paraId="5700CBF3"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15</w:t>
            </w:r>
          </w:p>
        </w:tc>
        <w:tc>
          <w:tcPr>
            <w:tcW w:w="1699" w:type="dxa"/>
            <w:shd w:val="clear" w:color="auto" w:fill="FFFFFF"/>
            <w:vAlign w:val="center"/>
          </w:tcPr>
          <w:p w14:paraId="549CFF98"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患者病历夹</w:t>
            </w:r>
          </w:p>
        </w:tc>
        <w:tc>
          <w:tcPr>
            <w:tcW w:w="6386" w:type="dxa"/>
            <w:shd w:val="clear" w:color="auto" w:fill="FFFFFF"/>
            <w:vAlign w:val="center"/>
          </w:tcPr>
          <w:p w14:paraId="26064DA7"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集中展示患者的康复电子病历，并可查阅历史病历，可对接EMR进行双向调用；能实现在同一界面集成患者本次就诊与历史就诊信息快速查看功能</w:t>
            </w:r>
          </w:p>
        </w:tc>
      </w:tr>
      <w:tr w:rsidR="00DF3755" w14:paraId="6F776EFD" w14:textId="77777777">
        <w:tc>
          <w:tcPr>
            <w:tcW w:w="699" w:type="dxa"/>
            <w:shd w:val="clear" w:color="auto" w:fill="FFFFFF"/>
            <w:vAlign w:val="center"/>
          </w:tcPr>
          <w:p w14:paraId="066501A9" w14:textId="77777777" w:rsidR="00DF3755" w:rsidRDefault="009F05F6">
            <w:pPr>
              <w:spacing w:line="360" w:lineRule="auto"/>
              <w:jc w:val="center"/>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16</w:t>
            </w:r>
          </w:p>
        </w:tc>
        <w:tc>
          <w:tcPr>
            <w:tcW w:w="1699" w:type="dxa"/>
            <w:shd w:val="clear" w:color="auto" w:fill="FFFFFF"/>
            <w:vAlign w:val="center"/>
          </w:tcPr>
          <w:p w14:paraId="6BFD61D8" w14:textId="77777777" w:rsidR="00DF3755" w:rsidRDefault="009F05F6">
            <w:pPr>
              <w:spacing w:line="360" w:lineRule="auto"/>
              <w:jc w:val="left"/>
              <w:rPr>
                <w:rFonts w:ascii="仿宋" w:eastAsia="仿宋" w:hAnsi="仿宋" w:cs="仿宋"/>
                <w:color w:val="262626" w:themeColor="text1" w:themeTint="D9"/>
                <w:kern w:val="0"/>
                <w:sz w:val="24"/>
                <w:szCs w:val="24"/>
              </w:rPr>
            </w:pPr>
            <w:r>
              <w:rPr>
                <w:rFonts w:ascii="仿宋" w:eastAsia="仿宋" w:hAnsi="仿宋" w:cs="仿宋" w:hint="eastAsia"/>
                <w:color w:val="262626" w:themeColor="text1" w:themeTint="D9"/>
                <w:kern w:val="0"/>
                <w:sz w:val="24"/>
                <w:szCs w:val="24"/>
              </w:rPr>
              <w:t>移动治疗系统</w:t>
            </w:r>
          </w:p>
        </w:tc>
        <w:tc>
          <w:tcPr>
            <w:tcW w:w="6386" w:type="dxa"/>
            <w:shd w:val="clear" w:color="auto" w:fill="FFFFFF"/>
            <w:vAlign w:val="center"/>
          </w:tcPr>
          <w:p w14:paraId="729F972C" w14:textId="77777777" w:rsidR="00DF3755" w:rsidRDefault="009F05F6">
            <w:pPr>
              <w:spacing w:line="360" w:lineRule="auto"/>
              <w:jc w:val="left"/>
              <w:rPr>
                <w:rFonts w:ascii="仿宋" w:eastAsia="仿宋" w:hAnsi="仿宋" w:cs="仿宋"/>
                <w:color w:val="262626" w:themeColor="text1" w:themeTint="D9"/>
                <w:kern w:val="0"/>
                <w:sz w:val="20"/>
                <w:szCs w:val="21"/>
              </w:rPr>
            </w:pPr>
            <w:r>
              <w:rPr>
                <w:rFonts w:ascii="仿宋" w:eastAsia="仿宋" w:hAnsi="仿宋" w:cs="仿宋" w:hint="eastAsia"/>
                <w:color w:val="262626" w:themeColor="text1" w:themeTint="D9"/>
                <w:kern w:val="0"/>
                <w:szCs w:val="21"/>
              </w:rPr>
              <w:t>移动执行系统集成治疗执行，身份识别，设备识别，治疗快捷评估等功能，为治疗师工作日常提升便利性，减轻工作压力</w:t>
            </w:r>
          </w:p>
        </w:tc>
      </w:tr>
    </w:tbl>
    <w:p w14:paraId="53E9D16D" w14:textId="77777777" w:rsidR="00DF3755" w:rsidRDefault="009F05F6">
      <w:pPr>
        <w:pStyle w:val="a9"/>
        <w:numPr>
          <w:ilvl w:val="0"/>
          <w:numId w:val="4"/>
        </w:numPr>
        <w:spacing w:line="360" w:lineRule="auto"/>
        <w:jc w:val="left"/>
        <w:rPr>
          <w:rFonts w:ascii="仿宋" w:eastAsia="仿宋" w:hAnsi="仿宋"/>
          <w:b/>
          <w:sz w:val="24"/>
          <w:szCs w:val="24"/>
        </w:rPr>
      </w:pPr>
      <w:r>
        <w:rPr>
          <w:rFonts w:ascii="仿宋" w:eastAsia="仿宋" w:hAnsi="仿宋" w:hint="eastAsia"/>
          <w:b/>
          <w:sz w:val="24"/>
          <w:szCs w:val="24"/>
        </w:rPr>
        <w:t>其他接口</w:t>
      </w:r>
    </w:p>
    <w:p w14:paraId="4C1423A1" w14:textId="77777777" w:rsidR="00DF3755" w:rsidRDefault="009F05F6">
      <w:pPr>
        <w:widowControl/>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lastRenderedPageBreak/>
        <w:t>需完整对接我院在用EMR系统的患者数据，门诊住院治疗开单信息、治疗回写、病历文书回写、职工信息、科室信息、费用项目信息、</w:t>
      </w:r>
      <w:proofErr w:type="gramStart"/>
      <w:r>
        <w:rPr>
          <w:rFonts w:ascii="仿宋" w:eastAsia="仿宋" w:hAnsi="仿宋" w:hint="eastAsia"/>
          <w:bCs/>
          <w:sz w:val="24"/>
          <w:szCs w:val="24"/>
        </w:rPr>
        <w:t>医</w:t>
      </w:r>
      <w:proofErr w:type="gramEnd"/>
      <w:r>
        <w:rPr>
          <w:rFonts w:ascii="仿宋" w:eastAsia="仿宋" w:hAnsi="仿宋" w:hint="eastAsia"/>
          <w:bCs/>
          <w:sz w:val="24"/>
          <w:szCs w:val="24"/>
        </w:rPr>
        <w:t>保接口等，并包含双向对接费用。</w:t>
      </w:r>
    </w:p>
    <w:p w14:paraId="3BA7B9F2" w14:textId="26EAC2CF" w:rsidR="00DF3755" w:rsidRDefault="009F05F6" w:rsidP="007A2559">
      <w:pPr>
        <w:pStyle w:val="a9"/>
        <w:numPr>
          <w:ilvl w:val="255"/>
          <w:numId w:val="0"/>
        </w:numPr>
        <w:spacing w:line="360" w:lineRule="auto"/>
        <w:jc w:val="left"/>
        <w:rPr>
          <w:rFonts w:ascii="仿宋" w:eastAsia="仿宋" w:hAnsi="仿宋"/>
          <w:b/>
          <w:sz w:val="24"/>
          <w:szCs w:val="24"/>
        </w:rPr>
      </w:pPr>
      <w:r>
        <w:rPr>
          <w:rFonts w:ascii="仿宋" w:eastAsia="仿宋" w:hAnsi="仿宋" w:cs="仿宋"/>
          <w:bCs/>
          <w:sz w:val="24"/>
          <w:szCs w:val="24"/>
          <w:lang w:bidi="ar"/>
        </w:rPr>
        <w:t xml:space="preserve">    </w:t>
      </w:r>
      <w:r w:rsidR="008579A0">
        <w:rPr>
          <w:rFonts w:ascii="仿宋" w:eastAsia="仿宋" w:hAnsi="仿宋" w:cs="Times New Roman" w:hint="eastAsia"/>
          <w:sz w:val="28"/>
          <w:szCs w:val="28"/>
          <w:lang w:bidi="ar"/>
        </w:rPr>
        <w:t>★</w:t>
      </w:r>
      <w:r>
        <w:rPr>
          <w:rFonts w:ascii="仿宋" w:eastAsia="仿宋" w:hAnsi="仿宋" w:cs="仿宋" w:hint="eastAsia"/>
          <w:bCs/>
          <w:sz w:val="24"/>
          <w:szCs w:val="24"/>
          <w:lang w:bidi="ar"/>
        </w:rPr>
        <w:t>投标人须出具第三方接口费用全包</w:t>
      </w:r>
      <w:r w:rsidRPr="00FB4834">
        <w:rPr>
          <w:rFonts w:ascii="仿宋" w:eastAsia="仿宋" w:hAnsi="仿宋" w:cs="仿宋" w:hint="eastAsia"/>
          <w:b/>
          <w:bCs/>
          <w:color w:val="FF0000"/>
          <w:sz w:val="24"/>
          <w:szCs w:val="24"/>
          <w:lang w:bidi="ar"/>
        </w:rPr>
        <w:t>承诺函</w:t>
      </w:r>
      <w:r>
        <w:rPr>
          <w:rFonts w:ascii="仿宋" w:eastAsia="仿宋" w:hAnsi="仿宋" w:cs="仿宋" w:hint="eastAsia"/>
          <w:bCs/>
          <w:sz w:val="24"/>
          <w:szCs w:val="24"/>
          <w:lang w:bidi="ar"/>
        </w:rPr>
        <w:t>，承诺承担本项目</w:t>
      </w:r>
      <w:proofErr w:type="gramStart"/>
      <w:r>
        <w:rPr>
          <w:rFonts w:ascii="仿宋" w:eastAsia="仿宋" w:hAnsi="仿宋" w:cs="仿宋" w:hint="eastAsia"/>
          <w:bCs/>
          <w:sz w:val="24"/>
          <w:szCs w:val="24"/>
          <w:lang w:bidi="ar"/>
        </w:rPr>
        <w:t>所有第三</w:t>
      </w:r>
      <w:proofErr w:type="gramEnd"/>
      <w:r>
        <w:rPr>
          <w:rFonts w:ascii="仿宋" w:eastAsia="仿宋" w:hAnsi="仿宋" w:cs="仿宋" w:hint="eastAsia"/>
          <w:bCs/>
          <w:sz w:val="24"/>
          <w:szCs w:val="24"/>
          <w:lang w:bidi="ar"/>
        </w:rPr>
        <w:t>方系统（包括但不限于EMR、HIS、LIS、PACS、</w:t>
      </w:r>
      <w:proofErr w:type="gramStart"/>
      <w:r>
        <w:rPr>
          <w:rFonts w:ascii="仿宋" w:eastAsia="仿宋" w:hAnsi="仿宋" w:cs="仿宋" w:hint="eastAsia"/>
          <w:bCs/>
          <w:sz w:val="24"/>
          <w:szCs w:val="24"/>
          <w:lang w:bidi="ar"/>
        </w:rPr>
        <w:t>医</w:t>
      </w:r>
      <w:proofErr w:type="gramEnd"/>
      <w:r>
        <w:rPr>
          <w:rFonts w:ascii="仿宋" w:eastAsia="仿宋" w:hAnsi="仿宋" w:cs="仿宋" w:hint="eastAsia"/>
          <w:bCs/>
          <w:sz w:val="24"/>
          <w:szCs w:val="24"/>
          <w:lang w:bidi="ar"/>
        </w:rPr>
        <w:t>保等）的接口对接开发、联调、测试及后续因评级需要产生的所有接口改造费用。合同签订后，招标人不再支付任何与接口相关的费用。</w:t>
      </w:r>
    </w:p>
    <w:p w14:paraId="2C954651" w14:textId="77777777" w:rsidR="00DF3755" w:rsidRDefault="009F05F6">
      <w:pPr>
        <w:pStyle w:val="a9"/>
        <w:numPr>
          <w:ilvl w:val="0"/>
          <w:numId w:val="4"/>
        </w:numPr>
        <w:spacing w:line="360" w:lineRule="auto"/>
        <w:jc w:val="left"/>
        <w:rPr>
          <w:rFonts w:ascii="仿宋" w:eastAsia="仿宋" w:hAnsi="仿宋"/>
          <w:b/>
          <w:sz w:val="24"/>
          <w:szCs w:val="24"/>
        </w:rPr>
      </w:pPr>
      <w:r>
        <w:rPr>
          <w:rFonts w:ascii="仿宋" w:eastAsia="仿宋" w:hAnsi="仿宋" w:cs="仿宋" w:hint="eastAsia"/>
          <w:b/>
          <w:sz w:val="24"/>
          <w:szCs w:val="24"/>
        </w:rPr>
        <w:t>技术架构与数据安全要求</w:t>
      </w:r>
    </w:p>
    <w:p w14:paraId="75B75D40" w14:textId="77777777" w:rsidR="00DF3755" w:rsidRDefault="009F05F6">
      <w:pPr>
        <w:spacing w:line="360" w:lineRule="auto"/>
        <w:ind w:firstLineChars="200" w:firstLine="480"/>
        <w:jc w:val="left"/>
        <w:rPr>
          <w:rFonts w:ascii="仿宋" w:eastAsia="仿宋" w:hAnsi="仿宋" w:cs="仿宋"/>
          <w:bCs/>
          <w:sz w:val="24"/>
          <w:szCs w:val="24"/>
        </w:rPr>
      </w:pPr>
      <w:r>
        <w:rPr>
          <w:rFonts w:ascii="仿宋" w:eastAsia="仿宋" w:hAnsi="仿宋" w:cs="仿宋" w:hint="eastAsia"/>
          <w:bCs/>
          <w:sz w:val="24"/>
          <w:szCs w:val="24"/>
          <w:lang w:bidi="ar"/>
        </w:rPr>
        <w:t>技术架构要求：系统应采用主流开发框架（如Spring Cloud、</w:t>
      </w:r>
      <w:proofErr w:type="spellStart"/>
      <w:r>
        <w:rPr>
          <w:rFonts w:ascii="仿宋" w:eastAsia="仿宋" w:hAnsi="仿宋" w:cs="仿宋" w:hint="eastAsia"/>
          <w:bCs/>
          <w:sz w:val="24"/>
          <w:szCs w:val="24"/>
          <w:lang w:bidi="ar"/>
        </w:rPr>
        <w:t>Dubbo</w:t>
      </w:r>
      <w:proofErr w:type="spellEnd"/>
      <w:r>
        <w:rPr>
          <w:rFonts w:ascii="仿宋" w:eastAsia="仿宋" w:hAnsi="仿宋" w:cs="仿宋" w:hint="eastAsia"/>
          <w:bCs/>
          <w:sz w:val="24"/>
          <w:szCs w:val="24"/>
          <w:lang w:bidi="ar"/>
        </w:rPr>
        <w:t>等），支持集群部署和负载均衡，具备高并发处理能力；支持数据库及中间件国产化适配（如达梦、</w:t>
      </w:r>
      <w:proofErr w:type="gramStart"/>
      <w:r>
        <w:rPr>
          <w:rFonts w:ascii="仿宋" w:eastAsia="仿宋" w:hAnsi="仿宋" w:cs="仿宋" w:hint="eastAsia"/>
          <w:bCs/>
          <w:sz w:val="24"/>
          <w:szCs w:val="24"/>
          <w:lang w:bidi="ar"/>
        </w:rPr>
        <w:t>人大金</w:t>
      </w:r>
      <w:proofErr w:type="gramEnd"/>
      <w:r>
        <w:rPr>
          <w:rFonts w:ascii="仿宋" w:eastAsia="仿宋" w:hAnsi="仿宋" w:cs="仿宋" w:hint="eastAsia"/>
          <w:bCs/>
          <w:sz w:val="24"/>
          <w:szCs w:val="24"/>
          <w:lang w:bidi="ar"/>
        </w:rPr>
        <w:t>仓、东方通等），</w:t>
      </w:r>
      <w:proofErr w:type="gramStart"/>
      <w:r>
        <w:rPr>
          <w:rFonts w:ascii="仿宋" w:eastAsia="仿宋" w:hAnsi="仿宋" w:cs="仿宋" w:hint="eastAsia"/>
          <w:bCs/>
          <w:sz w:val="24"/>
          <w:szCs w:val="24"/>
          <w:lang w:bidi="ar"/>
        </w:rPr>
        <w:t>满足信创</w:t>
      </w:r>
      <w:proofErr w:type="gramEnd"/>
      <w:r>
        <w:rPr>
          <w:rFonts w:ascii="仿宋" w:eastAsia="仿宋" w:hAnsi="仿宋" w:cs="仿宋" w:hint="eastAsia"/>
          <w:bCs/>
          <w:sz w:val="24"/>
          <w:szCs w:val="24"/>
          <w:lang w:bidi="ar"/>
        </w:rPr>
        <w:t>要求；需提供清晰的技术架构图及详细说明，包括但不限于系统架构、部署架构、数据架构等，且产品需要有软件著作登记书或相关专利证书。</w:t>
      </w:r>
    </w:p>
    <w:p w14:paraId="7B559FC8" w14:textId="16F5CF32" w:rsidR="00DF3755" w:rsidRDefault="009F05F6" w:rsidP="007A2559">
      <w:pPr>
        <w:spacing w:line="360" w:lineRule="auto"/>
        <w:ind w:firstLineChars="200" w:firstLine="480"/>
        <w:jc w:val="left"/>
        <w:rPr>
          <w:rFonts w:ascii="仿宋" w:eastAsia="仿宋" w:hAnsi="仿宋" w:cs="仿宋"/>
          <w:bCs/>
          <w:sz w:val="24"/>
          <w:szCs w:val="24"/>
          <w:lang w:bidi="ar"/>
        </w:rPr>
      </w:pPr>
      <w:r>
        <w:rPr>
          <w:rFonts w:ascii="仿宋" w:eastAsia="仿宋" w:hAnsi="仿宋" w:cs="仿宋" w:hint="eastAsia"/>
          <w:bCs/>
          <w:sz w:val="24"/>
          <w:szCs w:val="24"/>
          <w:lang w:bidi="ar"/>
        </w:rPr>
        <w:t>数据安全要求：系统应提供完善的数据安全保障机制，包括但不限于：数据传输与存储加密、权限分级管控、操作日志审计追踪、容灾备份与恢复方案等。系统须承诺符合国家信息安全等级保护三级要求</w:t>
      </w:r>
      <w:r w:rsidR="00FB4834" w:rsidRPr="00FB4834">
        <w:rPr>
          <w:rFonts w:ascii="仿宋" w:eastAsia="仿宋" w:hAnsi="仿宋" w:cs="仿宋" w:hint="eastAsia"/>
          <w:b/>
          <w:bCs/>
          <w:color w:val="FF0000"/>
          <w:sz w:val="24"/>
          <w:szCs w:val="24"/>
          <w:lang w:bidi="ar"/>
        </w:rPr>
        <w:t>（提供</w:t>
      </w:r>
      <w:r w:rsidR="00FB4834" w:rsidRPr="00FB4834">
        <w:rPr>
          <w:rFonts w:ascii="仿宋" w:eastAsia="仿宋" w:hAnsi="仿宋" w:cs="仿宋"/>
          <w:b/>
          <w:bCs/>
          <w:color w:val="FF0000"/>
          <w:sz w:val="24"/>
          <w:szCs w:val="24"/>
          <w:lang w:bidi="ar"/>
        </w:rPr>
        <w:t>承诺函</w:t>
      </w:r>
      <w:r w:rsidR="00FB4834" w:rsidRPr="00FB4834">
        <w:rPr>
          <w:rFonts w:ascii="仿宋" w:eastAsia="仿宋" w:hAnsi="仿宋" w:cs="仿宋" w:hint="eastAsia"/>
          <w:b/>
          <w:bCs/>
          <w:color w:val="FF0000"/>
          <w:sz w:val="24"/>
          <w:szCs w:val="24"/>
          <w:lang w:bidi="ar"/>
        </w:rPr>
        <w:t>）</w:t>
      </w:r>
      <w:r>
        <w:rPr>
          <w:rFonts w:ascii="仿宋" w:eastAsia="仿宋" w:hAnsi="仿宋" w:cs="仿宋" w:hint="eastAsia"/>
          <w:bCs/>
          <w:sz w:val="24"/>
          <w:szCs w:val="24"/>
          <w:lang w:bidi="ar"/>
        </w:rPr>
        <w:t>。</w:t>
      </w:r>
    </w:p>
    <w:p w14:paraId="08845541"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实施要求</w:t>
      </w:r>
    </w:p>
    <w:p w14:paraId="57C76365" w14:textId="28421B27" w:rsidR="00DF3755" w:rsidRDefault="009F05F6" w:rsidP="007A2559">
      <w:pPr>
        <w:widowControl/>
        <w:numPr>
          <w:ilvl w:val="0"/>
          <w:numId w:val="5"/>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供应商承诺在合同签订后3个月内完成系统部署、开发、测试、培训、上线和验收等工作</w:t>
      </w:r>
      <w:r w:rsidR="00FB4834" w:rsidRPr="00E3631C">
        <w:rPr>
          <w:rFonts w:ascii="仿宋" w:eastAsia="仿宋" w:hAnsi="仿宋" w:cs="仿宋" w:hint="eastAsia"/>
          <w:b/>
          <w:bCs/>
          <w:color w:val="FF0000"/>
          <w:sz w:val="24"/>
          <w:szCs w:val="24"/>
          <w:lang w:bidi="ar"/>
        </w:rPr>
        <w:t>（提供</w:t>
      </w:r>
      <w:r w:rsidR="00FB4834" w:rsidRPr="00E3631C">
        <w:rPr>
          <w:rFonts w:ascii="仿宋" w:eastAsia="仿宋" w:hAnsi="仿宋" w:cs="仿宋"/>
          <w:b/>
          <w:bCs/>
          <w:color w:val="FF0000"/>
          <w:sz w:val="24"/>
          <w:szCs w:val="24"/>
          <w:lang w:bidi="ar"/>
        </w:rPr>
        <w:t>承诺函</w:t>
      </w:r>
      <w:r w:rsidR="00FB4834" w:rsidRPr="00E3631C">
        <w:rPr>
          <w:rFonts w:ascii="仿宋" w:eastAsia="仿宋" w:hAnsi="仿宋" w:cs="仿宋" w:hint="eastAsia"/>
          <w:b/>
          <w:bCs/>
          <w:color w:val="FF0000"/>
          <w:sz w:val="24"/>
          <w:szCs w:val="24"/>
          <w:lang w:bidi="ar"/>
        </w:rPr>
        <w:t>）</w:t>
      </w:r>
      <w:r>
        <w:rPr>
          <w:rFonts w:ascii="仿宋" w:eastAsia="仿宋" w:hAnsi="仿宋" w:hint="eastAsia"/>
          <w:bCs/>
          <w:sz w:val="24"/>
          <w:szCs w:val="24"/>
        </w:rPr>
        <w:t>。</w:t>
      </w:r>
    </w:p>
    <w:p w14:paraId="173D1028" w14:textId="77777777" w:rsidR="00DF3755" w:rsidRDefault="009F05F6" w:rsidP="007A2559">
      <w:pPr>
        <w:widowControl/>
        <w:numPr>
          <w:ilvl w:val="0"/>
          <w:numId w:val="5"/>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供应商应具有健全的项目管理制度和流程，以及合格的项目实施人员，对本项目建设进行全过程质量管理，确保项目实施的顺利。</w:t>
      </w:r>
    </w:p>
    <w:p w14:paraId="1CA188AE" w14:textId="77777777" w:rsidR="00DF3755" w:rsidRDefault="009F05F6" w:rsidP="007A2559">
      <w:pPr>
        <w:widowControl/>
        <w:numPr>
          <w:ilvl w:val="0"/>
          <w:numId w:val="5"/>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供应商应成立针对本项目的项目工作组，在项目签约后，供应商须提供常驻项目</w:t>
      </w:r>
      <w:r>
        <w:rPr>
          <w:rFonts w:ascii="仿宋" w:eastAsia="仿宋" w:hAnsi="仿宋"/>
          <w:bCs/>
          <w:sz w:val="24"/>
          <w:szCs w:val="24"/>
        </w:rPr>
        <w:t>1名</w:t>
      </w:r>
      <w:r>
        <w:rPr>
          <w:rFonts w:ascii="仿宋" w:eastAsia="仿宋" w:hAnsi="仿宋" w:hint="eastAsia"/>
          <w:bCs/>
          <w:sz w:val="24"/>
          <w:szCs w:val="24"/>
        </w:rPr>
        <w:t>实施人员在医院现场工作直至项目结束</w:t>
      </w:r>
      <w:r>
        <w:rPr>
          <w:rFonts w:ascii="仿宋" w:eastAsia="仿宋" w:hAnsi="仿宋" w:cs="Times New Roman" w:hint="eastAsia"/>
          <w:bCs/>
          <w:sz w:val="24"/>
          <w:szCs w:val="24"/>
          <w:lang w:bidi="ar"/>
        </w:rPr>
        <w:t>，提供1名全</w:t>
      </w:r>
      <w:proofErr w:type="gramStart"/>
      <w:r>
        <w:rPr>
          <w:rFonts w:ascii="仿宋" w:eastAsia="仿宋" w:hAnsi="仿宋" w:cs="Times New Roman" w:hint="eastAsia"/>
          <w:bCs/>
          <w:sz w:val="24"/>
          <w:szCs w:val="24"/>
          <w:lang w:bidi="ar"/>
        </w:rPr>
        <w:t>栈</w:t>
      </w:r>
      <w:proofErr w:type="gramEnd"/>
      <w:r>
        <w:rPr>
          <w:rFonts w:ascii="仿宋" w:eastAsia="仿宋" w:hAnsi="仿宋" w:cs="Times New Roman" w:hint="eastAsia"/>
          <w:bCs/>
          <w:sz w:val="24"/>
          <w:szCs w:val="24"/>
          <w:lang w:bidi="ar"/>
        </w:rPr>
        <w:t>工程师远程协助</w:t>
      </w:r>
      <w:r>
        <w:rPr>
          <w:rFonts w:ascii="宋体" w:eastAsia="宋体" w:hAnsi="宋体" w:cs="宋体"/>
          <w:sz w:val="24"/>
          <w:szCs w:val="24"/>
        </w:rPr>
        <w:t xml:space="preserve"> </w:t>
      </w:r>
      <w:r>
        <w:rPr>
          <w:rFonts w:ascii="仿宋" w:eastAsia="仿宋" w:hAnsi="仿宋" w:hint="eastAsia"/>
          <w:bCs/>
          <w:sz w:val="24"/>
          <w:szCs w:val="24"/>
        </w:rPr>
        <w:t>；</w:t>
      </w:r>
    </w:p>
    <w:p w14:paraId="781437D5" w14:textId="77777777" w:rsidR="00DF3755" w:rsidRDefault="009F05F6" w:rsidP="007A2559">
      <w:pPr>
        <w:widowControl/>
        <w:numPr>
          <w:ilvl w:val="0"/>
          <w:numId w:val="5"/>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项目实施进度要求及控制：要求供应商根据项目建设单位的实际情况，科学合理的定出项目集成实施的时间表；对项目实施的进度计划及控制中各阶段中供应商所要做的工作及保障措施做出详细安排。</w:t>
      </w:r>
    </w:p>
    <w:p w14:paraId="3AAEDFFD" w14:textId="77777777" w:rsidR="00DF3755" w:rsidRDefault="009F05F6" w:rsidP="007A2559">
      <w:pPr>
        <w:widowControl/>
        <w:numPr>
          <w:ilvl w:val="0"/>
          <w:numId w:val="5"/>
        </w:numPr>
        <w:spacing w:line="360" w:lineRule="auto"/>
        <w:ind w:left="0" w:firstLine="482"/>
        <w:jc w:val="left"/>
        <w:rPr>
          <w:rFonts w:ascii="仿宋" w:eastAsia="仿宋" w:hAnsi="仿宋"/>
          <w:bCs/>
          <w:sz w:val="24"/>
          <w:szCs w:val="24"/>
        </w:rPr>
      </w:pPr>
      <w:r>
        <w:rPr>
          <w:rFonts w:ascii="仿宋" w:eastAsia="仿宋" w:hAnsi="仿宋" w:cs="Times New Roman" w:hint="eastAsia"/>
          <w:bCs/>
          <w:sz w:val="24"/>
          <w:szCs w:val="24"/>
          <w:lang w:bidi="ar"/>
        </w:rPr>
        <w:t>供应商须提供详细的项目实施计划，科学合理制定项目实施时间表，明确各阶段工作内容、时间节点及人员安排。实施阶段应至少包含：需求调研、</w:t>
      </w:r>
      <w:r>
        <w:rPr>
          <w:rFonts w:ascii="仿宋" w:eastAsia="仿宋" w:hAnsi="仿宋" w:cs="Times New Roman" w:hint="eastAsia"/>
          <w:bCs/>
          <w:sz w:val="24"/>
          <w:szCs w:val="24"/>
          <w:lang w:bidi="ar"/>
        </w:rPr>
        <w:lastRenderedPageBreak/>
        <w:t>系统设计、开发配置、系统测试、部署上线、用户培训、试运行及正式验收等，并对各阶段的交付物和保障措施做出详细安排。</w:t>
      </w:r>
    </w:p>
    <w:p w14:paraId="135D125C"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运维服务响应要求</w:t>
      </w:r>
    </w:p>
    <w:p w14:paraId="7495FC8E" w14:textId="77777777" w:rsidR="00DF3755" w:rsidRDefault="009F05F6">
      <w:pPr>
        <w:widowControl/>
        <w:numPr>
          <w:ilvl w:val="0"/>
          <w:numId w:val="6"/>
        </w:numPr>
        <w:spacing w:line="360" w:lineRule="auto"/>
        <w:ind w:left="924" w:hanging="442"/>
        <w:jc w:val="left"/>
        <w:rPr>
          <w:rFonts w:ascii="仿宋" w:eastAsia="仿宋" w:hAnsi="仿宋"/>
          <w:bCs/>
          <w:sz w:val="24"/>
          <w:szCs w:val="24"/>
        </w:rPr>
      </w:pPr>
      <w:r>
        <w:rPr>
          <w:rFonts w:ascii="仿宋" w:eastAsia="仿宋" w:hAnsi="仿宋" w:hint="eastAsia"/>
          <w:bCs/>
          <w:sz w:val="24"/>
          <w:szCs w:val="24"/>
        </w:rPr>
        <w:t>服务方式包括：热线电话服务、远程服务和现场服务等。</w:t>
      </w:r>
    </w:p>
    <w:p w14:paraId="3906C913" w14:textId="77777777" w:rsidR="00DF3755" w:rsidRDefault="009F05F6" w:rsidP="007A2559">
      <w:pPr>
        <w:widowControl/>
        <w:numPr>
          <w:ilvl w:val="0"/>
          <w:numId w:val="6"/>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服务响应：提供7×24小时的呼叫响应服务，包括对所有技术支持、服务请求、问题解决的电话、邮件、即时通讯服务，对用户提出的要求进行记录、分派、跟踪、管理和分析；若故障发生时，要求快速响应，提供远程故障诊断，不能通过远程方式解决的，要求在2小时内到达故障现场，对问题进行诊断、分析及处理。服务次数不限。</w:t>
      </w:r>
    </w:p>
    <w:p w14:paraId="545CB08C" w14:textId="5981C097" w:rsidR="00DF3755" w:rsidRDefault="009F05F6" w:rsidP="007A2559">
      <w:pPr>
        <w:widowControl/>
        <w:numPr>
          <w:ilvl w:val="0"/>
          <w:numId w:val="6"/>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供应商需承诺，本项目在终验后需免费提供1年的运维服务,在1年免费运</w:t>
      </w:r>
      <w:proofErr w:type="gramStart"/>
      <w:r>
        <w:rPr>
          <w:rFonts w:ascii="仿宋" w:eastAsia="仿宋" w:hAnsi="仿宋" w:hint="eastAsia"/>
          <w:bCs/>
          <w:sz w:val="24"/>
          <w:szCs w:val="24"/>
        </w:rPr>
        <w:t>维期间根据医</w:t>
      </w:r>
      <w:proofErr w:type="gramEnd"/>
      <w:r>
        <w:rPr>
          <w:rFonts w:ascii="仿宋" w:eastAsia="仿宋" w:hAnsi="仿宋" w:hint="eastAsia"/>
          <w:bCs/>
          <w:sz w:val="24"/>
          <w:szCs w:val="24"/>
        </w:rPr>
        <w:t>保政策调整要求对接口进行免费改造适配开发，对医院变更EMR等系统时对接口进行免费改造适配开发</w:t>
      </w:r>
      <w:r>
        <w:rPr>
          <w:rFonts w:ascii="仿宋" w:eastAsia="仿宋" w:hAnsi="仿宋"/>
          <w:bCs/>
          <w:sz w:val="24"/>
          <w:szCs w:val="24"/>
        </w:rPr>
        <w:t>。</w:t>
      </w:r>
      <w:proofErr w:type="gramStart"/>
      <w:r>
        <w:rPr>
          <w:rFonts w:ascii="仿宋" w:eastAsia="仿宋" w:hAnsi="仿宋"/>
          <w:bCs/>
          <w:sz w:val="24"/>
          <w:szCs w:val="24"/>
        </w:rPr>
        <w:t>出保后维</w:t>
      </w:r>
      <w:proofErr w:type="gramEnd"/>
      <w:r>
        <w:rPr>
          <w:rFonts w:ascii="仿宋" w:eastAsia="仿宋" w:hAnsi="仿宋"/>
          <w:bCs/>
          <w:sz w:val="24"/>
          <w:szCs w:val="24"/>
        </w:rPr>
        <w:t>保费率不高于5%/年。</w:t>
      </w:r>
      <w:r w:rsidR="00BD30CD" w:rsidRPr="007A2559">
        <w:rPr>
          <w:rFonts w:ascii="仿宋" w:eastAsia="仿宋" w:hAnsi="仿宋" w:hint="eastAsia"/>
          <w:b/>
          <w:bCs/>
          <w:color w:val="FF0000"/>
          <w:sz w:val="24"/>
          <w:szCs w:val="24"/>
        </w:rPr>
        <w:t>（提供</w:t>
      </w:r>
      <w:r w:rsidR="00BD30CD" w:rsidRPr="007A2559">
        <w:rPr>
          <w:rFonts w:ascii="仿宋" w:eastAsia="仿宋" w:hAnsi="仿宋"/>
          <w:b/>
          <w:bCs/>
          <w:color w:val="FF0000"/>
          <w:sz w:val="24"/>
          <w:szCs w:val="24"/>
        </w:rPr>
        <w:t>承诺函</w:t>
      </w:r>
      <w:r w:rsidR="00BD30CD" w:rsidRPr="007A2559">
        <w:rPr>
          <w:rFonts w:ascii="仿宋" w:eastAsia="仿宋" w:hAnsi="仿宋" w:hint="eastAsia"/>
          <w:b/>
          <w:bCs/>
          <w:color w:val="FF0000"/>
          <w:sz w:val="24"/>
          <w:szCs w:val="24"/>
        </w:rPr>
        <w:t>）</w:t>
      </w:r>
    </w:p>
    <w:p w14:paraId="78631677"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培训要求</w:t>
      </w:r>
    </w:p>
    <w:p w14:paraId="0C61D90E" w14:textId="77777777" w:rsidR="00DF3755" w:rsidRDefault="009F05F6" w:rsidP="007A2559">
      <w:pPr>
        <w:widowControl/>
        <w:spacing w:line="360" w:lineRule="auto"/>
        <w:ind w:firstLineChars="200" w:firstLine="480"/>
        <w:jc w:val="left"/>
        <w:rPr>
          <w:rFonts w:ascii="仿宋" w:eastAsia="仿宋" w:hAnsi="仿宋"/>
          <w:bCs/>
          <w:sz w:val="24"/>
          <w:szCs w:val="24"/>
        </w:rPr>
      </w:pPr>
      <w:r>
        <w:rPr>
          <w:rFonts w:ascii="仿宋" w:eastAsia="仿宋" w:hAnsi="仿宋" w:hint="eastAsia"/>
          <w:bCs/>
          <w:sz w:val="24"/>
          <w:szCs w:val="24"/>
        </w:rPr>
        <w:t>供应商需根据本项目的招标要求和实施经验，按照实施进度提供完整的、切实可行的技术培训方案，使系统管理人员和系统使用人员能够熟练管理、维护系统。</w:t>
      </w:r>
    </w:p>
    <w:p w14:paraId="20D0B173" w14:textId="77777777" w:rsidR="00DF3755" w:rsidRDefault="009F05F6" w:rsidP="007A2559">
      <w:pPr>
        <w:widowControl/>
        <w:spacing w:line="360" w:lineRule="auto"/>
        <w:ind w:firstLineChars="200" w:firstLine="480"/>
        <w:jc w:val="left"/>
        <w:rPr>
          <w:rFonts w:ascii="仿宋" w:eastAsia="仿宋" w:hAnsi="仿宋"/>
          <w:bCs/>
          <w:sz w:val="24"/>
          <w:szCs w:val="24"/>
        </w:rPr>
      </w:pPr>
      <w:r w:rsidRPr="00147D72">
        <w:rPr>
          <w:rFonts w:ascii="仿宋" w:eastAsia="仿宋" w:hAnsi="仿宋" w:hint="eastAsia"/>
          <w:bCs/>
          <w:sz w:val="24"/>
          <w:szCs w:val="24"/>
        </w:rPr>
        <w:t>供应</w:t>
      </w:r>
      <w:r>
        <w:rPr>
          <w:rFonts w:ascii="仿宋" w:eastAsia="仿宋" w:hAnsi="仿宋" w:cs="Times New Roman" w:hint="eastAsia"/>
          <w:bCs/>
          <w:sz w:val="24"/>
          <w:szCs w:val="24"/>
          <w:lang w:bidi="ar"/>
        </w:rPr>
        <w:t>商需针对不同使用角色制定差异</w:t>
      </w:r>
      <w:proofErr w:type="gramStart"/>
      <w:r>
        <w:rPr>
          <w:rFonts w:ascii="仿宋" w:eastAsia="仿宋" w:hAnsi="仿宋" w:cs="Times New Roman" w:hint="eastAsia"/>
          <w:bCs/>
          <w:sz w:val="24"/>
          <w:szCs w:val="24"/>
          <w:lang w:bidi="ar"/>
        </w:rPr>
        <w:t>化培训</w:t>
      </w:r>
      <w:proofErr w:type="gramEnd"/>
      <w:r>
        <w:rPr>
          <w:rFonts w:ascii="仿宋" w:eastAsia="仿宋" w:hAnsi="仿宋" w:cs="Times New Roman" w:hint="eastAsia"/>
          <w:bCs/>
          <w:sz w:val="24"/>
          <w:szCs w:val="24"/>
          <w:lang w:bidi="ar"/>
        </w:rPr>
        <w:t>方案，培训对象应至少涵盖：医师（含康复医师、临床医师）、治疗师、护士、系统管理员等，确保各类人员能够熟练掌握与其岗位相关的系统功能操作。同时应提供完整的培训教材、操作手册及考核方案。</w:t>
      </w:r>
    </w:p>
    <w:p w14:paraId="4DAA67C2"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保密要求</w:t>
      </w:r>
    </w:p>
    <w:p w14:paraId="1D5B4E67" w14:textId="77777777" w:rsidR="00DF3755" w:rsidRDefault="009F05F6" w:rsidP="007A2559">
      <w:pPr>
        <w:widowControl/>
        <w:numPr>
          <w:ilvl w:val="0"/>
          <w:numId w:val="7"/>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应签订保密协议，对其因身份、职务、职业或技术关系而知悉的采购人商业秘密和党政机关保密信息应严格保守，未经建设单位书面许可，供应商不得以任何形式向第三方透露本项目标书、本项目内容，保证不被披露或使用，包括意外或过失。</w:t>
      </w:r>
    </w:p>
    <w:p w14:paraId="52DB8AF3" w14:textId="77777777" w:rsidR="00DF3755" w:rsidRDefault="009F05F6" w:rsidP="007A2559">
      <w:pPr>
        <w:widowControl/>
        <w:numPr>
          <w:ilvl w:val="0"/>
          <w:numId w:val="7"/>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不得以竞争为目的、或出于私利、或为第三人谋利而擅自保存、披露、使用采购人商业秘密和党政机关保密、项目信息（包含内部资料、技术文档、数据和信息等）；不得直接或间接地向无关人员泄露采购人的商业秘密和</w:t>
      </w:r>
      <w:r>
        <w:rPr>
          <w:rFonts w:ascii="仿宋" w:eastAsia="仿宋" w:hAnsi="仿宋" w:hint="eastAsia"/>
          <w:bCs/>
          <w:sz w:val="24"/>
          <w:szCs w:val="24"/>
        </w:rPr>
        <w:lastRenderedPageBreak/>
        <w:t xml:space="preserve">党政机关保密信息项目信息（包含内部资料、技术文档、数据和信息等）；不得向不承担保密义务的任何第三人披露采购人的商业秘密和党政机关保密信息、项目信息（包含内部资料、技术文档、数据和信息等）。供应商在从事政府项目时，不得擅自记录、复制、拍摄、摘抄、收藏在工作中涉及的保密信息，严禁将涉及政府项目的任何资料、数据透露或以其他方式提供给项目以外的其他方或供应商内部与该项目无关的任何人员。 </w:t>
      </w:r>
    </w:p>
    <w:p w14:paraId="4B6E7BB2" w14:textId="77777777" w:rsidR="00DF3755" w:rsidRDefault="009F05F6" w:rsidP="007A2559">
      <w:pPr>
        <w:widowControl/>
        <w:numPr>
          <w:ilvl w:val="0"/>
          <w:numId w:val="7"/>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供应商对于工作期间知悉采购人的商业秘密和党政机关保密信息（包括业务信息在内）或工作过程中接触到的政府机关文件（包括内部发文、各</w:t>
      </w:r>
      <w:proofErr w:type="gramStart"/>
      <w:r>
        <w:rPr>
          <w:rFonts w:ascii="仿宋" w:eastAsia="仿宋" w:hAnsi="仿宋" w:hint="eastAsia"/>
          <w:bCs/>
          <w:sz w:val="24"/>
          <w:szCs w:val="24"/>
        </w:rPr>
        <w:t>类通知</w:t>
      </w:r>
      <w:proofErr w:type="gramEnd"/>
      <w:r>
        <w:rPr>
          <w:rFonts w:ascii="仿宋" w:eastAsia="仿宋" w:hAnsi="仿宋" w:hint="eastAsia"/>
          <w:bCs/>
          <w:sz w:val="24"/>
          <w:szCs w:val="24"/>
        </w:rPr>
        <w:t>及会议记录等）的内容，同样承担保密责任，严禁将政府机关内部会议、谈话内容泄露给无关人员；不得翻阅与工作无关的文件和资料。</w:t>
      </w:r>
    </w:p>
    <w:p w14:paraId="3EFDCBD5" w14:textId="77777777" w:rsidR="00DF3755" w:rsidRDefault="009F05F6" w:rsidP="0022374B">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验收标准</w:t>
      </w:r>
    </w:p>
    <w:p w14:paraId="29818DA9" w14:textId="6A4C929D" w:rsidR="00DF3755" w:rsidRDefault="009F05F6">
      <w:pPr>
        <w:widowControl/>
        <w:spacing w:line="360" w:lineRule="auto"/>
        <w:ind w:left="482"/>
        <w:jc w:val="left"/>
        <w:rPr>
          <w:rFonts w:ascii="仿宋" w:eastAsia="仿宋" w:hAnsi="仿宋"/>
          <w:bCs/>
          <w:sz w:val="24"/>
          <w:szCs w:val="24"/>
        </w:rPr>
      </w:pPr>
      <w:r>
        <w:rPr>
          <w:rFonts w:ascii="仿宋" w:eastAsia="仿宋" w:hAnsi="仿宋" w:hint="eastAsia"/>
          <w:bCs/>
          <w:sz w:val="24"/>
          <w:szCs w:val="24"/>
        </w:rPr>
        <w:t>本项目的</w:t>
      </w:r>
      <w:r>
        <w:rPr>
          <w:rFonts w:ascii="仿宋" w:eastAsia="仿宋" w:hAnsi="仿宋"/>
          <w:bCs/>
          <w:sz w:val="24"/>
          <w:szCs w:val="24"/>
        </w:rPr>
        <w:t>验收标准</w:t>
      </w:r>
      <w:r>
        <w:rPr>
          <w:rFonts w:ascii="仿宋" w:eastAsia="仿宋" w:hAnsi="仿宋" w:hint="eastAsia"/>
          <w:bCs/>
          <w:sz w:val="24"/>
          <w:szCs w:val="24"/>
        </w:rPr>
        <w:t>应遵循下列标准：</w:t>
      </w:r>
    </w:p>
    <w:p w14:paraId="6A2459B8" w14:textId="77777777" w:rsidR="00DF3755" w:rsidRDefault="009F05F6" w:rsidP="007A2559">
      <w:pPr>
        <w:widowControl/>
        <w:numPr>
          <w:ilvl w:val="0"/>
          <w:numId w:val="8"/>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完成合同和招标文件、投标文件中列举的全部平台功能，并符合设计要求；</w:t>
      </w:r>
    </w:p>
    <w:p w14:paraId="0F92D312" w14:textId="77777777" w:rsidR="00DF3755" w:rsidRDefault="009F05F6">
      <w:pPr>
        <w:widowControl/>
        <w:numPr>
          <w:ilvl w:val="0"/>
          <w:numId w:val="8"/>
        </w:numPr>
        <w:spacing w:line="360" w:lineRule="auto"/>
        <w:ind w:left="924" w:hanging="442"/>
        <w:jc w:val="left"/>
        <w:rPr>
          <w:rFonts w:ascii="仿宋" w:eastAsia="仿宋" w:hAnsi="仿宋"/>
          <w:bCs/>
          <w:sz w:val="24"/>
          <w:szCs w:val="24"/>
        </w:rPr>
      </w:pPr>
      <w:r>
        <w:rPr>
          <w:rFonts w:ascii="仿宋" w:eastAsia="仿宋" w:hAnsi="仿宋" w:hint="eastAsia"/>
          <w:bCs/>
          <w:sz w:val="24"/>
          <w:szCs w:val="24"/>
        </w:rPr>
        <w:t>完成所投系统的测试，具备可上线运行的条件；</w:t>
      </w:r>
    </w:p>
    <w:p w14:paraId="0EB80A3F" w14:textId="77777777" w:rsidR="00DF3755" w:rsidRDefault="009F05F6">
      <w:pPr>
        <w:widowControl/>
        <w:numPr>
          <w:ilvl w:val="0"/>
          <w:numId w:val="8"/>
        </w:numPr>
        <w:spacing w:line="360" w:lineRule="auto"/>
        <w:ind w:left="924" w:hanging="442"/>
        <w:jc w:val="left"/>
        <w:rPr>
          <w:rFonts w:ascii="仿宋" w:eastAsia="仿宋" w:hAnsi="仿宋"/>
          <w:bCs/>
          <w:sz w:val="24"/>
          <w:szCs w:val="24"/>
        </w:rPr>
      </w:pPr>
      <w:r>
        <w:rPr>
          <w:rFonts w:ascii="仿宋" w:eastAsia="仿宋" w:hAnsi="仿宋" w:hint="eastAsia"/>
          <w:bCs/>
          <w:sz w:val="24"/>
          <w:szCs w:val="24"/>
        </w:rPr>
        <w:t>提交了合同规定的文档；</w:t>
      </w:r>
    </w:p>
    <w:p w14:paraId="456DC8E9" w14:textId="77777777" w:rsidR="00DF3755" w:rsidRDefault="009F05F6">
      <w:pPr>
        <w:widowControl/>
        <w:numPr>
          <w:ilvl w:val="0"/>
          <w:numId w:val="8"/>
        </w:numPr>
        <w:spacing w:line="360" w:lineRule="auto"/>
        <w:ind w:left="924" w:hanging="442"/>
        <w:jc w:val="left"/>
        <w:rPr>
          <w:rFonts w:ascii="仿宋" w:eastAsia="仿宋" w:hAnsi="仿宋"/>
          <w:bCs/>
          <w:sz w:val="24"/>
          <w:szCs w:val="24"/>
        </w:rPr>
      </w:pPr>
      <w:r>
        <w:rPr>
          <w:rFonts w:ascii="仿宋" w:eastAsia="仿宋" w:hAnsi="仿宋" w:hint="eastAsia"/>
          <w:bCs/>
          <w:sz w:val="24"/>
          <w:szCs w:val="24"/>
        </w:rPr>
        <w:t>完成系统业务培训工作，用户意见书均达到基本满意或以上；</w:t>
      </w:r>
    </w:p>
    <w:p w14:paraId="1FC16B10" w14:textId="77777777" w:rsidR="00DF3755" w:rsidRDefault="009F05F6">
      <w:pPr>
        <w:widowControl/>
        <w:numPr>
          <w:ilvl w:val="0"/>
          <w:numId w:val="8"/>
        </w:numPr>
        <w:spacing w:line="360" w:lineRule="auto"/>
        <w:ind w:left="924" w:hanging="442"/>
        <w:jc w:val="left"/>
        <w:rPr>
          <w:rFonts w:ascii="仿宋" w:eastAsia="仿宋" w:hAnsi="仿宋"/>
          <w:bCs/>
          <w:sz w:val="24"/>
          <w:szCs w:val="24"/>
        </w:rPr>
      </w:pPr>
      <w:r>
        <w:rPr>
          <w:rFonts w:ascii="仿宋" w:eastAsia="仿宋" w:hAnsi="仿宋" w:hint="eastAsia"/>
          <w:bCs/>
          <w:sz w:val="24"/>
          <w:szCs w:val="24"/>
        </w:rPr>
        <w:t>经项目建设单位同意。</w:t>
      </w:r>
    </w:p>
    <w:p w14:paraId="3F146A50"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付款方式</w:t>
      </w:r>
    </w:p>
    <w:p w14:paraId="0D3F462C" w14:textId="77777777" w:rsidR="00DF3755" w:rsidRDefault="009F05F6">
      <w:pPr>
        <w:widowControl/>
        <w:spacing w:line="360" w:lineRule="auto"/>
        <w:ind w:left="482"/>
        <w:jc w:val="left"/>
        <w:rPr>
          <w:rFonts w:ascii="仿宋" w:eastAsia="仿宋" w:hAnsi="仿宋"/>
          <w:bCs/>
          <w:sz w:val="24"/>
          <w:szCs w:val="24"/>
        </w:rPr>
      </w:pPr>
      <w:r>
        <w:rPr>
          <w:rFonts w:ascii="仿宋" w:eastAsia="仿宋" w:hAnsi="仿宋" w:hint="eastAsia"/>
          <w:bCs/>
          <w:sz w:val="24"/>
          <w:szCs w:val="24"/>
        </w:rPr>
        <w:t>本项目计划分3期支付，具体支付方式和时间如下：</w:t>
      </w:r>
    </w:p>
    <w:p w14:paraId="4F73C7EC" w14:textId="77777777" w:rsidR="00DF3755" w:rsidRDefault="009F05F6" w:rsidP="007A2559">
      <w:pPr>
        <w:widowControl/>
        <w:numPr>
          <w:ilvl w:val="0"/>
          <w:numId w:val="9"/>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首期款：签订合同后10个工作日内，乙方书面提出支付申请函及</w:t>
      </w:r>
      <w:proofErr w:type="gramStart"/>
      <w:r>
        <w:rPr>
          <w:rFonts w:ascii="仿宋" w:eastAsia="仿宋" w:hAnsi="仿宋" w:hint="eastAsia"/>
          <w:bCs/>
          <w:sz w:val="24"/>
          <w:szCs w:val="24"/>
        </w:rPr>
        <w:t>拟支付</w:t>
      </w:r>
      <w:proofErr w:type="gramEnd"/>
      <w:r>
        <w:rPr>
          <w:rFonts w:ascii="仿宋" w:eastAsia="仿宋" w:hAnsi="仿宋" w:hint="eastAsia"/>
          <w:bCs/>
          <w:sz w:val="24"/>
          <w:szCs w:val="24"/>
        </w:rPr>
        <w:t>金额等额的符合甲方财务管理要求的相应发票，甲方确认后启动首期款支付流程，占合同总金额的30%。</w:t>
      </w:r>
    </w:p>
    <w:p w14:paraId="27C97C95" w14:textId="33A44C30" w:rsidR="00DF3755" w:rsidRDefault="009F05F6" w:rsidP="007A2559">
      <w:pPr>
        <w:widowControl/>
        <w:numPr>
          <w:ilvl w:val="0"/>
          <w:numId w:val="9"/>
        </w:numPr>
        <w:spacing w:line="360" w:lineRule="auto"/>
        <w:ind w:left="0" w:firstLine="482"/>
        <w:jc w:val="left"/>
        <w:rPr>
          <w:rFonts w:ascii="仿宋" w:eastAsia="仿宋" w:hAnsi="仿宋"/>
          <w:bCs/>
          <w:sz w:val="24"/>
          <w:szCs w:val="24"/>
        </w:rPr>
      </w:pPr>
      <w:r>
        <w:rPr>
          <w:rFonts w:ascii="仿宋" w:eastAsia="仿宋" w:hAnsi="仿宋"/>
          <w:bCs/>
          <w:sz w:val="24"/>
          <w:szCs w:val="24"/>
        </w:rPr>
        <w:t>验收</w:t>
      </w:r>
      <w:r>
        <w:rPr>
          <w:rFonts w:ascii="仿宋" w:eastAsia="仿宋" w:hAnsi="仿宋" w:hint="eastAsia"/>
          <w:bCs/>
          <w:sz w:val="24"/>
          <w:szCs w:val="24"/>
        </w:rPr>
        <w:t>款：本项目建设内容</w:t>
      </w:r>
      <w:r>
        <w:rPr>
          <w:rFonts w:ascii="仿宋" w:eastAsia="仿宋" w:hAnsi="仿宋"/>
          <w:bCs/>
          <w:sz w:val="24"/>
          <w:szCs w:val="24"/>
        </w:rPr>
        <w:t>达到验收标准</w:t>
      </w:r>
      <w:r>
        <w:rPr>
          <w:rFonts w:ascii="仿宋" w:eastAsia="仿宋" w:hAnsi="仿宋" w:hint="eastAsia"/>
          <w:bCs/>
          <w:sz w:val="24"/>
          <w:szCs w:val="24"/>
        </w:rPr>
        <w:t>后的10个工作日内，乙方书面提出支付申请函及</w:t>
      </w:r>
      <w:proofErr w:type="gramStart"/>
      <w:r>
        <w:rPr>
          <w:rFonts w:ascii="仿宋" w:eastAsia="仿宋" w:hAnsi="仿宋" w:hint="eastAsia"/>
          <w:bCs/>
          <w:sz w:val="24"/>
          <w:szCs w:val="24"/>
        </w:rPr>
        <w:t>拟支付</w:t>
      </w:r>
      <w:proofErr w:type="gramEnd"/>
      <w:r>
        <w:rPr>
          <w:rFonts w:ascii="仿宋" w:eastAsia="仿宋" w:hAnsi="仿宋" w:hint="eastAsia"/>
          <w:bCs/>
          <w:sz w:val="24"/>
          <w:szCs w:val="24"/>
        </w:rPr>
        <w:t>金额等额的符合甲方财务管理要求的相应发票，甲方确认后启动初验款支付流程，占合同总金额的</w:t>
      </w:r>
      <w:r>
        <w:rPr>
          <w:rFonts w:ascii="仿宋" w:eastAsia="仿宋" w:hAnsi="仿宋"/>
          <w:bCs/>
          <w:sz w:val="24"/>
          <w:szCs w:val="24"/>
        </w:rPr>
        <w:t>6</w:t>
      </w:r>
      <w:r>
        <w:rPr>
          <w:rFonts w:ascii="仿宋" w:eastAsia="仿宋" w:hAnsi="仿宋" w:hint="eastAsia"/>
          <w:bCs/>
          <w:sz w:val="24"/>
          <w:szCs w:val="24"/>
        </w:rPr>
        <w:t>0%。</w:t>
      </w:r>
    </w:p>
    <w:p w14:paraId="77BD1D6B" w14:textId="1CE38C20" w:rsidR="00DF3755" w:rsidRDefault="009F05F6" w:rsidP="007A2559">
      <w:pPr>
        <w:widowControl/>
        <w:numPr>
          <w:ilvl w:val="0"/>
          <w:numId w:val="9"/>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项目验收后</w:t>
      </w:r>
      <w:r>
        <w:rPr>
          <w:rFonts w:ascii="仿宋" w:eastAsia="仿宋" w:hAnsi="仿宋"/>
          <w:bCs/>
          <w:sz w:val="24"/>
          <w:szCs w:val="24"/>
        </w:rPr>
        <w:t>稳定运行</w:t>
      </w:r>
      <w:r w:rsidR="007A2559">
        <w:rPr>
          <w:rFonts w:ascii="仿宋" w:eastAsia="仿宋" w:hAnsi="仿宋" w:hint="eastAsia"/>
          <w:bCs/>
          <w:sz w:val="24"/>
          <w:szCs w:val="24"/>
        </w:rPr>
        <w:t>三个月</w:t>
      </w:r>
      <w:r>
        <w:rPr>
          <w:rFonts w:ascii="仿宋" w:eastAsia="仿宋" w:hAnsi="仿宋" w:hint="eastAsia"/>
          <w:bCs/>
          <w:sz w:val="24"/>
          <w:szCs w:val="24"/>
        </w:rPr>
        <w:t>，乙方书面提出支付申请函及</w:t>
      </w:r>
      <w:proofErr w:type="gramStart"/>
      <w:r>
        <w:rPr>
          <w:rFonts w:ascii="仿宋" w:eastAsia="仿宋" w:hAnsi="仿宋" w:hint="eastAsia"/>
          <w:bCs/>
          <w:sz w:val="24"/>
          <w:szCs w:val="24"/>
        </w:rPr>
        <w:t>拟支付</w:t>
      </w:r>
      <w:proofErr w:type="gramEnd"/>
      <w:r>
        <w:rPr>
          <w:rFonts w:ascii="仿宋" w:eastAsia="仿宋" w:hAnsi="仿宋" w:hint="eastAsia"/>
          <w:bCs/>
          <w:sz w:val="24"/>
          <w:szCs w:val="24"/>
        </w:rPr>
        <w:t>金额等额的符合甲方财务管理要求的相应发票，甲方确认后启动终验款支付流程，占合同总金额的</w:t>
      </w:r>
      <w:r>
        <w:rPr>
          <w:rFonts w:ascii="仿宋" w:eastAsia="仿宋" w:hAnsi="仿宋"/>
          <w:bCs/>
          <w:sz w:val="24"/>
          <w:szCs w:val="24"/>
        </w:rPr>
        <w:t>1</w:t>
      </w:r>
      <w:r>
        <w:rPr>
          <w:rFonts w:ascii="仿宋" w:eastAsia="仿宋" w:hAnsi="仿宋" w:hint="eastAsia"/>
          <w:bCs/>
          <w:sz w:val="24"/>
          <w:szCs w:val="24"/>
        </w:rPr>
        <w:t>0%。</w:t>
      </w:r>
    </w:p>
    <w:p w14:paraId="577F3526" w14:textId="2BD7C15D" w:rsidR="00DF3755" w:rsidRDefault="00DF3755" w:rsidP="007A2559">
      <w:pPr>
        <w:pStyle w:val="a9"/>
        <w:numPr>
          <w:ilvl w:val="255"/>
          <w:numId w:val="0"/>
        </w:numPr>
        <w:spacing w:line="360" w:lineRule="auto"/>
        <w:jc w:val="left"/>
        <w:rPr>
          <w:rFonts w:ascii="仿宋" w:eastAsia="仿宋" w:hAnsi="仿宋"/>
          <w:b/>
          <w:sz w:val="24"/>
          <w:szCs w:val="24"/>
        </w:rPr>
      </w:pPr>
    </w:p>
    <w:p w14:paraId="4626E7C5" w14:textId="77777777" w:rsidR="00DF3755" w:rsidRDefault="009F05F6">
      <w:pPr>
        <w:pStyle w:val="a9"/>
        <w:numPr>
          <w:ilvl w:val="0"/>
          <w:numId w:val="1"/>
        </w:numPr>
        <w:spacing w:line="360" w:lineRule="auto"/>
        <w:jc w:val="left"/>
        <w:rPr>
          <w:rFonts w:ascii="仿宋" w:eastAsia="仿宋" w:hAnsi="仿宋"/>
          <w:b/>
          <w:sz w:val="24"/>
          <w:szCs w:val="24"/>
        </w:rPr>
      </w:pPr>
      <w:r>
        <w:rPr>
          <w:rFonts w:ascii="仿宋" w:eastAsia="仿宋" w:hAnsi="仿宋" w:hint="eastAsia"/>
          <w:b/>
          <w:sz w:val="24"/>
          <w:szCs w:val="24"/>
        </w:rPr>
        <w:t>其它说明</w:t>
      </w:r>
    </w:p>
    <w:p w14:paraId="5D9638CC" w14:textId="77777777" w:rsidR="00DF3755" w:rsidRDefault="009F05F6" w:rsidP="007A2559">
      <w:pPr>
        <w:widowControl/>
        <w:numPr>
          <w:ilvl w:val="0"/>
          <w:numId w:val="10"/>
        </w:numPr>
        <w:spacing w:line="360" w:lineRule="auto"/>
        <w:ind w:left="0" w:firstLine="482"/>
        <w:jc w:val="left"/>
        <w:rPr>
          <w:rFonts w:ascii="仿宋" w:eastAsia="仿宋" w:hAnsi="仿宋"/>
          <w:bCs/>
          <w:sz w:val="24"/>
          <w:szCs w:val="24"/>
        </w:rPr>
      </w:pPr>
      <w:r>
        <w:rPr>
          <w:rFonts w:ascii="仿宋" w:eastAsia="仿宋" w:hAnsi="仿宋" w:hint="eastAsia"/>
          <w:bCs/>
          <w:sz w:val="24"/>
          <w:szCs w:val="24"/>
        </w:rPr>
        <w:t>供应商应按计划完工交付验收，如在合同预定的工期内，无法达成规定的技术指标，供应商应负责无条件返工并承担所造成的直接经济损失。</w:t>
      </w:r>
    </w:p>
    <w:p w14:paraId="40E84FFB" w14:textId="0F21C968" w:rsidR="00DF3755" w:rsidRDefault="009F05F6" w:rsidP="007A2559">
      <w:pPr>
        <w:widowControl/>
        <w:numPr>
          <w:ilvl w:val="0"/>
          <w:numId w:val="10"/>
        </w:numPr>
        <w:spacing w:line="360" w:lineRule="auto"/>
        <w:ind w:left="0" w:firstLine="482"/>
        <w:jc w:val="left"/>
        <w:rPr>
          <w:rFonts w:ascii="仿宋" w:eastAsia="仿宋" w:hAnsi="仿宋"/>
          <w:bCs/>
          <w:sz w:val="24"/>
          <w:szCs w:val="24"/>
        </w:rPr>
      </w:pPr>
      <w:r>
        <w:rPr>
          <w:rFonts w:ascii="仿宋" w:eastAsia="仿宋" w:hAnsi="仿宋" w:cs="Times New Roman" w:hint="eastAsia"/>
          <w:sz w:val="28"/>
          <w:szCs w:val="28"/>
          <w:lang w:bidi="ar"/>
        </w:rPr>
        <w:t>★</w:t>
      </w:r>
      <w:r>
        <w:rPr>
          <w:rFonts w:ascii="宋体" w:eastAsia="宋体" w:hAnsi="宋体" w:cs="宋体"/>
          <w:sz w:val="24"/>
          <w:szCs w:val="24"/>
        </w:rPr>
        <w:t xml:space="preserve"> </w:t>
      </w:r>
      <w:r>
        <w:rPr>
          <w:rFonts w:ascii="仿宋" w:eastAsia="仿宋" w:hAnsi="仿宋" w:hint="eastAsia"/>
          <w:bCs/>
          <w:sz w:val="24"/>
          <w:szCs w:val="24"/>
        </w:rPr>
        <w:t>若因供应商原因造成项目延期的，供应商承担工期违约责任，导致项目建设资金被压减，压减部分的资金，由供应商承担；每延期一天，采购人有权根据实际情况扣除项目建设款中的500元；累计超期60天，采购人有权根据实际情况自主确定无条件终止合同，供应商须退还项目所有建设资金。</w:t>
      </w:r>
    </w:p>
    <w:p w14:paraId="77F0681A" w14:textId="296FAF06" w:rsidR="00DF3755" w:rsidRDefault="00DF3755">
      <w:pPr>
        <w:widowControl/>
        <w:spacing w:line="360" w:lineRule="auto"/>
        <w:ind w:left="482"/>
        <w:jc w:val="left"/>
        <w:rPr>
          <w:rFonts w:ascii="仿宋" w:eastAsia="仿宋" w:hAnsi="仿宋"/>
          <w:bCs/>
          <w:sz w:val="24"/>
          <w:szCs w:val="24"/>
        </w:rPr>
      </w:pPr>
    </w:p>
    <w:p w14:paraId="3C9A4F0C" w14:textId="1C6216B8" w:rsidR="00496BD8" w:rsidRPr="00496BD8" w:rsidRDefault="00496BD8" w:rsidP="00496BD8">
      <w:pPr>
        <w:pStyle w:val="a9"/>
        <w:numPr>
          <w:ilvl w:val="0"/>
          <w:numId w:val="1"/>
        </w:numPr>
        <w:spacing w:line="360" w:lineRule="auto"/>
        <w:jc w:val="left"/>
        <w:rPr>
          <w:rFonts w:ascii="仿宋" w:eastAsia="仿宋" w:hAnsi="仿宋" w:hint="eastAsia"/>
          <w:b/>
          <w:bCs/>
          <w:sz w:val="24"/>
          <w:szCs w:val="24"/>
        </w:rPr>
      </w:pPr>
      <w:bookmarkStart w:id="2" w:name="_GoBack"/>
      <w:r w:rsidRPr="00496BD8">
        <w:rPr>
          <w:rFonts w:ascii="仿宋" w:eastAsia="仿宋" w:hAnsi="仿宋" w:hint="eastAsia"/>
          <w:b/>
          <w:bCs/>
          <w:sz w:val="24"/>
          <w:szCs w:val="24"/>
        </w:rPr>
        <w:t>项目</w:t>
      </w:r>
      <w:r w:rsidRPr="00496BD8">
        <w:rPr>
          <w:rFonts w:ascii="仿宋" w:eastAsia="仿宋" w:hAnsi="仿宋"/>
          <w:b/>
          <w:bCs/>
          <w:sz w:val="24"/>
          <w:szCs w:val="24"/>
        </w:rPr>
        <w:t>预算金额：</w:t>
      </w:r>
      <w:r w:rsidRPr="00496BD8">
        <w:rPr>
          <w:rFonts w:ascii="仿宋" w:eastAsia="仿宋" w:hAnsi="仿宋" w:hint="eastAsia"/>
          <w:b/>
          <w:bCs/>
          <w:sz w:val="24"/>
          <w:szCs w:val="24"/>
        </w:rPr>
        <w:t>30万元</w:t>
      </w:r>
    </w:p>
    <w:bookmarkEnd w:id="2"/>
    <w:p w14:paraId="02E0FA96" w14:textId="77777777" w:rsidR="00496BD8" w:rsidRDefault="00496BD8">
      <w:pPr>
        <w:pStyle w:val="a9"/>
        <w:spacing w:line="360" w:lineRule="auto"/>
        <w:ind w:left="0"/>
        <w:jc w:val="left"/>
        <w:rPr>
          <w:rFonts w:ascii="仿宋" w:eastAsia="仿宋" w:hAnsi="仿宋"/>
          <w:b/>
          <w:sz w:val="24"/>
          <w:szCs w:val="24"/>
        </w:rPr>
      </w:pPr>
    </w:p>
    <w:p w14:paraId="5CD6A302" w14:textId="3384A5FF" w:rsidR="00DF3755" w:rsidRDefault="00147D72">
      <w:pPr>
        <w:pStyle w:val="a9"/>
        <w:spacing w:line="360" w:lineRule="auto"/>
        <w:ind w:left="0"/>
        <w:jc w:val="left"/>
        <w:rPr>
          <w:rFonts w:ascii="仿宋" w:eastAsia="仿宋" w:hAnsi="仿宋"/>
          <w:b/>
          <w:sz w:val="24"/>
          <w:szCs w:val="24"/>
        </w:rPr>
      </w:pPr>
      <w:r>
        <w:rPr>
          <w:rFonts w:ascii="仿宋" w:eastAsia="仿宋" w:hAnsi="仿宋" w:hint="eastAsia"/>
          <w:b/>
          <w:sz w:val="24"/>
          <w:szCs w:val="24"/>
        </w:rPr>
        <w:t>附件</w:t>
      </w:r>
      <w:r>
        <w:rPr>
          <w:rFonts w:ascii="仿宋" w:eastAsia="仿宋" w:hAnsi="仿宋"/>
          <w:b/>
          <w:sz w:val="24"/>
          <w:szCs w:val="24"/>
        </w:rPr>
        <w:t>：</w:t>
      </w:r>
      <w:r>
        <w:rPr>
          <w:rFonts w:ascii="仿宋" w:eastAsia="仿宋" w:hAnsi="仿宋" w:hint="eastAsia"/>
          <w:b/>
          <w:sz w:val="24"/>
          <w:szCs w:val="24"/>
        </w:rPr>
        <w:t>《</w:t>
      </w:r>
      <w:r w:rsidRPr="00147D72">
        <w:rPr>
          <w:rFonts w:ascii="仿宋" w:eastAsia="仿宋" w:hAnsi="仿宋" w:hint="eastAsia"/>
          <w:b/>
          <w:sz w:val="24"/>
          <w:szCs w:val="24"/>
        </w:rPr>
        <w:t>康复治疗系统采购项目评审规则</w:t>
      </w:r>
      <w:r>
        <w:rPr>
          <w:rFonts w:ascii="仿宋" w:eastAsia="仿宋" w:hAnsi="仿宋" w:hint="eastAsia"/>
          <w:b/>
          <w:sz w:val="24"/>
          <w:szCs w:val="24"/>
        </w:rPr>
        <w:t>》</w:t>
      </w:r>
    </w:p>
    <w:p w14:paraId="394AB707" w14:textId="77777777" w:rsidR="00DF3755" w:rsidRDefault="00DF3755"/>
    <w:sectPr w:rsidR="00DF375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8EB33" w14:textId="77777777" w:rsidR="00DE2891" w:rsidRDefault="00DE2891">
      <w:r>
        <w:separator/>
      </w:r>
    </w:p>
  </w:endnote>
  <w:endnote w:type="continuationSeparator" w:id="0">
    <w:p w14:paraId="6041974D" w14:textId="77777777" w:rsidR="00DE2891" w:rsidRDefault="00DE2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altName w:val="汉仪仿宋KW"/>
    <w:panose1 w:val="02010609060101010101"/>
    <w:charset w:val="86"/>
    <w:family w:val="modern"/>
    <w:pitch w:val="fixed"/>
    <w:sig w:usb0="800002BF" w:usb1="38CF7CFA" w:usb2="00000016" w:usb3="00000000" w:csb0="00040001" w:csb1="00000000"/>
  </w:font>
  <w:font w:name="Calibri">
    <w:altName w:val="Arial"/>
    <w:panose1 w:val="020F0502020204030204"/>
    <w:charset w:val="00"/>
    <w:family w:val="swiss"/>
    <w:pitch w:val="variable"/>
    <w:sig w:usb0="E10002FF" w:usb1="4000ACFF" w:usb2="00000009"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948BE" w14:textId="77777777" w:rsidR="00DF3755" w:rsidRDefault="009F05F6">
    <w:pPr>
      <w:spacing w:line="100" w:lineRule="auto"/>
      <w:ind w:firstLine="20"/>
      <w:jc w:val="right"/>
    </w:pPr>
    <w:r>
      <w:rPr>
        <w:rFonts w:ascii="Calibri" w:eastAsia="Calibri" w:hAnsi="Calibri" w:hint="eastAsia"/>
        <w:color w:val="000000"/>
        <w:sz w:val="34"/>
      </w:rPr>
      <w:t>-3-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01F6A" w14:textId="77777777" w:rsidR="00DE2891" w:rsidRDefault="00DE2891">
      <w:r>
        <w:separator/>
      </w:r>
    </w:p>
  </w:footnote>
  <w:footnote w:type="continuationSeparator" w:id="0">
    <w:p w14:paraId="6219971A" w14:textId="77777777" w:rsidR="00DE2891" w:rsidRDefault="00DE2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5D9C53"/>
    <w:multiLevelType w:val="multilevel"/>
    <w:tmpl w:val="825D9C53"/>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 w15:restartNumberingAfterBreak="0">
    <w:nsid w:val="B4A1F53F"/>
    <w:multiLevelType w:val="multilevel"/>
    <w:tmpl w:val="B4A1F53F"/>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2" w15:restartNumberingAfterBreak="0">
    <w:nsid w:val="D01A4DF9"/>
    <w:multiLevelType w:val="multilevel"/>
    <w:tmpl w:val="D01A4DF9"/>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3" w15:restartNumberingAfterBreak="0">
    <w:nsid w:val="EE736B57"/>
    <w:multiLevelType w:val="multilevel"/>
    <w:tmpl w:val="EE736B57"/>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4" w15:restartNumberingAfterBreak="0">
    <w:nsid w:val="071A1362"/>
    <w:multiLevelType w:val="multilevel"/>
    <w:tmpl w:val="071A1362"/>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5" w15:restartNumberingAfterBreak="0">
    <w:nsid w:val="0ACEDC61"/>
    <w:multiLevelType w:val="multilevel"/>
    <w:tmpl w:val="0ACEDC61"/>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6" w15:restartNumberingAfterBreak="0">
    <w:nsid w:val="3EED6B8E"/>
    <w:multiLevelType w:val="multilevel"/>
    <w:tmpl w:val="3EED6B8E"/>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7" w15:restartNumberingAfterBreak="0">
    <w:nsid w:val="56D97CC6"/>
    <w:multiLevelType w:val="multilevel"/>
    <w:tmpl w:val="56D97CC6"/>
    <w:lvl w:ilvl="0">
      <w:start w:val="1"/>
      <w:numFmt w:val="decimal"/>
      <w:lvlText w:val="%1."/>
      <w:lvlJc w:val="left"/>
      <w:pPr>
        <w:ind w:left="920" w:hanging="440"/>
      </w:pPr>
      <w:rPr>
        <w:rFonts w:hint="eastAsia"/>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8" w15:restartNumberingAfterBreak="0">
    <w:nsid w:val="7C813208"/>
    <w:multiLevelType w:val="multilevel"/>
    <w:tmpl w:val="7C813208"/>
    <w:lvl w:ilvl="0">
      <w:start w:val="1"/>
      <w:numFmt w:val="decimal"/>
      <w:lvlText w:val="%1."/>
      <w:lvlJc w:val="left"/>
      <w:pPr>
        <w:ind w:left="922" w:hanging="440"/>
      </w:pPr>
      <w:rPr>
        <w:rFonts w:hint="eastAsia"/>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abstractNum w:abstractNumId="9" w15:restartNumberingAfterBreak="0">
    <w:nsid w:val="7F291E12"/>
    <w:multiLevelType w:val="multilevel"/>
    <w:tmpl w:val="7F291E12"/>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9"/>
  </w:num>
  <w:num w:numId="2">
    <w:abstractNumId w:val="4"/>
  </w:num>
  <w:num w:numId="3">
    <w:abstractNumId w:val="7"/>
  </w:num>
  <w:num w:numId="4">
    <w:abstractNumId w:val="8"/>
  </w:num>
  <w:num w:numId="5">
    <w:abstractNumId w:val="6"/>
  </w:num>
  <w:num w:numId="6">
    <w:abstractNumId w:val="0"/>
  </w:num>
  <w:num w:numId="7">
    <w:abstractNumId w:val="5"/>
  </w:num>
  <w:num w:numId="8">
    <w:abstractNumId w:val="2"/>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40A"/>
    <w:rsid w:val="86E7AC35"/>
    <w:rsid w:val="976E90FB"/>
    <w:rsid w:val="B55CAB74"/>
    <w:rsid w:val="BCF11545"/>
    <w:rsid w:val="BDEF030E"/>
    <w:rsid w:val="D3768D2A"/>
    <w:rsid w:val="D7CD898B"/>
    <w:rsid w:val="DCF7ABFA"/>
    <w:rsid w:val="DEEF192E"/>
    <w:rsid w:val="DFEE3537"/>
    <w:rsid w:val="DFFAE7CC"/>
    <w:rsid w:val="E17EC63F"/>
    <w:rsid w:val="E34F8D83"/>
    <w:rsid w:val="F3FBD0F4"/>
    <w:rsid w:val="F6F301DF"/>
    <w:rsid w:val="F6FEA958"/>
    <w:rsid w:val="FDCD6A61"/>
    <w:rsid w:val="FEFF840D"/>
    <w:rsid w:val="FF7BC6E7"/>
    <w:rsid w:val="00147D72"/>
    <w:rsid w:val="0022374B"/>
    <w:rsid w:val="00496BD8"/>
    <w:rsid w:val="004B7B5C"/>
    <w:rsid w:val="004D25B7"/>
    <w:rsid w:val="00741AC3"/>
    <w:rsid w:val="00752C53"/>
    <w:rsid w:val="00766789"/>
    <w:rsid w:val="007A2559"/>
    <w:rsid w:val="008579A0"/>
    <w:rsid w:val="00950A53"/>
    <w:rsid w:val="009F05F6"/>
    <w:rsid w:val="00A31D87"/>
    <w:rsid w:val="00BA640A"/>
    <w:rsid w:val="00BC35EC"/>
    <w:rsid w:val="00BD30CD"/>
    <w:rsid w:val="00DE2891"/>
    <w:rsid w:val="00DF3755"/>
    <w:rsid w:val="00FB4834"/>
    <w:rsid w:val="259E07A8"/>
    <w:rsid w:val="2FB55F19"/>
    <w:rsid w:val="38EC92BA"/>
    <w:rsid w:val="3F17FFA0"/>
    <w:rsid w:val="4FFB3E95"/>
    <w:rsid w:val="59F3B5A6"/>
    <w:rsid w:val="5BCF1F55"/>
    <w:rsid w:val="5DF754EC"/>
    <w:rsid w:val="6F67B005"/>
    <w:rsid w:val="717F7632"/>
    <w:rsid w:val="75F58D91"/>
    <w:rsid w:val="7BFF6AC9"/>
    <w:rsid w:val="7CDFCBB8"/>
    <w:rsid w:val="7DBF9165"/>
    <w:rsid w:val="7DFF776A"/>
    <w:rsid w:val="7FDF033B"/>
    <w:rsid w:val="7FF7F373"/>
    <w:rsid w:val="7FFF2A89"/>
    <w:rsid w:val="7FFFE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CF9F60"/>
  <w15:docId w15:val="{36BF2012-5182-4E98-AAB7-BBD086CEA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table" w:styleId="a8">
    <w:name w:val="Table Grid"/>
    <w:basedOn w:val="a1"/>
    <w:qFormat/>
    <w:pPr>
      <w:widowControl w:val="0"/>
      <w:jc w:val="both"/>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qFormat/>
    <w:rPr>
      <w:sz w:val="18"/>
      <w:szCs w:val="18"/>
    </w:rPr>
  </w:style>
  <w:style w:type="paragraph" w:styleId="a9">
    <w:name w:val="List Paragraph"/>
    <w:basedOn w:val="a"/>
    <w:link w:val="aa"/>
    <w:qFormat/>
    <w:pPr>
      <w:ind w:left="720"/>
      <w:contextualSpacing/>
    </w:pPr>
  </w:style>
  <w:style w:type="character" w:customStyle="1" w:styleId="aa">
    <w:name w:val="列出段落 字符"/>
    <w:basedOn w:val="a0"/>
    <w:link w:val="a9"/>
    <w:qFormat/>
    <w:rPr>
      <w14:ligatures w14:val="standardContextual"/>
    </w:rPr>
  </w:style>
  <w:style w:type="paragraph" w:customStyle="1" w:styleId="msolistparagraph0">
    <w:name w:val="msolistparagraph"/>
    <w:basedOn w:val="a"/>
    <w:pPr>
      <w:ind w:left="720"/>
      <w:contextualSpacing/>
    </w:pPr>
    <w:rPr>
      <w:rFonts w:ascii="等线" w:eastAsia="等线" w:hAnsi="等线" w:cs="Times New Roman" w:hint="eastAsia"/>
    </w:rPr>
  </w:style>
  <w:style w:type="character" w:styleId="ab">
    <w:name w:val="annotation reference"/>
    <w:basedOn w:val="a0"/>
    <w:uiPriority w:val="99"/>
    <w:semiHidden/>
    <w:unhideWhenUsed/>
    <w:rPr>
      <w:sz w:val="21"/>
      <w:szCs w:val="21"/>
    </w:rPr>
  </w:style>
  <w:style w:type="paragraph" w:styleId="ac">
    <w:name w:val="Balloon Text"/>
    <w:basedOn w:val="a"/>
    <w:link w:val="ad"/>
    <w:uiPriority w:val="99"/>
    <w:semiHidden/>
    <w:unhideWhenUsed/>
    <w:rsid w:val="0022374B"/>
    <w:rPr>
      <w:sz w:val="18"/>
      <w:szCs w:val="18"/>
    </w:rPr>
  </w:style>
  <w:style w:type="character" w:customStyle="1" w:styleId="ad">
    <w:name w:val="批注框文本 字符"/>
    <w:basedOn w:val="a0"/>
    <w:link w:val="ac"/>
    <w:uiPriority w:val="99"/>
    <w:semiHidden/>
    <w:rsid w:val="0022374B"/>
    <w:rPr>
      <w:rFonts w:asciiTheme="minorHAnsi" w:eastAsiaTheme="minorEastAsia"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916</Words>
  <Characters>5223</Characters>
  <Application>Microsoft Office Word</Application>
  <DocSecurity>0</DocSecurity>
  <Lines>43</Lines>
  <Paragraphs>12</Paragraphs>
  <ScaleCrop>false</ScaleCrop>
  <Company>Microsoft</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工作</dc:creator>
  <cp:lastModifiedBy>肖翔</cp:lastModifiedBy>
  <cp:revision>8</cp:revision>
  <dcterms:created xsi:type="dcterms:W3CDTF">2026-07-14T08:36:00Z</dcterms:created>
  <dcterms:modified xsi:type="dcterms:W3CDTF">2026-07-14T09:25:00Z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