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AD08F">
      <w:pPr>
        <w:spacing w:line="360" w:lineRule="auto"/>
        <w:jc w:val="center"/>
        <w:rPr>
          <w:rFonts w:asciiTheme="minorEastAsia" w:hAnsiTheme="minorEastAsia" w:eastAsiaTheme="minorEastAsia"/>
          <w:color w:val="000000"/>
          <w:sz w:val="44"/>
        </w:rPr>
      </w:pPr>
    </w:p>
    <w:p w14:paraId="7A3DED32">
      <w:pPr>
        <w:pStyle w:val="2"/>
        <w:rPr>
          <w:rFonts w:asciiTheme="minorEastAsia" w:hAnsiTheme="minorEastAsia" w:eastAsiaTheme="minorEastAsia"/>
          <w:color w:val="000000"/>
          <w:sz w:val="44"/>
        </w:rPr>
      </w:pPr>
    </w:p>
    <w:p w14:paraId="2A35FDB3">
      <w:pPr>
        <w:pStyle w:val="2"/>
        <w:rPr>
          <w:rFonts w:asciiTheme="minorEastAsia" w:hAnsiTheme="minorEastAsia" w:eastAsiaTheme="minorEastAsia"/>
          <w:color w:val="000000"/>
          <w:sz w:val="44"/>
        </w:rPr>
      </w:pPr>
    </w:p>
    <w:p w14:paraId="0E04AA8C">
      <w:pPr>
        <w:pStyle w:val="32"/>
        <w:jc w:val="center"/>
        <w:rPr>
          <w:rFonts w:asciiTheme="minorEastAsia" w:hAnsiTheme="minorEastAsia" w:eastAsiaTheme="minorEastAsia"/>
          <w:sz w:val="52"/>
        </w:rPr>
      </w:pPr>
      <w:r>
        <w:rPr>
          <w:rFonts w:hint="eastAsia" w:asciiTheme="minorEastAsia" w:hAnsiTheme="minorEastAsia" w:eastAsiaTheme="minorEastAsia"/>
          <w:sz w:val="52"/>
        </w:rPr>
        <w:t>广州医科大学附属番禺中心医院肌电图机采购项目</w:t>
      </w:r>
    </w:p>
    <w:p w14:paraId="08A90785">
      <w:pPr>
        <w:pStyle w:val="32"/>
        <w:jc w:val="center"/>
        <w:rPr>
          <w:rFonts w:asciiTheme="minorEastAsia" w:hAnsiTheme="minorEastAsia" w:eastAsiaTheme="minorEastAsia"/>
          <w:sz w:val="52"/>
        </w:rPr>
      </w:pPr>
      <w:r>
        <w:rPr>
          <w:rFonts w:hint="eastAsia" w:asciiTheme="minorEastAsia" w:hAnsiTheme="minorEastAsia" w:eastAsiaTheme="minorEastAsia"/>
          <w:sz w:val="52"/>
        </w:rPr>
        <w:t>（询比编号：CG-XBLX-202609-01）</w:t>
      </w:r>
    </w:p>
    <w:p w14:paraId="35F9BA84">
      <w:pPr>
        <w:jc w:val="center"/>
        <w:rPr>
          <w:rFonts w:asciiTheme="minorEastAsia" w:hAnsiTheme="minorEastAsia" w:eastAsiaTheme="minorEastAsia"/>
          <w:sz w:val="44"/>
        </w:rPr>
      </w:pPr>
    </w:p>
    <w:p w14:paraId="735357D8">
      <w:pPr>
        <w:pStyle w:val="2"/>
        <w:jc w:val="center"/>
      </w:pPr>
      <w:r>
        <w:rPr>
          <w:rFonts w:hint="eastAsia" w:asciiTheme="minorEastAsia" w:hAnsiTheme="minorEastAsia" w:eastAsiaTheme="minorEastAsia"/>
          <w:b/>
          <w:sz w:val="56"/>
        </w:rPr>
        <w:t>询比文件</w:t>
      </w:r>
    </w:p>
    <w:p w14:paraId="09102D06">
      <w:pPr>
        <w:pStyle w:val="2"/>
      </w:pPr>
    </w:p>
    <w:p w14:paraId="5E54BA10">
      <w:pPr>
        <w:pStyle w:val="2"/>
      </w:pPr>
    </w:p>
    <w:p w14:paraId="61819F31">
      <w:pPr>
        <w:pStyle w:val="2"/>
      </w:pPr>
    </w:p>
    <w:p w14:paraId="12AECB02">
      <w:pPr>
        <w:pStyle w:val="2"/>
      </w:pPr>
    </w:p>
    <w:p w14:paraId="3DC3C158">
      <w:pPr>
        <w:pStyle w:val="2"/>
      </w:pPr>
    </w:p>
    <w:p w14:paraId="41DF974F">
      <w:pPr>
        <w:pStyle w:val="2"/>
      </w:pPr>
    </w:p>
    <w:p w14:paraId="67F085FE">
      <w:pPr>
        <w:pStyle w:val="2"/>
      </w:pPr>
    </w:p>
    <w:p w14:paraId="30402780">
      <w:pPr>
        <w:pStyle w:val="2"/>
      </w:pPr>
    </w:p>
    <w:p w14:paraId="2E09FE53">
      <w:pPr>
        <w:pStyle w:val="2"/>
      </w:pPr>
    </w:p>
    <w:p w14:paraId="57B22D00">
      <w:pPr>
        <w:pStyle w:val="2"/>
        <w:rPr>
          <w:rFonts w:hint="eastAsia"/>
        </w:rPr>
      </w:pPr>
    </w:p>
    <w:p w14:paraId="257227ED">
      <w:pPr>
        <w:jc w:val="center"/>
        <w:rPr>
          <w:rFonts w:asciiTheme="minorEastAsia" w:hAnsiTheme="minorEastAsia" w:eastAsiaTheme="minorEastAsia"/>
          <w:b/>
          <w:sz w:val="32"/>
        </w:rPr>
      </w:pPr>
      <w:r>
        <w:rPr>
          <w:rFonts w:hint="eastAsia" w:asciiTheme="minorEastAsia" w:hAnsiTheme="minorEastAsia" w:eastAsiaTheme="minorEastAsia"/>
          <w:sz w:val="32"/>
          <w:lang w:val="en-US" w:eastAsia="zh-CN"/>
        </w:rPr>
        <w:t>2026</w:t>
      </w:r>
      <w:r>
        <w:rPr>
          <w:rFonts w:hint="eastAsia" w:cs="楷体_GB2312" w:asciiTheme="minorEastAsia" w:hAnsiTheme="minorEastAsia" w:eastAsiaTheme="minorEastAsia"/>
          <w:sz w:val="32"/>
        </w:rPr>
        <w:t>年</w:t>
      </w:r>
      <w:r>
        <w:rPr>
          <w:rFonts w:hint="eastAsia" w:cs="楷体_GB2312" w:asciiTheme="minorEastAsia" w:hAnsiTheme="minorEastAsia" w:eastAsiaTheme="minorEastAsia"/>
          <w:sz w:val="32"/>
          <w:lang w:val="en-US" w:eastAsia="zh-CN"/>
        </w:rPr>
        <w:t>9</w:t>
      </w:r>
      <w:r>
        <w:rPr>
          <w:rFonts w:hint="eastAsia" w:asciiTheme="minorEastAsia" w:hAnsiTheme="minorEastAsia" w:eastAsiaTheme="minorEastAsia"/>
          <w:sz w:val="32"/>
        </w:rPr>
        <w:t>月</w:t>
      </w:r>
    </w:p>
    <w:p w14:paraId="490B7776">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14:paraId="5512838B">
      <w:pPr>
        <w:ind w:left="1470"/>
        <w:jc w:val="left"/>
        <w:rPr>
          <w:rFonts w:asciiTheme="minorEastAsia" w:hAnsiTheme="minorEastAsia" w:eastAsiaTheme="minorEastAsia"/>
          <w:sz w:val="44"/>
        </w:rPr>
      </w:pPr>
    </w:p>
    <w:p w14:paraId="5FA3B5CB">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14:paraId="5E1953E3">
      <w:pPr>
        <w:jc w:val="left"/>
        <w:rPr>
          <w:rFonts w:asciiTheme="minorEastAsia" w:hAnsiTheme="minorEastAsia" w:eastAsiaTheme="minorEastAsia"/>
          <w:b/>
          <w:sz w:val="32"/>
        </w:rPr>
      </w:pPr>
    </w:p>
    <w:p w14:paraId="2F177918">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14:paraId="6CE989D0">
      <w:pPr>
        <w:ind w:left="1470"/>
        <w:jc w:val="left"/>
        <w:rPr>
          <w:rFonts w:asciiTheme="minorEastAsia" w:hAnsiTheme="minorEastAsia" w:eastAsiaTheme="minorEastAsia"/>
          <w:b/>
          <w:sz w:val="32"/>
        </w:rPr>
      </w:pPr>
    </w:p>
    <w:p w14:paraId="61ED433F">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14:paraId="0D700433">
      <w:pPr>
        <w:pStyle w:val="2"/>
        <w:rPr>
          <w:rFonts w:asciiTheme="minorEastAsia" w:hAnsiTheme="minorEastAsia" w:eastAsiaTheme="minorEastAsia"/>
          <w:b/>
        </w:rPr>
      </w:pPr>
    </w:p>
    <w:p w14:paraId="4FBBD1A3">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14:paraId="6EEA9584">
      <w:pPr>
        <w:ind w:left="1470"/>
        <w:jc w:val="left"/>
        <w:rPr>
          <w:rFonts w:asciiTheme="minorEastAsia" w:hAnsiTheme="minorEastAsia" w:eastAsiaTheme="minorEastAsia"/>
          <w:b/>
          <w:sz w:val="32"/>
        </w:rPr>
      </w:pPr>
    </w:p>
    <w:p w14:paraId="767642E0">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14:paraId="18C2F7CD">
      <w:pPr>
        <w:jc w:val="left"/>
        <w:rPr>
          <w:rFonts w:asciiTheme="minorEastAsia" w:hAnsiTheme="minorEastAsia" w:eastAsiaTheme="minorEastAsia"/>
          <w:b/>
          <w:sz w:val="32"/>
        </w:rPr>
      </w:pPr>
    </w:p>
    <w:p w14:paraId="565D0AF5">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14:paraId="6FF2016A">
      <w:pPr>
        <w:pStyle w:val="145"/>
      </w:pPr>
      <w:bookmarkStart w:id="0" w:name="_Toc175644384"/>
      <w:bookmarkStart w:id="1" w:name="_Toc352669156"/>
      <w:r>
        <w:rPr>
          <w:rFonts w:hint="eastAsia"/>
        </w:rPr>
        <w:t>询比邀请</w:t>
      </w:r>
      <w:bookmarkEnd w:id="0"/>
      <w:bookmarkEnd w:id="1"/>
    </w:p>
    <w:p w14:paraId="0C438D25">
      <w:pPr>
        <w:pStyle w:val="2"/>
      </w:pPr>
    </w:p>
    <w:p w14:paraId="36855337">
      <w:pPr>
        <w:spacing w:line="460" w:lineRule="exact"/>
        <w:ind w:firstLine="540" w:firstLineChars="225"/>
        <w:rPr>
          <w:rFonts w:ascii="宋体" w:hAnsi="宋体"/>
          <w:sz w:val="24"/>
        </w:rPr>
      </w:pPr>
      <w:r>
        <w:rPr>
          <w:rFonts w:hint="eastAsia" w:ascii="宋体" w:hAnsi="宋体"/>
          <w:sz w:val="24"/>
          <w:u w:val="single"/>
        </w:rPr>
        <w:t>广州医科大学附属番禺中心医院</w:t>
      </w:r>
      <w:r>
        <w:rPr>
          <w:rFonts w:hint="eastAsia" w:ascii="宋体" w:hAnsi="宋体"/>
          <w:sz w:val="24"/>
        </w:rPr>
        <w:t>就广州医科大学附属番禺中心医院肌电图机采购项目（询比编号：CG-XBLX-202609-01）进行院内询比，邀请合格的国内供应商参加。</w:t>
      </w:r>
    </w:p>
    <w:p w14:paraId="6647A635">
      <w:pPr>
        <w:widowControl/>
        <w:spacing w:line="460" w:lineRule="exact"/>
        <w:ind w:left="560"/>
        <w:rPr>
          <w:rFonts w:ascii="宋体" w:hAnsi="宋体"/>
          <w:b/>
          <w:sz w:val="24"/>
        </w:rPr>
      </w:pPr>
      <w:r>
        <w:rPr>
          <w:rFonts w:hint="eastAsia" w:ascii="宋体" w:hAnsi="宋体"/>
          <w:b/>
          <w:sz w:val="24"/>
        </w:rPr>
        <w:t>一、询比项目简介</w:t>
      </w:r>
    </w:p>
    <w:p w14:paraId="5AFB1CFE">
      <w:pPr>
        <w:widowControl/>
        <w:numPr>
          <w:ilvl w:val="1"/>
          <w:numId w:val="2"/>
        </w:numPr>
        <w:spacing w:line="460" w:lineRule="exact"/>
        <w:ind w:left="0" w:firstLine="425"/>
        <w:rPr>
          <w:rFonts w:ascii="宋体" w:hAnsi="宋体"/>
          <w:sz w:val="24"/>
        </w:rPr>
      </w:pPr>
      <w:r>
        <w:rPr>
          <w:rFonts w:hint="eastAsia" w:ascii="宋体" w:hAnsi="宋体" w:cs="Arial"/>
          <w:sz w:val="24"/>
        </w:rPr>
        <w:t>项目名称：广州医科大学附属番禺中心医院</w:t>
      </w:r>
      <w:r>
        <w:rPr>
          <w:rFonts w:hint="eastAsia" w:ascii="宋体" w:hAnsi="宋体"/>
          <w:sz w:val="24"/>
          <w:u w:val="single"/>
        </w:rPr>
        <w:t>肌电图机采购项目（询比编号：</w:t>
      </w:r>
      <w:r>
        <w:rPr>
          <w:rStyle w:val="44"/>
          <w:rFonts w:hint="eastAsia"/>
        </w:rPr>
        <w:t>CG-XBLX-202609-01</w:t>
      </w:r>
      <w:r>
        <w:rPr>
          <w:rFonts w:hint="eastAsia" w:ascii="宋体" w:hAnsi="宋体"/>
          <w:sz w:val="24"/>
          <w:u w:val="single"/>
        </w:rPr>
        <w:t>）</w:t>
      </w:r>
    </w:p>
    <w:p w14:paraId="0B645ABF">
      <w:pPr>
        <w:widowControl/>
        <w:numPr>
          <w:ilvl w:val="1"/>
          <w:numId w:val="2"/>
        </w:numPr>
        <w:spacing w:line="460" w:lineRule="exact"/>
        <w:ind w:left="0" w:firstLine="425"/>
        <w:rPr>
          <w:rFonts w:ascii="宋体" w:hAnsi="宋体"/>
          <w:sz w:val="24"/>
        </w:rPr>
      </w:pPr>
      <w:r>
        <w:rPr>
          <w:rFonts w:hint="eastAsia" w:ascii="宋体" w:hAnsi="宋体" w:cs="Arial"/>
          <w:sz w:val="24"/>
        </w:rPr>
        <w:t>项目类别：货物类</w:t>
      </w:r>
    </w:p>
    <w:p w14:paraId="7A389C3E">
      <w:pPr>
        <w:widowControl/>
        <w:numPr>
          <w:ilvl w:val="1"/>
          <w:numId w:val="2"/>
        </w:numPr>
        <w:spacing w:line="460" w:lineRule="exact"/>
        <w:ind w:left="0" w:firstLine="425"/>
        <w:rPr>
          <w:rFonts w:ascii="宋体" w:hAnsi="宋体" w:cstheme="minorEastAsia"/>
          <w:bCs/>
          <w:kern w:val="0"/>
          <w:sz w:val="24"/>
        </w:rPr>
      </w:pPr>
      <w:r>
        <w:rPr>
          <w:rFonts w:hint="eastAsia" w:ascii="宋体" w:hAnsi="宋体" w:cs="Arial"/>
          <w:sz w:val="24"/>
        </w:rPr>
        <w:t>服务期：</w:t>
      </w:r>
      <w:r>
        <w:rPr>
          <w:rFonts w:hint="eastAsia" w:ascii="宋体" w:hAnsi="宋体" w:cstheme="minorEastAsia"/>
          <w:bCs/>
          <w:kern w:val="0"/>
          <w:sz w:val="24"/>
        </w:rPr>
        <w:t>签订合同后30个自然日内。</w:t>
      </w:r>
    </w:p>
    <w:p w14:paraId="6510620A">
      <w:pPr>
        <w:widowControl/>
        <w:numPr>
          <w:ilvl w:val="1"/>
          <w:numId w:val="2"/>
        </w:numPr>
        <w:spacing w:line="460" w:lineRule="exact"/>
        <w:ind w:left="0" w:firstLine="425"/>
        <w:rPr>
          <w:rFonts w:ascii="宋体" w:hAnsi="宋体"/>
          <w:sz w:val="24"/>
        </w:rPr>
      </w:pPr>
      <w:r>
        <w:rPr>
          <w:rFonts w:hint="eastAsia" w:ascii="宋体" w:hAnsi="宋体"/>
          <w:sz w:val="24"/>
        </w:rPr>
        <w:t>最高</w:t>
      </w:r>
      <w:r>
        <w:rPr>
          <w:rFonts w:hint="eastAsia" w:ascii="宋体" w:hAnsi="宋体" w:cs="Arial"/>
          <w:sz w:val="24"/>
        </w:rPr>
        <w:t>采购</w:t>
      </w:r>
      <w:r>
        <w:rPr>
          <w:rFonts w:hint="eastAsia" w:ascii="宋体" w:hAnsi="宋体"/>
          <w:sz w:val="24"/>
        </w:rPr>
        <w:t>限价：不高于人民币</w:t>
      </w:r>
      <w:r>
        <w:rPr>
          <w:rFonts w:ascii="宋体" w:hAnsi="宋体"/>
          <w:sz w:val="24"/>
        </w:rPr>
        <w:t>418,600.00</w:t>
      </w:r>
      <w:r>
        <w:rPr>
          <w:rFonts w:hint="eastAsia" w:ascii="宋体" w:hAnsi="宋体"/>
          <w:sz w:val="24"/>
        </w:rPr>
        <w:t>元（含税）。</w:t>
      </w:r>
    </w:p>
    <w:p w14:paraId="1E50FBE5">
      <w:pPr>
        <w:widowControl/>
        <w:numPr>
          <w:ilvl w:val="1"/>
          <w:numId w:val="2"/>
        </w:numPr>
        <w:spacing w:line="460" w:lineRule="exact"/>
        <w:ind w:left="0" w:firstLine="425"/>
        <w:rPr>
          <w:rFonts w:ascii="宋体" w:hAnsi="宋体"/>
          <w:b/>
          <w:sz w:val="24"/>
        </w:rPr>
      </w:pPr>
      <w:r>
        <w:rPr>
          <w:rFonts w:hint="eastAsia" w:ascii="宋体" w:hAnsi="宋体"/>
          <w:sz w:val="24"/>
        </w:rPr>
        <w:t>评审方法：</w:t>
      </w:r>
      <w:r>
        <w:rPr>
          <w:rFonts w:hint="eastAsia" w:ascii="宋体" w:hAnsi="宋体"/>
          <w:b/>
          <w:sz w:val="24"/>
        </w:rPr>
        <w:t>综合评分最高者为成交候选人。如出现符合资格条件的响应供应商或者对询比文件作实质响应的有效响应供应商不足三家的情况将作废处理。</w:t>
      </w:r>
    </w:p>
    <w:p w14:paraId="2C024211">
      <w:pPr>
        <w:widowControl/>
        <w:numPr>
          <w:ilvl w:val="1"/>
          <w:numId w:val="2"/>
        </w:numPr>
        <w:spacing w:line="460" w:lineRule="exact"/>
        <w:ind w:left="0" w:firstLine="425"/>
        <w:rPr>
          <w:rFonts w:ascii="宋体" w:hAnsi="宋体"/>
          <w:sz w:val="24"/>
        </w:rPr>
      </w:pPr>
      <w:r>
        <w:rPr>
          <w:rFonts w:hint="eastAsia" w:ascii="宋体" w:hAnsi="宋体"/>
          <w:sz w:val="24"/>
        </w:rPr>
        <w:t>资金来源：自筹资金</w:t>
      </w:r>
    </w:p>
    <w:p w14:paraId="1108EE2E">
      <w:pPr>
        <w:widowControl/>
        <w:spacing w:line="460" w:lineRule="exact"/>
        <w:ind w:left="560"/>
        <w:rPr>
          <w:rFonts w:ascii="宋体" w:hAnsi="宋体"/>
          <w:b/>
          <w:sz w:val="24"/>
        </w:rPr>
      </w:pPr>
      <w:r>
        <w:rPr>
          <w:rFonts w:hint="eastAsia" w:ascii="宋体" w:hAnsi="宋体"/>
          <w:b/>
          <w:sz w:val="24"/>
        </w:rPr>
        <w:t>二、响应供应商资格要求</w:t>
      </w:r>
    </w:p>
    <w:p w14:paraId="0BC7D44F">
      <w:pPr>
        <w:spacing w:line="360" w:lineRule="auto"/>
        <w:ind w:firstLine="720" w:firstLineChars="300"/>
        <w:rPr>
          <w:rFonts w:ascii="宋体" w:hAnsi="宋体"/>
          <w:sz w:val="24"/>
        </w:rPr>
      </w:pPr>
      <w:r>
        <w:rPr>
          <w:rFonts w:hint="eastAsia" w:ascii="宋体" w:hAnsi="宋体"/>
          <w:sz w:val="24"/>
        </w:rPr>
        <w:t>（一）响应供应商须为在中华人民共和国境内注册且具有独立法人资格单位或有营业执照。</w:t>
      </w:r>
    </w:p>
    <w:p w14:paraId="4FC2A745">
      <w:pPr>
        <w:spacing w:line="360" w:lineRule="auto"/>
        <w:ind w:firstLine="720" w:firstLineChars="300"/>
        <w:rPr>
          <w:rFonts w:ascii="宋体" w:hAnsi="宋体"/>
          <w:sz w:val="24"/>
        </w:rPr>
      </w:pPr>
      <w:r>
        <w:rPr>
          <w:rFonts w:hint="eastAsia" w:ascii="宋体" w:hAnsi="宋体"/>
          <w:sz w:val="24"/>
        </w:rPr>
        <w:t>（二）如响应供应商为所投产品的生产企业：所投产品为第二、三类医疗器械，提供监督管理部门签发的有效的《医疗器械生产许可证》复印件（如国家另有规定，则适用其规定）；如响应供应商为经营企业：所投产品为第三类医疗器械，提供监督管理部门签发的有效的《医疗器械经营许可证》复印件（如国家另有规定，则适用其规定）。</w:t>
      </w:r>
    </w:p>
    <w:p w14:paraId="0E758893">
      <w:pPr>
        <w:spacing w:line="360" w:lineRule="auto"/>
        <w:ind w:firstLine="720" w:firstLineChars="300"/>
        <w:rPr>
          <w:rFonts w:ascii="宋体" w:hAnsi="宋体"/>
          <w:sz w:val="24"/>
        </w:rPr>
      </w:pPr>
      <w:r>
        <w:rPr>
          <w:rFonts w:hint="eastAsia" w:ascii="宋体" w:hAnsi="宋体"/>
          <w:sz w:val="24"/>
        </w:rPr>
        <w:t>（三）</w:t>
      </w:r>
      <w:r>
        <w:rPr>
          <w:rFonts w:ascii="宋体" w:hAnsi="宋体"/>
          <w:sz w:val="24"/>
        </w:rPr>
        <w:t>本项目不接受联合体投标，不允许响应供应商对本采购货物及其相关服务进行分包和转包。</w:t>
      </w:r>
    </w:p>
    <w:p w14:paraId="050A88E7">
      <w:pPr>
        <w:widowControl/>
        <w:spacing w:line="460" w:lineRule="exact"/>
        <w:ind w:left="560"/>
        <w:rPr>
          <w:rFonts w:ascii="宋体" w:hAnsi="宋体"/>
          <w:b/>
          <w:sz w:val="24"/>
        </w:rPr>
      </w:pPr>
      <w:r>
        <w:rPr>
          <w:rFonts w:hint="eastAsia" w:ascii="宋体" w:hAnsi="宋体"/>
          <w:b/>
          <w:sz w:val="24"/>
        </w:rPr>
        <w:t>三、询比文件取得的时间、方式及询比文件售价</w:t>
      </w:r>
    </w:p>
    <w:p w14:paraId="794AAD7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（一）采购人通过</w:t>
      </w:r>
      <w:r>
        <w:rPr>
          <w:rFonts w:hint="default" w:asciiTheme="minorEastAsia" w:hAnsiTheme="minorEastAsia" w:eastAsiaTheme="minorEastAsia"/>
          <w:sz w:val="24"/>
        </w:rPr>
        <w:t>挂网</w:t>
      </w:r>
      <w:r>
        <w:rPr>
          <w:rFonts w:hint="eastAsia" w:asciiTheme="minorEastAsia" w:hAnsiTheme="minorEastAsia" w:eastAsiaTheme="minorEastAsia"/>
          <w:sz w:val="24"/>
        </w:rPr>
        <w:t>询比</w:t>
      </w:r>
      <w:r>
        <w:rPr>
          <w:rFonts w:hint="default" w:asciiTheme="minorEastAsia" w:hAnsiTheme="minorEastAsia" w:eastAsiaTheme="minorEastAsia"/>
          <w:sz w:val="24"/>
        </w:rPr>
        <w:t>方式进行</w:t>
      </w:r>
      <w:r>
        <w:rPr>
          <w:rFonts w:hint="eastAsia" w:asciiTheme="minorEastAsia" w:hAnsiTheme="minorEastAsia" w:eastAsiaTheme="minorEastAsia"/>
          <w:sz w:val="24"/>
        </w:rPr>
        <w:t>，时间</w:t>
      </w:r>
      <w:r>
        <w:rPr>
          <w:rFonts w:asciiTheme="minorEastAsia" w:hAnsiTheme="minorEastAsia" w:eastAsiaTheme="minorEastAsia"/>
          <w:sz w:val="24"/>
        </w:rPr>
        <w:t>:</w:t>
      </w:r>
      <w:r>
        <w:rPr>
          <w:rFonts w:hint="eastAsia" w:asciiTheme="minorEastAsia" w:hAnsiTheme="minorEastAsia" w:eastAsiaTheme="minorEastAsia"/>
          <w:sz w:val="24"/>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9</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30</w:t>
      </w:r>
      <w:r>
        <w:rPr>
          <w:rFonts w:hint="eastAsia" w:asciiTheme="minorEastAsia" w:hAnsiTheme="minorEastAsia" w:eastAsiaTheme="minorEastAsia"/>
          <w:sz w:val="24"/>
        </w:rPr>
        <w:t>日</w:t>
      </w:r>
    </w:p>
    <w:p w14:paraId="48DD757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14:paraId="3382A77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（三）询比文件工本费：人民币 0元/套。</w:t>
      </w:r>
    </w:p>
    <w:p w14:paraId="5A7ACCE3">
      <w:pPr>
        <w:widowControl/>
        <w:spacing w:line="460" w:lineRule="exact"/>
        <w:ind w:left="560"/>
        <w:rPr>
          <w:rFonts w:ascii="宋体" w:hAnsi="宋体"/>
          <w:b/>
          <w:sz w:val="24"/>
        </w:rPr>
      </w:pPr>
      <w:r>
        <w:rPr>
          <w:rFonts w:hint="eastAsia" w:ascii="宋体" w:hAnsi="宋体"/>
          <w:b/>
          <w:sz w:val="24"/>
        </w:rPr>
        <w:t>四、递交响应文件时间、截止及开标时间、开标地点</w:t>
      </w:r>
    </w:p>
    <w:p w14:paraId="24179C11">
      <w:pPr>
        <w:widowControl/>
        <w:spacing w:line="460" w:lineRule="exact"/>
        <w:ind w:firstLine="480" w:firstLineChars="200"/>
        <w:rPr>
          <w:rFonts w:hint="eastAsia" w:ascii="宋体" w:hAnsi="宋体" w:eastAsia="宋体"/>
          <w:sz w:val="24"/>
          <w:lang w:eastAsia="zh-CN"/>
        </w:rPr>
      </w:pPr>
      <w:r>
        <w:rPr>
          <w:rFonts w:hint="eastAsia" w:ascii="宋体" w:hAnsi="宋体"/>
          <w:sz w:val="24"/>
        </w:rPr>
        <w:t>（一）</w:t>
      </w:r>
      <w:r>
        <w:rPr>
          <w:rFonts w:hint="eastAsia" w:ascii="宋体" w:hAnsi="宋体"/>
          <w:b/>
          <w:bCs/>
          <w:sz w:val="24"/>
          <w:lang w:eastAsia="zh-CN"/>
        </w:rPr>
        <w:t>报名时间：</w:t>
      </w:r>
      <w:r>
        <w:rPr>
          <w:rFonts w:hint="eastAsia" w:ascii="宋体" w:hAnsi="宋体"/>
          <w:sz w:val="24"/>
        </w:rPr>
        <w:t>2026年10月12日17时00分前</w:t>
      </w:r>
    </w:p>
    <w:p w14:paraId="5A5FF924">
      <w:pPr>
        <w:widowControl/>
        <w:spacing w:line="460" w:lineRule="exact"/>
        <w:ind w:firstLine="480" w:firstLineChars="200"/>
        <w:rPr>
          <w:rFonts w:hint="default" w:ascii="宋体" w:hAnsi="宋体"/>
          <w:color w:val="FF0000"/>
          <w:sz w:val="24"/>
          <w:lang w:val="en-US"/>
        </w:rPr>
      </w:pPr>
      <w:r>
        <w:rPr>
          <w:rFonts w:hint="eastAsia" w:ascii="宋体" w:hAnsi="宋体"/>
          <w:sz w:val="24"/>
          <w:lang w:eastAsia="zh-CN"/>
        </w:rPr>
        <w:t>（二）</w:t>
      </w:r>
      <w:r>
        <w:rPr>
          <w:rFonts w:hint="eastAsia" w:ascii="宋体" w:hAnsi="宋体"/>
          <w:b/>
          <w:sz w:val="24"/>
        </w:rPr>
        <w:t>递交响应文件时间：</w:t>
      </w:r>
      <w:r>
        <w:rPr>
          <w:rFonts w:hint="eastAsia" w:ascii="宋体" w:hAnsi="宋体"/>
          <w:color w:val="FF0000"/>
          <w:sz w:val="24"/>
          <w:lang w:val="en-US" w:eastAsia="zh-CN"/>
        </w:rPr>
        <w:t>2026</w:t>
      </w:r>
      <w:r>
        <w:rPr>
          <w:rFonts w:hint="eastAsia" w:ascii="宋体" w:hAnsi="宋体"/>
          <w:color w:val="FF0000"/>
          <w:sz w:val="24"/>
        </w:rPr>
        <w:t>年</w:t>
      </w:r>
      <w:r>
        <w:rPr>
          <w:rFonts w:hint="eastAsia" w:ascii="宋体" w:hAnsi="宋体"/>
          <w:color w:val="FF0000"/>
          <w:sz w:val="24"/>
          <w:lang w:val="en-US" w:eastAsia="zh-CN"/>
        </w:rPr>
        <w:t>10</w:t>
      </w:r>
      <w:r>
        <w:rPr>
          <w:rFonts w:ascii="宋体" w:hAnsi="宋体"/>
          <w:color w:val="FF0000"/>
          <w:sz w:val="24"/>
        </w:rPr>
        <w:t>月</w:t>
      </w:r>
      <w:r>
        <w:rPr>
          <w:rFonts w:hint="eastAsia" w:ascii="宋体" w:hAnsi="宋体"/>
          <w:color w:val="FF0000"/>
          <w:sz w:val="24"/>
          <w:lang w:val="en-US" w:eastAsia="zh-CN"/>
        </w:rPr>
        <w:t>14</w:t>
      </w:r>
      <w:r>
        <w:rPr>
          <w:rFonts w:hint="eastAsia" w:ascii="宋体" w:hAnsi="宋体"/>
          <w:color w:val="FF0000"/>
          <w:sz w:val="24"/>
        </w:rPr>
        <w:t xml:space="preserve"> 日</w:t>
      </w:r>
      <w:r>
        <w:rPr>
          <w:rFonts w:hint="eastAsia" w:ascii="宋体" w:hAnsi="宋体"/>
          <w:color w:val="FF0000"/>
          <w:sz w:val="24"/>
          <w:lang w:val="en-US" w:eastAsia="zh-CN"/>
        </w:rPr>
        <w:t>9:00</w:t>
      </w:r>
      <w:r>
        <w:rPr>
          <w:rFonts w:ascii="宋体" w:hAnsi="宋体"/>
          <w:color w:val="FF0000"/>
          <w:sz w:val="24"/>
        </w:rPr>
        <w:t>—</w:t>
      </w:r>
      <w:r>
        <w:rPr>
          <w:rFonts w:hint="eastAsia" w:ascii="宋体" w:hAnsi="宋体"/>
          <w:color w:val="FF0000"/>
          <w:sz w:val="24"/>
          <w:lang w:val="en-US" w:eastAsia="zh-CN"/>
        </w:rPr>
        <w:t>9:30</w:t>
      </w:r>
    </w:p>
    <w:p w14:paraId="5B6DADF5">
      <w:pPr>
        <w:widowControl/>
        <w:spacing w:line="460" w:lineRule="exact"/>
        <w:ind w:firstLine="480" w:firstLineChars="200"/>
        <w:rPr>
          <w:rFonts w:ascii="宋体" w:hAnsi="宋体"/>
          <w:color w:val="FF0000"/>
          <w:sz w:val="24"/>
        </w:rPr>
      </w:pPr>
      <w:r>
        <w:rPr>
          <w:rFonts w:hint="eastAsia" w:ascii="宋体" w:hAnsi="宋体"/>
          <w:sz w:val="24"/>
        </w:rPr>
        <w:t>（</w:t>
      </w:r>
      <w:r>
        <w:rPr>
          <w:rFonts w:hint="eastAsia" w:ascii="宋体" w:hAnsi="宋体"/>
          <w:sz w:val="24"/>
          <w:lang w:eastAsia="zh-CN"/>
        </w:rPr>
        <w:t>三</w:t>
      </w:r>
      <w:r>
        <w:rPr>
          <w:rFonts w:hint="eastAsia" w:ascii="宋体" w:hAnsi="宋体"/>
          <w:sz w:val="24"/>
        </w:rPr>
        <w:t>）</w:t>
      </w:r>
      <w:r>
        <w:rPr>
          <w:rFonts w:hint="eastAsia" w:ascii="宋体" w:hAnsi="宋体"/>
          <w:b/>
          <w:sz w:val="24"/>
        </w:rPr>
        <w:t>询比截止及开标时间：</w:t>
      </w:r>
      <w:r>
        <w:rPr>
          <w:rFonts w:hint="eastAsia" w:ascii="宋体" w:hAnsi="宋体" w:cs="Arial"/>
          <w:color w:val="FF0000"/>
          <w:sz w:val="24"/>
          <w:lang w:val="en-US" w:eastAsia="zh-CN"/>
        </w:rPr>
        <w:t>2026</w:t>
      </w:r>
      <w:r>
        <w:rPr>
          <w:rFonts w:hint="eastAsia" w:ascii="宋体" w:hAnsi="宋体" w:cs="Arial"/>
          <w:color w:val="FF0000"/>
          <w:sz w:val="24"/>
        </w:rPr>
        <w:t>年</w:t>
      </w:r>
      <w:r>
        <w:rPr>
          <w:rFonts w:hint="eastAsia" w:ascii="宋体" w:hAnsi="宋体" w:cs="Arial"/>
          <w:color w:val="FF0000"/>
          <w:sz w:val="24"/>
          <w:lang w:val="en-US" w:eastAsia="zh-CN"/>
        </w:rPr>
        <w:t>10</w:t>
      </w:r>
      <w:r>
        <w:rPr>
          <w:rFonts w:hint="eastAsia" w:ascii="宋体" w:hAnsi="宋体"/>
          <w:color w:val="FF0000"/>
          <w:sz w:val="24"/>
        </w:rPr>
        <w:t>月</w:t>
      </w:r>
      <w:r>
        <w:rPr>
          <w:rFonts w:hint="eastAsia" w:ascii="宋体" w:hAnsi="宋体"/>
          <w:color w:val="FF0000"/>
          <w:sz w:val="24"/>
          <w:lang w:val="en-US" w:eastAsia="zh-CN"/>
        </w:rPr>
        <w:t>14</w:t>
      </w:r>
      <w:r>
        <w:rPr>
          <w:rFonts w:ascii="宋体" w:hAnsi="宋体"/>
          <w:color w:val="FF0000"/>
          <w:sz w:val="24"/>
        </w:rPr>
        <w:t xml:space="preserve"> </w:t>
      </w:r>
      <w:r>
        <w:rPr>
          <w:rFonts w:hint="eastAsia" w:ascii="宋体" w:hAnsi="宋体"/>
          <w:color w:val="FF0000"/>
          <w:sz w:val="24"/>
        </w:rPr>
        <w:t>日</w:t>
      </w:r>
      <w:r>
        <w:rPr>
          <w:rFonts w:hint="eastAsia" w:ascii="宋体" w:hAnsi="宋体"/>
          <w:color w:val="FF0000"/>
          <w:sz w:val="24"/>
          <w:lang w:val="en-US" w:eastAsia="zh-CN"/>
        </w:rPr>
        <w:t>9</w:t>
      </w:r>
      <w:r>
        <w:rPr>
          <w:rFonts w:ascii="宋体" w:hAnsi="宋体"/>
          <w:color w:val="FF0000"/>
          <w:sz w:val="24"/>
        </w:rPr>
        <w:t>:</w:t>
      </w:r>
      <w:r>
        <w:rPr>
          <w:rFonts w:hint="eastAsia" w:ascii="宋体" w:hAnsi="宋体"/>
          <w:color w:val="FF0000"/>
          <w:sz w:val="24"/>
          <w:lang w:val="en-US" w:eastAsia="zh-CN"/>
        </w:rPr>
        <w:t>30</w:t>
      </w:r>
    </w:p>
    <w:p w14:paraId="5403AD33">
      <w:pPr>
        <w:widowControl/>
        <w:spacing w:line="460" w:lineRule="exact"/>
        <w:ind w:firstLine="480" w:firstLineChars="200"/>
        <w:rPr>
          <w:rFonts w:ascii="宋体" w:hAnsi="宋体"/>
          <w:color w:val="FF0000"/>
          <w:sz w:val="24"/>
        </w:rPr>
      </w:pPr>
      <w:r>
        <w:rPr>
          <w:rFonts w:hint="eastAsia" w:ascii="宋体" w:hAnsi="宋体"/>
          <w:sz w:val="24"/>
        </w:rPr>
        <w:t>（</w:t>
      </w:r>
      <w:r>
        <w:rPr>
          <w:rFonts w:hint="eastAsia" w:ascii="宋体" w:hAnsi="宋体"/>
          <w:sz w:val="24"/>
          <w:lang w:eastAsia="zh-CN"/>
        </w:rPr>
        <w:t>四</w:t>
      </w:r>
      <w:r>
        <w:rPr>
          <w:rFonts w:hint="eastAsia" w:ascii="宋体" w:hAnsi="宋体"/>
          <w:sz w:val="24"/>
        </w:rPr>
        <w:t>）</w:t>
      </w:r>
      <w:r>
        <w:rPr>
          <w:rFonts w:hint="eastAsia" w:ascii="宋体" w:hAnsi="宋体"/>
          <w:b/>
          <w:sz w:val="24"/>
        </w:rPr>
        <w:t>开标地点:</w:t>
      </w:r>
      <w:r>
        <w:rPr>
          <w:rFonts w:hint="eastAsia" w:ascii="宋体" w:hAnsi="宋体"/>
          <w:color w:val="FF0000"/>
          <w:sz w:val="24"/>
        </w:rPr>
        <w:t>广州医科大学附属番禺中心医院门诊楼</w:t>
      </w:r>
      <w:r>
        <w:rPr>
          <w:rFonts w:ascii="宋体" w:hAnsi="宋体"/>
          <w:color w:val="FF0000"/>
          <w:sz w:val="24"/>
        </w:rPr>
        <w:t>4楼</w:t>
      </w:r>
      <w:r>
        <w:rPr>
          <w:rFonts w:hint="eastAsia" w:ascii="宋体" w:hAnsi="宋体"/>
          <w:color w:val="FF0000"/>
          <w:sz w:val="24"/>
          <w:lang w:val="en-US" w:eastAsia="zh-CN"/>
        </w:rPr>
        <w:t>405</w:t>
      </w:r>
    </w:p>
    <w:p w14:paraId="539A8519">
      <w:pPr>
        <w:widowControl/>
        <w:spacing w:line="460" w:lineRule="exact"/>
        <w:ind w:left="560"/>
        <w:rPr>
          <w:rFonts w:ascii="宋体" w:hAnsi="宋体"/>
          <w:b/>
          <w:sz w:val="24"/>
        </w:rPr>
      </w:pPr>
      <w:r>
        <w:rPr>
          <w:rFonts w:hint="eastAsia" w:ascii="宋体" w:hAnsi="宋体"/>
          <w:b/>
          <w:sz w:val="24"/>
        </w:rPr>
        <w:t>五、采购信息发布及结果公告</w:t>
      </w:r>
    </w:p>
    <w:p w14:paraId="41B639E5">
      <w:pPr>
        <w:spacing w:line="460" w:lineRule="exact"/>
        <w:ind w:left="569"/>
        <w:rPr>
          <w:rFonts w:ascii="宋体" w:hAnsi="宋体"/>
          <w:sz w:val="24"/>
        </w:rPr>
      </w:pPr>
      <w:r>
        <w:rPr>
          <w:rFonts w:hint="eastAsia" w:ascii="宋体" w:hAnsi="宋体"/>
          <w:sz w:val="24"/>
        </w:rPr>
        <w:t>采用</w:t>
      </w:r>
      <w:r>
        <w:rPr>
          <w:rFonts w:hint="default" w:ascii="宋体" w:hAnsi="宋体"/>
          <w:sz w:val="24"/>
        </w:rPr>
        <w:t>挂网</w:t>
      </w:r>
      <w:r>
        <w:rPr>
          <w:rFonts w:hint="eastAsia" w:ascii="宋体" w:hAnsi="宋体"/>
          <w:sz w:val="24"/>
        </w:rPr>
        <w:t>询比的方式进行，成交结果通过邮件形式告知。</w:t>
      </w:r>
    </w:p>
    <w:p w14:paraId="29E43B8B">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14:paraId="75E19523">
      <w:pPr>
        <w:widowControl/>
        <w:spacing w:line="460" w:lineRule="exact"/>
        <w:ind w:left="560"/>
        <w:rPr>
          <w:rFonts w:ascii="宋体" w:hAnsi="宋体"/>
          <w:b/>
          <w:sz w:val="24"/>
        </w:rPr>
      </w:pPr>
      <w:r>
        <w:rPr>
          <w:rFonts w:hint="eastAsia" w:ascii="宋体" w:hAnsi="宋体"/>
          <w:b/>
          <w:sz w:val="24"/>
        </w:rPr>
        <w:t>六、采购人的名称、地址和联系方式</w:t>
      </w:r>
    </w:p>
    <w:p w14:paraId="5E34472D">
      <w:pPr>
        <w:spacing w:line="460" w:lineRule="exact"/>
        <w:ind w:left="539" w:leftChars="257"/>
        <w:rPr>
          <w:rFonts w:ascii="宋体" w:hAnsi="宋体"/>
          <w:sz w:val="24"/>
        </w:rPr>
      </w:pPr>
      <w:r>
        <w:rPr>
          <w:rFonts w:hint="eastAsia" w:ascii="宋体" w:hAnsi="宋体"/>
          <w:sz w:val="24"/>
        </w:rPr>
        <w:t>采购人名称</w:t>
      </w:r>
      <w:r>
        <w:rPr>
          <w:rFonts w:hint="eastAsia" w:ascii="宋体" w:hAnsi="宋体" w:cs="Tahoma"/>
          <w:sz w:val="24"/>
        </w:rPr>
        <w:t>：</w:t>
      </w:r>
      <w:r>
        <w:rPr>
          <w:rFonts w:hint="eastAsia" w:ascii="宋体" w:hAnsi="宋体"/>
          <w:sz w:val="24"/>
        </w:rPr>
        <w:t>广州医科大学</w:t>
      </w:r>
      <w:r>
        <w:rPr>
          <w:rFonts w:ascii="宋体" w:hAnsi="宋体"/>
          <w:sz w:val="24"/>
        </w:rPr>
        <w:t>附属番禺中心医院</w:t>
      </w:r>
    </w:p>
    <w:p w14:paraId="55F126EB">
      <w:pPr>
        <w:spacing w:line="460" w:lineRule="exact"/>
        <w:ind w:left="539" w:leftChars="257"/>
        <w:rPr>
          <w:rFonts w:ascii="宋体" w:hAnsi="宋体" w:cs="Tahoma"/>
          <w:sz w:val="24"/>
        </w:rPr>
      </w:pPr>
      <w:r>
        <w:rPr>
          <w:rFonts w:hint="eastAsia" w:ascii="宋体" w:hAnsi="宋体"/>
          <w:sz w:val="24"/>
        </w:rPr>
        <w:t>采购人地址</w:t>
      </w:r>
      <w:r>
        <w:rPr>
          <w:rFonts w:hint="eastAsia" w:ascii="宋体" w:hAnsi="宋体" w:cs="Tahoma"/>
          <w:sz w:val="24"/>
        </w:rPr>
        <w:t>：广州市番禺区桥南街福愉东路8号</w:t>
      </w:r>
    </w:p>
    <w:p w14:paraId="4B8908BD">
      <w:pPr>
        <w:spacing w:line="460" w:lineRule="exact"/>
        <w:ind w:left="539" w:leftChars="257"/>
        <w:rPr>
          <w:rFonts w:ascii="宋体" w:hAnsi="宋体"/>
          <w:sz w:val="24"/>
        </w:rPr>
      </w:pPr>
      <w:r>
        <w:rPr>
          <w:rFonts w:hint="eastAsia" w:ascii="宋体" w:hAnsi="宋体"/>
          <w:sz w:val="24"/>
        </w:rPr>
        <w:t>联系人：李工  联系电话：020-34858</w:t>
      </w:r>
      <w:r>
        <w:rPr>
          <w:rFonts w:ascii="宋体" w:hAnsi="宋体"/>
          <w:sz w:val="24"/>
        </w:rPr>
        <w:t>891</w:t>
      </w:r>
    </w:p>
    <w:p w14:paraId="3DF27743">
      <w:pPr>
        <w:pStyle w:val="2"/>
      </w:pPr>
    </w:p>
    <w:p w14:paraId="73FADFC0">
      <w:pPr>
        <w:spacing w:line="312" w:lineRule="auto"/>
        <w:jc w:val="center"/>
        <w:outlineLvl w:val="0"/>
        <w:rPr>
          <w:rFonts w:asciiTheme="minorEastAsia" w:hAnsiTheme="minorEastAsia" w:eastAsiaTheme="minorEastAsia"/>
          <w:b/>
          <w:sz w:val="32"/>
        </w:rPr>
      </w:pPr>
      <w:r>
        <w:br w:type="page"/>
      </w: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14:paraId="3DD0C3A7">
      <w:pPr>
        <w:pStyle w:val="2"/>
      </w:pPr>
    </w:p>
    <w:p w14:paraId="3CDECDCD">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14:paraId="2BD619F8">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14:paraId="78DF83D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14:paraId="528D10B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（三）响应文件数量：正本1份，副本</w:t>
      </w:r>
      <w:r>
        <w:rPr>
          <w:rFonts w:asciiTheme="minorEastAsia" w:hAnsiTheme="minorEastAsia" w:eastAsiaTheme="minorEastAsia"/>
          <w:sz w:val="24"/>
        </w:rPr>
        <w:t>3</w:t>
      </w:r>
      <w:r>
        <w:rPr>
          <w:rFonts w:hint="eastAsia" w:asciiTheme="minorEastAsia" w:hAnsiTheme="minorEastAsia" w:eastAsiaTheme="minorEastAsia"/>
          <w:sz w:val="24"/>
        </w:rPr>
        <w:t>份。</w:t>
      </w:r>
    </w:p>
    <w:p w14:paraId="0732D16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14:paraId="06B9B3C7">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14:paraId="2F808E68">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14:paraId="1AAB036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14:paraId="4D8739C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（三）询比文件中，凡标有“★”的地方均为须实质响应条款，响应供应商若有一项带“★”的条款未响应或不满足，将按无效响应处理。</w:t>
      </w:r>
    </w:p>
    <w:p w14:paraId="5FE1294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14:paraId="536AF99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14:paraId="3B481178">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14:paraId="217E74F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14:paraId="42BA771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14:paraId="1854A43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14:paraId="61B3042E">
        <w:tblPrEx>
          <w:shd w:val="clear" w:color="auto" w:fill="E6E6E6"/>
          <w:tblCellMar>
            <w:top w:w="0" w:type="dxa"/>
            <w:left w:w="108" w:type="dxa"/>
            <w:bottom w:w="0" w:type="dxa"/>
            <w:right w:w="108" w:type="dxa"/>
          </w:tblCellMar>
        </w:tblPrEx>
        <w:trPr>
          <w:trHeight w:val="462" w:hRule="atLeast"/>
          <w:jc w:val="center"/>
        </w:trPr>
        <w:tc>
          <w:tcPr>
            <w:tcW w:w="7160" w:type="dxa"/>
            <w:shd w:val="clear" w:color="auto" w:fill="E6E6E6"/>
          </w:tcPr>
          <w:p w14:paraId="571933D0">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收件人：广州医科大学附属番禺中心医院</w:t>
            </w:r>
          </w:p>
          <w:p w14:paraId="4582DBE9">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广州医科大学附属番禺中心医院肌电图机采购项目（询比编号：CG-XBLX-202609-01）</w:t>
            </w:r>
          </w:p>
          <w:p w14:paraId="69176B8E">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响应供应商名称：</w:t>
            </w:r>
            <w:r>
              <w:rPr>
                <w:rFonts w:hint="eastAsia" w:asciiTheme="minorEastAsia" w:hAnsiTheme="minorEastAsia" w:eastAsiaTheme="minorEastAsia"/>
                <w:sz w:val="24"/>
                <w:lang w:val="en-US" w:eastAsia="zh-CN"/>
              </w:rPr>
              <w:t>XXX</w:t>
            </w:r>
          </w:p>
          <w:p w14:paraId="18AC8FDB">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14:paraId="17D85E91">
            <w:pPr>
              <w:pStyle w:val="2"/>
              <w:keepNext w:val="0"/>
              <w:keepLines w:val="0"/>
              <w:suppressLineNumbers w:val="0"/>
              <w:spacing w:before="0" w:beforeAutospacing="0" w:after="0" w:afterAutospacing="0"/>
              <w:ind w:left="0" w:right="0"/>
              <w:rPr>
                <w:rFonts w:hint="default" w:eastAsia="宋体"/>
                <w:lang w:val="en-US" w:eastAsia="zh-CN"/>
              </w:rPr>
            </w:pPr>
            <w:r>
              <w:rPr>
                <w:rStyle w:val="44"/>
                <w:rFonts w:hint="eastAsia" w:eastAsia="宋体"/>
                <w:lang w:val="en-US" w:eastAsia="zh-CN"/>
              </w:rPr>
              <w:t>XXX</w:t>
            </w:r>
          </w:p>
          <w:p w14:paraId="21D475CE">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在规定的开标时间</w:t>
            </w:r>
            <w:r>
              <w:rPr>
                <w:rFonts w:hint="eastAsia" w:asciiTheme="minorEastAsia" w:hAnsiTheme="minorEastAsia" w:eastAsiaTheme="minorEastAsia"/>
                <w:sz w:val="24"/>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10</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14</w:t>
            </w:r>
            <w:bookmarkStart w:id="10" w:name="_GoBack"/>
            <w:bookmarkEnd w:id="10"/>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15</w:t>
            </w:r>
            <w:r>
              <w:rPr>
                <w:rFonts w:hint="eastAsia" w:asciiTheme="minorEastAsia" w:hAnsiTheme="minorEastAsia" w:eastAsiaTheme="minorEastAsia"/>
                <w:sz w:val="24"/>
              </w:rPr>
              <w:t>时</w:t>
            </w:r>
            <w:r>
              <w:rPr>
                <w:rFonts w:hint="eastAsia" w:asciiTheme="minorEastAsia" w:hAnsiTheme="minorEastAsia" w:eastAsiaTheme="minorEastAsia"/>
                <w:sz w:val="24"/>
                <w:lang w:val="en-US" w:eastAsia="zh-CN"/>
              </w:rPr>
              <w:t>00</w:t>
            </w:r>
            <w:r>
              <w:rPr>
                <w:rFonts w:hint="eastAsia" w:asciiTheme="minorEastAsia" w:hAnsiTheme="minorEastAsia" w:eastAsiaTheme="minorEastAsia"/>
                <w:sz w:val="24"/>
              </w:rPr>
              <w:t>分前不得启封</w:t>
            </w:r>
          </w:p>
        </w:tc>
      </w:tr>
    </w:tbl>
    <w:p w14:paraId="5D581123">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14:paraId="36526A1A">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14:paraId="1A4FE49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14:paraId="321A679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14:paraId="178B7617">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14:paraId="4CD581EA">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14:paraId="5E8759B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14:paraId="4EEBB1BD">
      <w:pPr>
        <w:pStyle w:val="2"/>
        <w:spacing w:line="360" w:lineRule="auto"/>
      </w:pPr>
      <w:r>
        <w:rPr>
          <w:rFonts w:hint="eastAsia" w:asciiTheme="minorEastAsia" w:hAnsiTheme="minorEastAsia" w:eastAsiaTheme="minorEastAsia"/>
          <w:sz w:val="24"/>
          <w:szCs w:val="24"/>
        </w:rPr>
        <w:t>（三）响应</w:t>
      </w:r>
      <w:r>
        <w:rPr>
          <w:rFonts w:asciiTheme="minorEastAsia" w:hAnsiTheme="minorEastAsia" w:eastAsiaTheme="minorEastAsia"/>
          <w:sz w:val="24"/>
          <w:szCs w:val="24"/>
        </w:rPr>
        <w:t>供应商通过</w:t>
      </w:r>
      <w:r>
        <w:rPr>
          <w:rFonts w:hint="eastAsia" w:asciiTheme="minorEastAsia" w:hAnsiTheme="minorEastAsia" w:eastAsiaTheme="minorEastAsia"/>
          <w:sz w:val="24"/>
          <w:szCs w:val="24"/>
        </w:rPr>
        <w:t>U盘</w:t>
      </w:r>
      <w:r>
        <w:rPr>
          <w:rFonts w:asciiTheme="minorEastAsia" w:hAnsiTheme="minorEastAsia" w:eastAsiaTheme="minorEastAsia"/>
          <w:sz w:val="24"/>
          <w:szCs w:val="24"/>
        </w:rPr>
        <w:t>提供完成编制</w:t>
      </w:r>
      <w:r>
        <w:rPr>
          <w:rFonts w:hint="eastAsia" w:asciiTheme="minorEastAsia" w:hAnsiTheme="minorEastAsia" w:eastAsiaTheme="minorEastAsia"/>
          <w:sz w:val="24"/>
          <w:szCs w:val="24"/>
        </w:rPr>
        <w:t>并</w:t>
      </w:r>
      <w:r>
        <w:rPr>
          <w:rFonts w:asciiTheme="minorEastAsia" w:hAnsiTheme="minorEastAsia" w:eastAsiaTheme="minorEastAsia"/>
          <w:sz w:val="24"/>
          <w:szCs w:val="24"/>
        </w:rPr>
        <w:t>盖章的响应文件</w:t>
      </w:r>
      <w:r>
        <w:rPr>
          <w:rFonts w:hint="eastAsia" w:asciiTheme="minorEastAsia" w:hAnsiTheme="minorEastAsia" w:eastAsiaTheme="minorEastAsia"/>
          <w:sz w:val="24"/>
          <w:szCs w:val="24"/>
        </w:rPr>
        <w:t>的</w:t>
      </w:r>
      <w:r>
        <w:rPr>
          <w:rFonts w:asciiTheme="minorEastAsia" w:hAnsiTheme="minorEastAsia" w:eastAsiaTheme="minorEastAsia"/>
          <w:sz w:val="24"/>
          <w:szCs w:val="24"/>
        </w:rPr>
        <w:t>扫描件，采购人下载后返还</w:t>
      </w:r>
      <w:r>
        <w:rPr>
          <w:rFonts w:hint="eastAsia" w:asciiTheme="minorEastAsia" w:hAnsiTheme="minorEastAsia" w:eastAsiaTheme="minorEastAsia"/>
          <w:sz w:val="24"/>
          <w:szCs w:val="24"/>
        </w:rPr>
        <w:t>U盘</w:t>
      </w:r>
      <w:r>
        <w:rPr>
          <w:rFonts w:asciiTheme="minorEastAsia" w:hAnsiTheme="minorEastAsia" w:eastAsiaTheme="minorEastAsia"/>
          <w:sz w:val="24"/>
          <w:szCs w:val="24"/>
        </w:rPr>
        <w:t>。</w:t>
      </w:r>
    </w:p>
    <w:p w14:paraId="313CE157">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14:paraId="77F2FD9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14:paraId="1C3DEC2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14:paraId="4BD22BC7">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14:paraId="4B3548D8">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14:paraId="6A3C13A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14:paraId="789A3D71">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14:paraId="6C98387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本询比文件由广州医科大学附属番禺中心医院负责解释。</w:t>
      </w:r>
    </w:p>
    <w:p w14:paraId="6BED3E98">
      <w:pPr>
        <w:spacing w:before="156" w:beforeLines="50" w:line="360" w:lineRule="auto"/>
        <w:ind w:firstLine="480" w:firstLineChars="200"/>
        <w:rPr>
          <w:rFonts w:asciiTheme="minorEastAsia" w:hAnsiTheme="minorEastAsia" w:eastAsiaTheme="minorEastAsia"/>
          <w:sz w:val="24"/>
        </w:rPr>
      </w:pPr>
    </w:p>
    <w:p w14:paraId="2B1A4588">
      <w:pPr>
        <w:spacing w:line="312" w:lineRule="auto"/>
        <w:ind w:left="1320" w:firstLine="1760" w:firstLineChars="550"/>
        <w:outlineLvl w:val="0"/>
        <w:rPr>
          <w:rFonts w:asciiTheme="minorEastAsia" w:hAnsiTheme="minorEastAsia" w:eastAsiaTheme="minorEastAsia"/>
          <w:b/>
          <w:sz w:val="32"/>
        </w:rPr>
      </w:pPr>
      <w:bookmarkStart w:id="2" w:name="_Toc31398"/>
      <w:bookmarkStart w:id="3" w:name="_Toc386099823"/>
      <w:bookmarkStart w:id="4" w:name="_Toc384824324"/>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2"/>
      <w:bookmarkEnd w:id="3"/>
      <w:bookmarkEnd w:id="4"/>
    </w:p>
    <w:p w14:paraId="338167D7">
      <w:pPr>
        <w:widowControl/>
        <w:numPr>
          <w:ilvl w:val="255"/>
          <w:numId w:val="0"/>
        </w:numPr>
        <w:spacing w:line="360" w:lineRule="auto"/>
        <w:ind w:firstLine="420" w:firstLineChars="200"/>
        <w:jc w:val="left"/>
        <w:rPr>
          <w:rFonts w:asciiTheme="minorEastAsia" w:hAnsiTheme="minorEastAsia" w:eastAsiaTheme="minorEastAsia" w:cstheme="minorEastAsia"/>
          <w:bCs/>
          <w:color w:val="000000"/>
          <w:kern w:val="0"/>
          <w:szCs w:val="21"/>
        </w:rPr>
      </w:pPr>
    </w:p>
    <w:p w14:paraId="18606C5D">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一、项目名称：广州医科大学附属番禺中心医院肌电图机采购项目</w:t>
      </w:r>
    </w:p>
    <w:p w14:paraId="55A396A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二、设备采购预算及清单</w:t>
      </w:r>
    </w:p>
    <w:tbl>
      <w:tblPr>
        <w:tblStyle w:val="37"/>
        <w:tblW w:w="9568" w:type="dxa"/>
        <w:tblInd w:w="0" w:type="dxa"/>
        <w:tblLayout w:type="fixed"/>
        <w:tblCellMar>
          <w:top w:w="0" w:type="dxa"/>
          <w:left w:w="0" w:type="dxa"/>
          <w:bottom w:w="0" w:type="dxa"/>
          <w:right w:w="0" w:type="dxa"/>
        </w:tblCellMar>
      </w:tblPr>
      <w:tblGrid>
        <w:gridCol w:w="619"/>
        <w:gridCol w:w="1718"/>
        <w:gridCol w:w="1269"/>
        <w:gridCol w:w="1087"/>
        <w:gridCol w:w="1146"/>
        <w:gridCol w:w="791"/>
        <w:gridCol w:w="750"/>
        <w:gridCol w:w="832"/>
        <w:gridCol w:w="1301"/>
        <w:gridCol w:w="55"/>
      </w:tblGrid>
      <w:tr w14:paraId="15ED725A">
        <w:tblPrEx>
          <w:tblCellMar>
            <w:top w:w="0" w:type="dxa"/>
            <w:left w:w="0" w:type="dxa"/>
            <w:bottom w:w="0" w:type="dxa"/>
            <w:right w:w="0" w:type="dxa"/>
          </w:tblCellMar>
        </w:tblPrEx>
        <w:trPr>
          <w:trHeight w:val="945" w:hRule="atLeast"/>
        </w:trPr>
        <w:tc>
          <w:tcPr>
            <w:tcW w:w="6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5D4D79">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包组</w:t>
            </w:r>
          </w:p>
        </w:tc>
        <w:tc>
          <w:tcPr>
            <w:tcW w:w="17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2E3850">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设备名称</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5D84E1">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预算单价（元）</w:t>
            </w:r>
          </w:p>
        </w:tc>
        <w:tc>
          <w:tcPr>
            <w:tcW w:w="10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593312">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采购数量</w:t>
            </w:r>
          </w:p>
        </w:tc>
        <w:tc>
          <w:tcPr>
            <w:tcW w:w="114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9EC0F8">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拦标价（元）</w:t>
            </w:r>
          </w:p>
        </w:tc>
        <w:tc>
          <w:tcPr>
            <w:tcW w:w="7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EB82A3">
            <w:pPr>
              <w:keepNext w:val="0"/>
              <w:keepLines w:val="0"/>
              <w:widowControl/>
              <w:suppressLineNumbers w:val="0"/>
              <w:spacing w:before="0" w:beforeAutospacing="0" w:after="0" w:afterAutospacing="0"/>
              <w:ind w:left="0" w:right="0"/>
              <w:jc w:val="center"/>
              <w:textAlignment w:val="center"/>
              <w:rPr>
                <w:rFonts w:hint="default" w:ascii="宋体" w:hAnsi="宋体" w:cs="宋体"/>
                <w:b/>
                <w:color w:val="000000"/>
                <w:sz w:val="16"/>
                <w:szCs w:val="16"/>
              </w:rPr>
            </w:pPr>
            <w:r>
              <w:rPr>
                <w:rFonts w:hint="eastAsia" w:ascii="宋体" w:hAnsi="宋体" w:cs="宋体"/>
                <w:b/>
                <w:color w:val="000000"/>
                <w:kern w:val="0"/>
                <w:sz w:val="16"/>
                <w:szCs w:val="16"/>
                <w:lang w:bidi="ar"/>
              </w:rPr>
              <w:t>医疗器械类别</w:t>
            </w:r>
            <w:r>
              <w:rPr>
                <w:rFonts w:hint="default" w:ascii="宋体" w:hAnsi="宋体" w:cs="宋体"/>
                <w:b/>
                <w:color w:val="000000"/>
                <w:kern w:val="0"/>
                <w:sz w:val="16"/>
                <w:szCs w:val="16"/>
                <w:lang w:bidi="ar"/>
              </w:rPr>
              <w:t>（仅供参考）</w:t>
            </w:r>
          </w:p>
        </w:tc>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3986B0">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16"/>
                <w:szCs w:val="16"/>
              </w:rPr>
            </w:pPr>
            <w:r>
              <w:rPr>
                <w:rFonts w:hint="eastAsia" w:ascii="宋体" w:hAnsi="宋体" w:cs="宋体"/>
                <w:b/>
                <w:color w:val="000000"/>
                <w:kern w:val="0"/>
                <w:sz w:val="16"/>
                <w:szCs w:val="16"/>
                <w:lang w:bidi="ar"/>
              </w:rPr>
              <w:t>是否允许进口产品参与</w:t>
            </w:r>
          </w:p>
        </w:tc>
        <w:tc>
          <w:tcPr>
            <w:tcW w:w="8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86111B">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16"/>
                <w:szCs w:val="16"/>
              </w:rPr>
            </w:pPr>
            <w:r>
              <w:rPr>
                <w:rFonts w:hint="eastAsia" w:ascii="宋体" w:hAnsi="宋体" w:cs="宋体"/>
                <w:b/>
                <w:color w:val="000000"/>
                <w:kern w:val="0"/>
                <w:sz w:val="16"/>
                <w:szCs w:val="16"/>
                <w:lang w:bidi="ar"/>
              </w:rPr>
              <w:t>是否专门面向中小企业</w:t>
            </w:r>
          </w:p>
        </w:tc>
        <w:tc>
          <w:tcPr>
            <w:tcW w:w="1356"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995DA3">
            <w:pPr>
              <w:keepNext w:val="0"/>
              <w:keepLines w:val="0"/>
              <w:widowControl/>
              <w:suppressLineNumbers w:val="0"/>
              <w:spacing w:before="0" w:beforeAutospacing="0" w:after="0" w:afterAutospacing="0"/>
              <w:ind w:left="0" w:right="0"/>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lang w:bidi="ar"/>
              </w:rPr>
              <w:t>备注</w:t>
            </w:r>
          </w:p>
        </w:tc>
      </w:tr>
      <w:tr w14:paraId="45807956">
        <w:tblPrEx>
          <w:tblCellMar>
            <w:top w:w="0" w:type="dxa"/>
            <w:left w:w="0" w:type="dxa"/>
            <w:bottom w:w="0" w:type="dxa"/>
            <w:right w:w="0" w:type="dxa"/>
          </w:tblCellMar>
        </w:tblPrEx>
        <w:trPr>
          <w:trHeight w:val="1140" w:hRule="atLeast"/>
        </w:trPr>
        <w:tc>
          <w:tcPr>
            <w:tcW w:w="619" w:type="dxa"/>
            <w:tcBorders>
              <w:top w:val="single" w:color="000000" w:sz="4" w:space="0"/>
              <w:left w:val="single" w:color="000000" w:sz="4" w:space="0"/>
              <w:right w:val="single" w:color="000000" w:sz="4" w:space="0"/>
            </w:tcBorders>
            <w:shd w:val="clear" w:color="auto" w:fill="FFFFFF"/>
            <w:tcMar>
              <w:top w:w="15" w:type="dxa"/>
              <w:left w:w="15" w:type="dxa"/>
              <w:right w:w="15" w:type="dxa"/>
            </w:tcMar>
            <w:vAlign w:val="center"/>
          </w:tcPr>
          <w:p w14:paraId="47F89116">
            <w:pPr>
              <w:keepNext w:val="0"/>
              <w:keepLines w:val="0"/>
              <w:widowControl/>
              <w:suppressLineNumbers w:val="0"/>
              <w:spacing w:before="0" w:beforeAutospacing="0" w:after="0" w:afterAutospacing="0"/>
              <w:ind w:left="0" w:right="0"/>
              <w:jc w:val="center"/>
              <w:textAlignment w:val="center"/>
              <w:rPr>
                <w:rFonts w:hint="eastAsia" w:ascii="宋体" w:hAnsi="宋体" w:cs="宋体"/>
              </w:rPr>
            </w:pPr>
            <w:r>
              <w:rPr>
                <w:rFonts w:hint="eastAsia" w:ascii="宋体" w:hAnsi="宋体" w:cs="宋体"/>
              </w:rPr>
              <w:t>包组1</w:t>
            </w:r>
          </w:p>
        </w:tc>
        <w:tc>
          <w:tcPr>
            <w:tcW w:w="17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7A2E6E">
            <w:pPr>
              <w:keepNext w:val="0"/>
              <w:keepLines w:val="0"/>
              <w:widowControl/>
              <w:suppressLineNumbers w:val="0"/>
              <w:spacing w:before="0" w:beforeAutospacing="0" w:after="0" w:afterAutospacing="0"/>
              <w:ind w:left="0" w:right="0"/>
              <w:jc w:val="center"/>
              <w:textAlignment w:val="center"/>
              <w:rPr>
                <w:rFonts w:hint="default" w:ascii="宋体" w:hAnsi="宋体" w:cs="宋体"/>
              </w:rPr>
            </w:pPr>
            <w:r>
              <w:rPr>
                <w:rFonts w:hint="eastAsia" w:ascii="宋体" w:hAnsi="宋体" w:cs="宋体"/>
              </w:rPr>
              <w:t>肌电图机</w:t>
            </w:r>
          </w:p>
        </w:tc>
        <w:tc>
          <w:tcPr>
            <w:tcW w:w="126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F5456A">
            <w:pPr>
              <w:keepNext w:val="0"/>
              <w:keepLines w:val="0"/>
              <w:widowControl/>
              <w:suppressLineNumbers w:val="0"/>
              <w:spacing w:before="0" w:beforeAutospacing="0" w:after="0" w:afterAutospacing="0"/>
              <w:ind w:left="0" w:right="0"/>
              <w:jc w:val="center"/>
              <w:textAlignment w:val="center"/>
              <w:rPr>
                <w:rFonts w:hint="default" w:ascii="宋体" w:hAnsi="宋体" w:cs="宋体"/>
              </w:rPr>
            </w:pPr>
            <w:r>
              <w:rPr>
                <w:rFonts w:hint="eastAsia" w:ascii="宋体" w:hAnsi="宋体" w:cs="宋体"/>
              </w:rPr>
              <w:t>418600</w:t>
            </w:r>
          </w:p>
        </w:tc>
        <w:tc>
          <w:tcPr>
            <w:tcW w:w="108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071FC3">
            <w:pPr>
              <w:keepNext w:val="0"/>
              <w:keepLines w:val="0"/>
              <w:widowControl/>
              <w:suppressLineNumbers w:val="0"/>
              <w:spacing w:before="0" w:beforeAutospacing="0" w:after="0" w:afterAutospacing="0"/>
              <w:ind w:left="0" w:right="0"/>
              <w:jc w:val="center"/>
              <w:textAlignment w:val="center"/>
              <w:rPr>
                <w:rFonts w:hint="eastAsia" w:ascii="宋体" w:hAnsi="宋体" w:cs="宋体"/>
                <w:szCs w:val="21"/>
              </w:rPr>
            </w:pPr>
            <w:r>
              <w:rPr>
                <w:rFonts w:hint="eastAsia" w:ascii="宋体" w:hAnsi="宋体" w:cs="宋体"/>
              </w:rPr>
              <w:t>1</w:t>
            </w:r>
          </w:p>
        </w:tc>
        <w:tc>
          <w:tcPr>
            <w:tcW w:w="114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3DE524">
            <w:pPr>
              <w:keepNext w:val="0"/>
              <w:keepLines w:val="0"/>
              <w:widowControl/>
              <w:suppressLineNumbers w:val="0"/>
              <w:spacing w:before="0" w:beforeAutospacing="0" w:after="0" w:afterAutospacing="0"/>
              <w:ind w:left="0" w:right="0"/>
              <w:jc w:val="center"/>
              <w:textAlignment w:val="center"/>
              <w:rPr>
                <w:rFonts w:hint="default" w:ascii="宋体" w:hAnsi="宋体" w:cs="宋体"/>
                <w:szCs w:val="21"/>
              </w:rPr>
            </w:pPr>
            <w:r>
              <w:rPr>
                <w:rFonts w:hint="eastAsia" w:ascii="宋体" w:hAnsi="宋体" w:cs="宋体"/>
              </w:rPr>
              <w:t>418600</w:t>
            </w:r>
          </w:p>
        </w:tc>
        <w:tc>
          <w:tcPr>
            <w:tcW w:w="7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3DC8E8">
            <w:pPr>
              <w:keepNext w:val="0"/>
              <w:keepLines w:val="0"/>
              <w:widowControl/>
              <w:suppressLineNumbers w:val="0"/>
              <w:spacing w:before="0" w:beforeAutospacing="0" w:after="0" w:afterAutospacing="0"/>
              <w:ind w:left="0" w:right="0"/>
              <w:jc w:val="center"/>
              <w:textAlignment w:val="center"/>
              <w:rPr>
                <w:rFonts w:hint="default" w:ascii="宋体" w:hAnsi="宋体" w:cs="宋体"/>
                <w:szCs w:val="21"/>
              </w:rPr>
            </w:pPr>
            <w:r>
              <w:rPr>
                <w:rFonts w:hint="eastAsia" w:ascii="宋体" w:hAnsi="宋体" w:cs="宋体"/>
                <w:szCs w:val="21"/>
              </w:rPr>
              <w:t>II</w:t>
            </w:r>
          </w:p>
        </w:tc>
        <w:tc>
          <w:tcPr>
            <w:tcW w:w="7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4646DD">
            <w:pPr>
              <w:keepNext w:val="0"/>
              <w:keepLines w:val="0"/>
              <w:widowControl/>
              <w:suppressLineNumbers w:val="0"/>
              <w:spacing w:before="0" w:beforeAutospacing="0" w:after="0" w:afterAutospacing="0"/>
              <w:ind w:left="0" w:right="0"/>
              <w:jc w:val="center"/>
              <w:textAlignment w:val="center"/>
              <w:rPr>
                <w:rFonts w:hint="eastAsia" w:ascii="宋体" w:hAnsi="宋体" w:cs="宋体"/>
                <w:szCs w:val="21"/>
              </w:rPr>
            </w:pPr>
            <w:r>
              <w:rPr>
                <w:rFonts w:hint="eastAsia" w:ascii="宋体" w:hAnsi="宋体" w:cs="宋体"/>
              </w:rPr>
              <w:t>是</w:t>
            </w:r>
          </w:p>
        </w:tc>
        <w:tc>
          <w:tcPr>
            <w:tcW w:w="8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59DD5D">
            <w:pPr>
              <w:keepNext w:val="0"/>
              <w:keepLines w:val="0"/>
              <w:widowControl/>
              <w:suppressLineNumbers w:val="0"/>
              <w:spacing w:before="0" w:beforeAutospacing="0" w:after="0" w:afterAutospacing="0"/>
              <w:ind w:left="0" w:right="0"/>
              <w:jc w:val="center"/>
              <w:textAlignment w:val="center"/>
              <w:rPr>
                <w:rFonts w:hint="default" w:ascii="宋体" w:hAnsi="宋体" w:cs="宋体"/>
                <w:szCs w:val="21"/>
              </w:rPr>
            </w:pPr>
            <w:r>
              <w:rPr>
                <w:rFonts w:hint="eastAsia" w:ascii="宋体" w:hAnsi="宋体" w:cs="宋体"/>
                <w:szCs w:val="21"/>
              </w:rPr>
              <w:t>否</w:t>
            </w:r>
          </w:p>
        </w:tc>
        <w:tc>
          <w:tcPr>
            <w:tcW w:w="1356"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AE078A">
            <w:pPr>
              <w:keepNext w:val="0"/>
              <w:keepLines w:val="0"/>
              <w:widowControl/>
              <w:suppressLineNumbers w:val="0"/>
              <w:spacing w:before="0" w:beforeAutospacing="0" w:after="0" w:afterAutospacing="0"/>
              <w:ind w:left="0" w:right="0"/>
              <w:jc w:val="center"/>
              <w:textAlignment w:val="center"/>
              <w:rPr>
                <w:rFonts w:hint="default" w:ascii="宋体" w:hAnsi="宋体" w:cs="宋体"/>
                <w:szCs w:val="21"/>
              </w:rPr>
            </w:pPr>
          </w:p>
        </w:tc>
      </w:tr>
      <w:tr w14:paraId="208D8F2A">
        <w:tblPrEx>
          <w:tblCellMar>
            <w:top w:w="0" w:type="dxa"/>
            <w:left w:w="0" w:type="dxa"/>
            <w:bottom w:w="0" w:type="dxa"/>
            <w:right w:w="0" w:type="dxa"/>
          </w:tblCellMar>
        </w:tblPrEx>
        <w:trPr>
          <w:gridAfter w:val="1"/>
          <w:wAfter w:w="55" w:type="dxa"/>
          <w:trHeight w:val="436" w:hRule="atLeast"/>
        </w:trPr>
        <w:tc>
          <w:tcPr>
            <w:tcW w:w="61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3194F1">
            <w:pPr>
              <w:keepNext w:val="0"/>
              <w:keepLines w:val="0"/>
              <w:suppressLineNumbers w:val="0"/>
              <w:spacing w:before="0" w:beforeAutospacing="0" w:after="0" w:afterAutospacing="0"/>
              <w:ind w:left="0" w:right="0"/>
              <w:jc w:val="center"/>
              <w:rPr>
                <w:rFonts w:hint="eastAsia" w:ascii="宋体" w:hAnsi="宋体" w:cs="宋体"/>
                <w:color w:val="000000"/>
              </w:rPr>
            </w:pPr>
          </w:p>
        </w:tc>
        <w:tc>
          <w:tcPr>
            <w:tcW w:w="17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AA9C7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rPr>
            </w:pPr>
            <w:r>
              <w:rPr>
                <w:rFonts w:hint="eastAsia" w:ascii="宋体" w:hAnsi="宋体" w:cs="宋体"/>
                <w:color w:val="000000"/>
                <w:kern w:val="0"/>
                <w:lang w:bidi="ar"/>
              </w:rPr>
              <w:t>合计</w:t>
            </w:r>
          </w:p>
        </w:tc>
        <w:tc>
          <w:tcPr>
            <w:tcW w:w="7176" w:type="dxa"/>
            <w:gridSpan w:val="7"/>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44EE69">
            <w:pPr>
              <w:keepNext w:val="0"/>
              <w:keepLines w:val="0"/>
              <w:suppressLineNumbers w:val="0"/>
              <w:spacing w:before="0" w:beforeAutospacing="0" w:after="0" w:afterAutospacing="0"/>
              <w:ind w:left="0" w:right="0"/>
              <w:jc w:val="center"/>
              <w:rPr>
                <w:rFonts w:hint="eastAsia" w:ascii="宋体" w:hAnsi="宋体" w:cs="宋体"/>
                <w:color w:val="000000"/>
              </w:rPr>
            </w:pPr>
            <w:r>
              <w:rPr>
                <w:rFonts w:hint="eastAsia" w:ascii="宋体" w:hAnsi="宋体" w:cs="宋体"/>
                <w:color w:val="000000"/>
              </w:rPr>
              <w:t>418600</w:t>
            </w:r>
          </w:p>
        </w:tc>
      </w:tr>
    </w:tbl>
    <w:p w14:paraId="7ED44617">
      <w:pPr>
        <w:pStyle w:val="2"/>
        <w:spacing w:line="360" w:lineRule="auto"/>
        <w:ind w:firstLine="417" w:firstLineChars="174"/>
        <w:rPr>
          <w:rStyle w:val="141"/>
          <w:rFonts w:asciiTheme="minorEastAsia" w:hAnsiTheme="minorEastAsia" w:eastAsiaTheme="minorEastAsia"/>
        </w:rPr>
      </w:pPr>
    </w:p>
    <w:p w14:paraId="7938AAA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三、报价范围的定义</w:t>
      </w:r>
    </w:p>
    <w:p w14:paraId="0BF9B54A">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本项目报价包括货物货款、货物包装、运输、安装调试、信息系统连接、验收计量检测、验收合格之前及质保期内服务及备品备件发生的所有含税费用。</w:t>
      </w:r>
    </w:p>
    <w:p w14:paraId="7D88E468">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四、用户需求</w:t>
      </w:r>
    </w:p>
    <w:p w14:paraId="4461DE04">
      <w:pPr>
        <w:pStyle w:val="2"/>
        <w:spacing w:line="360" w:lineRule="auto"/>
        <w:ind w:firstLine="417" w:firstLineChars="174"/>
        <w:rPr>
          <w:rStyle w:val="141"/>
          <w:rFonts w:asciiTheme="minorEastAsia" w:hAnsiTheme="minorEastAsia" w:eastAsiaTheme="minorEastAsia"/>
        </w:rPr>
      </w:pPr>
      <w:r>
        <w:rPr>
          <w:rStyle w:val="141"/>
          <w:rFonts w:hint="eastAsia" w:asciiTheme="minorEastAsia" w:hAnsiTheme="minorEastAsia" w:eastAsiaTheme="minorEastAsia"/>
          <w:b w:val="0"/>
          <w:bCs w:val="0"/>
        </w:rPr>
        <w:t>（一）标注“▲”条款</w:t>
      </w:r>
      <w:r>
        <w:rPr>
          <w:rStyle w:val="141"/>
          <w:rFonts w:hint="default" w:asciiTheme="minorEastAsia" w:hAnsiTheme="minorEastAsia" w:eastAsiaTheme="minorEastAsia"/>
          <w:b w:val="0"/>
          <w:bCs w:val="0"/>
        </w:rPr>
        <w:t>,</w:t>
      </w:r>
      <w:r>
        <w:rPr>
          <w:rStyle w:val="141"/>
          <w:rFonts w:hint="default" w:asciiTheme="minorEastAsia" w:hAnsiTheme="minorEastAsia" w:eastAsiaTheme="minorEastAsia"/>
          <w:b/>
          <w:bCs/>
          <w:highlight w:val="none"/>
        </w:rPr>
        <w:t>"</w:t>
      </w:r>
      <w:r>
        <w:rPr>
          <w:rStyle w:val="141"/>
          <w:rFonts w:hint="eastAsia" w:asciiTheme="minorEastAsia" w:hAnsiTheme="minorEastAsia" w:eastAsiaTheme="minorEastAsia"/>
          <w:highlight w:val="none"/>
        </w:rPr>
        <w:t>设备主要规格、技术要求</w:t>
      </w:r>
      <w:r>
        <w:rPr>
          <w:rStyle w:val="141"/>
          <w:rFonts w:hint="default" w:asciiTheme="minorEastAsia" w:hAnsiTheme="minorEastAsia" w:eastAsiaTheme="minorEastAsia"/>
          <w:highlight w:val="none"/>
        </w:rPr>
        <w:t>"中如要求提供相关证明材料的则需按要求提供;未在要求提供的，</w:t>
      </w:r>
      <w:r>
        <w:rPr>
          <w:rStyle w:val="141"/>
          <w:rFonts w:hint="default" w:asciiTheme="minorEastAsia" w:hAnsiTheme="minorEastAsia" w:eastAsiaTheme="minorEastAsia"/>
        </w:rPr>
        <w:t>则</w:t>
      </w:r>
      <w:r>
        <w:rPr>
          <w:rStyle w:val="141"/>
          <w:rFonts w:hint="eastAsia" w:asciiTheme="minorEastAsia" w:hAnsiTheme="minorEastAsia" w:eastAsiaTheme="minorEastAsia"/>
        </w:rPr>
        <w:t>须提供</w:t>
      </w:r>
      <w:r>
        <w:rPr>
          <w:rStyle w:val="141"/>
          <w:rFonts w:hint="default" w:asciiTheme="minorEastAsia" w:hAnsiTheme="minorEastAsia" w:eastAsiaTheme="minorEastAsia"/>
        </w:rPr>
        <w:t>以下</w:t>
      </w:r>
      <w:r>
        <w:rPr>
          <w:rStyle w:val="141"/>
          <w:rFonts w:hint="eastAsia" w:asciiTheme="minorEastAsia" w:hAnsiTheme="minorEastAsia" w:eastAsiaTheme="minorEastAsia"/>
        </w:rPr>
        <w:t>佐证材料（厂家技术白皮书\技术说明书\产品说明书\第三方检测报告\功能界面截图\资质证件等）并注明佐证材料页码,以上技术材料要求响应供应商盖章；其他普通参数均要求注明佐证材料的页码。</w:t>
      </w:r>
    </w:p>
    <w:p w14:paraId="324528F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（二）★如所投产品属于第二类或第三类医疗器械，须提供产品的《医疗器械注册证》（如国家另有规定，则适用其规定）。</w:t>
      </w:r>
    </w:p>
    <w:p w14:paraId="6C43971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（三）项目需求</w:t>
      </w:r>
    </w:p>
    <w:p w14:paraId="0C9E7511">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本次采购肌电图仪一台，需具备肌电图、神经传导、诱发电位全套检测功能，实现各类神经肌肉损伤与病变的筛查、诊断及疗效评估。要求设备检测精度高、运行稳定，满足神经内科、骨科、康复、内分泌、儿科多科室临床使用。</w:t>
      </w:r>
    </w:p>
    <w:p w14:paraId="54D76611">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（四）设备功能及主要技术、配置要求</w:t>
      </w:r>
    </w:p>
    <w:p w14:paraId="3F953F5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（四）-</w:t>
      </w:r>
      <w:r>
        <w:rPr>
          <w:rStyle w:val="141"/>
          <w:rFonts w:asciiTheme="minorEastAsia" w:hAnsiTheme="minorEastAsia" w:eastAsiaTheme="minorEastAsia"/>
        </w:rPr>
        <w:t>1</w:t>
      </w:r>
      <w:r>
        <w:rPr>
          <w:rStyle w:val="141"/>
          <w:rFonts w:hint="eastAsia" w:asciiTheme="minorEastAsia" w:hAnsiTheme="minorEastAsia" w:eastAsiaTheme="minorEastAsia"/>
        </w:rPr>
        <w:t>设备用途说明：本次采购肌电图仪一台，需具备肌电图、神经传导、诱发电位（听觉、视觉、体感）全套检测功能，实现各类神经肌肉损伤与病变的筛查、诊断及疗效评估。要求设备检测精度高、运行稳定，满足神经内科、骨科、康复、内分泌、儿科多科室临床使用。</w:t>
      </w:r>
    </w:p>
    <w:p w14:paraId="01F21AD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（四）-</w:t>
      </w:r>
      <w:r>
        <w:rPr>
          <w:rStyle w:val="141"/>
          <w:rFonts w:asciiTheme="minorEastAsia" w:hAnsiTheme="minorEastAsia" w:eastAsiaTheme="minorEastAsia"/>
        </w:rPr>
        <w:t>2</w:t>
      </w:r>
      <w:r>
        <w:rPr>
          <w:rStyle w:val="141"/>
          <w:rFonts w:hint="eastAsia" w:asciiTheme="minorEastAsia" w:hAnsiTheme="minorEastAsia" w:eastAsiaTheme="minorEastAsia"/>
        </w:rPr>
        <w:t>设备主要规格、技术要求：</w:t>
      </w:r>
    </w:p>
    <w:p w14:paraId="564B648A">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a</w:t>
      </w:r>
      <w:r>
        <w:rPr>
          <w:rStyle w:val="141"/>
          <w:rFonts w:asciiTheme="minorEastAsia" w:hAnsiTheme="minorEastAsia" w:eastAsiaTheme="minorEastAsia"/>
        </w:rPr>
        <w:t>.</w:t>
      </w:r>
      <w:r>
        <w:rPr>
          <w:rStyle w:val="141"/>
          <w:rFonts w:hint="eastAsia" w:asciiTheme="minorEastAsia" w:hAnsiTheme="minorEastAsia" w:eastAsiaTheme="minorEastAsia"/>
        </w:rPr>
        <w:t>放大器：</w:t>
      </w:r>
    </w:p>
    <w:p w14:paraId="4127567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w:t>
      </w:r>
      <w:r>
        <w:rPr>
          <w:rStyle w:val="141"/>
          <w:rFonts w:hint="eastAsia" w:asciiTheme="minorEastAsia" w:hAnsiTheme="minorEastAsia" w:eastAsiaTheme="minorEastAsia"/>
        </w:rPr>
        <w:tab/>
      </w:r>
      <w:r>
        <w:rPr>
          <w:rStyle w:val="141"/>
          <w:rFonts w:hint="eastAsia" w:asciiTheme="minorEastAsia" w:hAnsiTheme="minorEastAsia" w:eastAsiaTheme="minorEastAsia"/>
        </w:rPr>
        <w:t>≥4通道前置放大器，每通道有标准DIN通用圆型插孔，放大器具有万向伸缩支臂。</w:t>
      </w:r>
      <w:r>
        <w:rPr>
          <w:rStyle w:val="141"/>
          <w:rFonts w:hint="eastAsia" w:asciiTheme="minorEastAsia" w:hAnsiTheme="minorEastAsia" w:eastAsiaTheme="minorEastAsia"/>
          <w:b w:val="0"/>
          <w:bCs w:val="0"/>
        </w:rPr>
        <w:t>（彩页或说明书等原厂技术资料上需有证明资料）</w:t>
      </w:r>
      <w:r>
        <w:rPr>
          <w:rStyle w:val="141"/>
          <w:rFonts w:hint="eastAsia" w:asciiTheme="minorEastAsia" w:hAnsiTheme="minorEastAsia" w:eastAsiaTheme="minorEastAsia"/>
        </w:rPr>
        <w:t xml:space="preserve"> </w:t>
      </w:r>
    </w:p>
    <w:p w14:paraId="55D69B39">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w:t>
      </w:r>
      <w:r>
        <w:rPr>
          <w:rStyle w:val="141"/>
          <w:rFonts w:hint="eastAsia" w:asciiTheme="minorEastAsia" w:hAnsiTheme="minorEastAsia" w:eastAsiaTheme="minorEastAsia"/>
        </w:rPr>
        <w:tab/>
      </w:r>
      <w:r>
        <w:rPr>
          <w:rStyle w:val="141"/>
          <w:rFonts w:hint="eastAsia" w:asciiTheme="minorEastAsia" w:hAnsiTheme="minorEastAsia" w:eastAsiaTheme="minorEastAsia"/>
        </w:rPr>
        <w:t>采样率：每通道≥48 kHz；</w:t>
      </w:r>
    </w:p>
    <w:p w14:paraId="24D7B27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w:t>
      </w:r>
      <w:r>
        <w:rPr>
          <w:rStyle w:val="141"/>
          <w:rFonts w:hint="eastAsia" w:asciiTheme="minorEastAsia" w:hAnsiTheme="minorEastAsia" w:eastAsiaTheme="minorEastAsia"/>
        </w:rPr>
        <w:tab/>
      </w:r>
      <w:r>
        <w:rPr>
          <w:rStyle w:val="141"/>
          <w:rFonts w:hint="eastAsia" w:asciiTheme="minorEastAsia" w:hAnsiTheme="minorEastAsia" w:eastAsiaTheme="minorEastAsia"/>
        </w:rPr>
        <w:t>输入阻抗≥1000MΩ；</w:t>
      </w:r>
    </w:p>
    <w:p w14:paraId="590EC11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w:t>
      </w:r>
      <w:r>
        <w:rPr>
          <w:rStyle w:val="141"/>
          <w:rFonts w:hint="eastAsia" w:asciiTheme="minorEastAsia" w:hAnsiTheme="minorEastAsia" w:eastAsiaTheme="minorEastAsia"/>
        </w:rPr>
        <w:tab/>
      </w:r>
      <w:r>
        <w:rPr>
          <w:rStyle w:val="141"/>
          <w:rFonts w:hint="eastAsia" w:asciiTheme="minorEastAsia" w:hAnsiTheme="minorEastAsia" w:eastAsiaTheme="minorEastAsia"/>
        </w:rPr>
        <w:t>共模抑制比≥120dB；</w:t>
      </w:r>
    </w:p>
    <w:p w14:paraId="23A13CC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w:t>
      </w:r>
      <w:r>
        <w:rPr>
          <w:rStyle w:val="141"/>
          <w:rFonts w:hint="eastAsia" w:asciiTheme="minorEastAsia" w:hAnsiTheme="minorEastAsia" w:eastAsiaTheme="minorEastAsia"/>
        </w:rPr>
        <w:tab/>
      </w:r>
      <w:r>
        <w:rPr>
          <w:rStyle w:val="141"/>
          <w:rFonts w:hint="eastAsia" w:asciiTheme="minorEastAsia" w:hAnsiTheme="minorEastAsia" w:eastAsiaTheme="minorEastAsia"/>
        </w:rPr>
        <w:t>分辨率：24位A/D转换器；</w:t>
      </w:r>
    </w:p>
    <w:p w14:paraId="1264369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6.</w:t>
      </w:r>
      <w:r>
        <w:rPr>
          <w:rStyle w:val="141"/>
          <w:rFonts w:hint="eastAsia" w:asciiTheme="minorEastAsia" w:hAnsiTheme="minorEastAsia" w:eastAsiaTheme="minorEastAsia"/>
        </w:rPr>
        <w:tab/>
      </w:r>
      <w:r>
        <w:rPr>
          <w:rStyle w:val="141"/>
          <w:rFonts w:hint="eastAsia" w:asciiTheme="minorEastAsia" w:hAnsiTheme="minorEastAsia" w:eastAsiaTheme="minorEastAsia"/>
        </w:rPr>
        <w:t>噪声水平&lt; 0.4 μV；</w:t>
      </w:r>
    </w:p>
    <w:p w14:paraId="1E47F5E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7.</w:t>
      </w:r>
      <w:r>
        <w:rPr>
          <w:rStyle w:val="141"/>
          <w:rFonts w:hint="eastAsia" w:asciiTheme="minorEastAsia" w:hAnsiTheme="minorEastAsia" w:eastAsiaTheme="minorEastAsia"/>
        </w:rPr>
        <w:tab/>
      </w:r>
      <w:r>
        <w:rPr>
          <w:rStyle w:val="141"/>
          <w:rFonts w:hint="eastAsia" w:asciiTheme="minorEastAsia" w:hAnsiTheme="minorEastAsia" w:eastAsiaTheme="minorEastAsia"/>
        </w:rPr>
        <w:t>灵敏度：0.01μV - 100mV / D；</w:t>
      </w:r>
    </w:p>
    <w:p w14:paraId="735AB678">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8.</w:t>
      </w:r>
      <w:r>
        <w:rPr>
          <w:rStyle w:val="141"/>
          <w:rFonts w:hint="eastAsia" w:asciiTheme="minorEastAsia" w:hAnsiTheme="minorEastAsia" w:eastAsiaTheme="minorEastAsia"/>
        </w:rPr>
        <w:tab/>
      </w:r>
      <w:r>
        <w:rPr>
          <w:rStyle w:val="141"/>
          <w:rFonts w:hint="eastAsia" w:asciiTheme="minorEastAsia" w:hAnsiTheme="minorEastAsia" w:eastAsiaTheme="minorEastAsia"/>
        </w:rPr>
        <w:t>低频滤波器（高通）：覆盖0.2Hz-5kHz；</w:t>
      </w:r>
    </w:p>
    <w:p w14:paraId="6AC6177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9.</w:t>
      </w:r>
      <w:r>
        <w:rPr>
          <w:rStyle w:val="141"/>
          <w:rFonts w:hint="eastAsia" w:asciiTheme="minorEastAsia" w:hAnsiTheme="minorEastAsia" w:eastAsiaTheme="minorEastAsia"/>
        </w:rPr>
        <w:tab/>
      </w:r>
      <w:r>
        <w:rPr>
          <w:rStyle w:val="141"/>
          <w:rFonts w:hint="eastAsia" w:asciiTheme="minorEastAsia" w:hAnsiTheme="minorEastAsia" w:eastAsiaTheme="minorEastAsia"/>
        </w:rPr>
        <w:t>高频滤波器（低通）：覆盖30Hz-20kHz；</w:t>
      </w:r>
    </w:p>
    <w:p w14:paraId="18854AA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b</w:t>
      </w:r>
      <w:r>
        <w:rPr>
          <w:rStyle w:val="141"/>
          <w:rFonts w:asciiTheme="minorEastAsia" w:hAnsiTheme="minorEastAsia" w:eastAsiaTheme="minorEastAsia"/>
        </w:rPr>
        <w:t>.</w:t>
      </w:r>
      <w:r>
        <w:rPr>
          <w:rStyle w:val="141"/>
          <w:rFonts w:hint="eastAsia" w:asciiTheme="minorEastAsia" w:hAnsiTheme="minorEastAsia" w:eastAsiaTheme="minorEastAsia"/>
        </w:rPr>
        <w:t>电刺激器：</w:t>
      </w:r>
    </w:p>
    <w:p w14:paraId="1070CB1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10.</w:t>
      </w:r>
      <w:r>
        <w:rPr>
          <w:rStyle w:val="141"/>
          <w:rFonts w:hint="eastAsia" w:asciiTheme="minorEastAsia" w:hAnsiTheme="minorEastAsia" w:eastAsiaTheme="minorEastAsia"/>
        </w:rPr>
        <w:tab/>
      </w:r>
      <w:r>
        <w:rPr>
          <w:rStyle w:val="141"/>
          <w:rFonts w:hint="eastAsia" w:asciiTheme="minorEastAsia" w:hAnsiTheme="minorEastAsia" w:eastAsiaTheme="minorEastAsia"/>
        </w:rPr>
        <w:t>全数字化刺激频率设置；</w:t>
      </w:r>
    </w:p>
    <w:p w14:paraId="5BEC88D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11.</w:t>
      </w:r>
      <w:r>
        <w:rPr>
          <w:rStyle w:val="141"/>
          <w:rFonts w:hint="eastAsia" w:asciiTheme="minorEastAsia" w:hAnsiTheme="minorEastAsia" w:eastAsiaTheme="minorEastAsia"/>
        </w:rPr>
        <w:tab/>
      </w:r>
      <w:r>
        <w:rPr>
          <w:rStyle w:val="141"/>
          <w:rFonts w:hint="eastAsia" w:asciiTheme="minorEastAsia" w:hAnsiTheme="minorEastAsia" w:eastAsiaTheme="minorEastAsia"/>
        </w:rPr>
        <w:t>内置恒流电刺激器：恒流刺激量强度范围：覆盖0-100 mA；</w:t>
      </w:r>
    </w:p>
    <w:p w14:paraId="30EB0388">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12.</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▲刺激强度：最高调整精度为0.01mA。主机面板和刺激探头均可调整刺激强度。刺激强度数值自动储存至每条波形。</w:t>
      </w:r>
    </w:p>
    <w:p w14:paraId="502252F0">
      <w:pPr>
        <w:pStyle w:val="2"/>
        <w:spacing w:line="360" w:lineRule="auto"/>
        <w:ind w:firstLine="417" w:firstLineChars="174"/>
        <w:rPr>
          <w:rStyle w:val="141"/>
          <w:rFonts w:hint="eastAsia" w:asciiTheme="minorEastAsia" w:hAnsiTheme="minorEastAsia" w:eastAsiaTheme="minorEastAsia"/>
          <w:b w:val="0"/>
          <w:bCs w:val="0"/>
          <w:highlight w:val="none"/>
        </w:rPr>
      </w:pPr>
      <w:r>
        <w:rPr>
          <w:rStyle w:val="141"/>
          <w:rFonts w:hint="eastAsia" w:asciiTheme="minorEastAsia" w:hAnsiTheme="minorEastAsia" w:eastAsiaTheme="minorEastAsia"/>
          <w:b w:val="0"/>
          <w:bCs w:val="0"/>
        </w:rPr>
        <w:t>13.</w:t>
      </w:r>
      <w:r>
        <w:rPr>
          <w:rStyle w:val="141"/>
          <w:rFonts w:hint="eastAsia" w:asciiTheme="minorEastAsia" w:hAnsiTheme="minorEastAsia" w:eastAsiaTheme="minorEastAsia"/>
          <w:b w:val="0"/>
          <w:bCs w:val="0"/>
        </w:rPr>
        <w:tab/>
      </w:r>
      <w:r>
        <w:rPr>
          <w:rStyle w:val="141"/>
          <w:rFonts w:hint="eastAsia" w:asciiTheme="minorEastAsia" w:hAnsiTheme="minorEastAsia" w:eastAsiaTheme="minorEastAsia"/>
          <w:b w:val="0"/>
          <w:bCs w:val="0"/>
        </w:rPr>
        <w:t>▲带遥控电刺激探头：可设置刺激强度、刺激启动/停止；配有成人和儿童的刺激头构件。</w:t>
      </w:r>
      <w:r>
        <w:rPr>
          <w:rStyle w:val="141"/>
          <w:rFonts w:hint="eastAsia" w:asciiTheme="minorEastAsia" w:hAnsiTheme="minorEastAsia" w:eastAsiaTheme="minorEastAsia"/>
          <w:b w:val="0"/>
          <w:bCs w:val="0"/>
          <w:highlight w:val="none"/>
        </w:rPr>
        <w:t>（提供功能截图）</w:t>
      </w:r>
    </w:p>
    <w:p w14:paraId="4510937A">
      <w:pPr>
        <w:pStyle w:val="2"/>
        <w:spacing w:line="360" w:lineRule="auto"/>
        <w:ind w:firstLine="417" w:firstLineChars="174"/>
        <w:rPr>
          <w:rStyle w:val="141"/>
          <w:rFonts w:hint="eastAsia" w:asciiTheme="minorEastAsia" w:hAnsiTheme="minorEastAsia" w:eastAsiaTheme="minorEastAsia"/>
          <w:b w:val="0"/>
          <w:bCs w:val="0"/>
          <w:highlight w:val="none"/>
        </w:rPr>
      </w:pPr>
      <w:r>
        <w:rPr>
          <w:rStyle w:val="141"/>
          <w:rFonts w:hint="eastAsia" w:asciiTheme="minorEastAsia" w:hAnsiTheme="minorEastAsia" w:eastAsiaTheme="minorEastAsia"/>
          <w:highlight w:val="none"/>
        </w:rPr>
        <w:t>14.</w:t>
      </w:r>
      <w:r>
        <w:rPr>
          <w:rStyle w:val="141"/>
          <w:rFonts w:hint="eastAsia" w:asciiTheme="minorEastAsia" w:hAnsiTheme="minorEastAsia" w:eastAsiaTheme="minorEastAsia"/>
          <w:highlight w:val="none"/>
        </w:rPr>
        <w:tab/>
      </w:r>
      <w:r>
        <w:rPr>
          <w:rStyle w:val="141"/>
          <w:rFonts w:hint="eastAsia" w:asciiTheme="minorEastAsia" w:hAnsiTheme="minorEastAsia" w:eastAsiaTheme="minorEastAsia"/>
          <w:highlight w:val="none"/>
        </w:rPr>
        <w:t>刺激伪迹抑制功能：通过刺激伪迹抑制硬件技术，降低基线漂移，利于探测及测量波幅较小的信号。</w:t>
      </w:r>
      <w:r>
        <w:rPr>
          <w:rStyle w:val="141"/>
          <w:rFonts w:hint="eastAsia" w:asciiTheme="minorEastAsia" w:hAnsiTheme="minorEastAsia" w:eastAsiaTheme="minorEastAsia"/>
          <w:b w:val="0"/>
          <w:bCs w:val="0"/>
          <w:highlight w:val="none"/>
        </w:rPr>
        <w:t>（彩页或说明书等原厂技术资料上需有证明资料）</w:t>
      </w:r>
    </w:p>
    <w:p w14:paraId="483F162C">
      <w:pPr>
        <w:pStyle w:val="2"/>
        <w:spacing w:line="360" w:lineRule="auto"/>
        <w:ind w:firstLine="417" w:firstLineChars="174"/>
        <w:rPr>
          <w:rStyle w:val="141"/>
          <w:rFonts w:hint="eastAsia" w:asciiTheme="minorEastAsia" w:hAnsiTheme="minorEastAsia" w:eastAsiaTheme="minorEastAsia"/>
          <w:highlight w:val="none"/>
        </w:rPr>
      </w:pPr>
      <w:r>
        <w:rPr>
          <w:rStyle w:val="141"/>
          <w:rFonts w:hint="eastAsia" w:asciiTheme="minorEastAsia" w:hAnsiTheme="minorEastAsia" w:eastAsiaTheme="minorEastAsia"/>
          <w:highlight w:val="none"/>
        </w:rPr>
        <w:t>c</w:t>
      </w:r>
      <w:r>
        <w:rPr>
          <w:rStyle w:val="141"/>
          <w:rFonts w:asciiTheme="minorEastAsia" w:hAnsiTheme="minorEastAsia" w:eastAsiaTheme="minorEastAsia"/>
          <w:highlight w:val="none"/>
        </w:rPr>
        <w:t>.</w:t>
      </w:r>
      <w:r>
        <w:rPr>
          <w:rStyle w:val="141"/>
          <w:rFonts w:hint="eastAsia" w:asciiTheme="minorEastAsia" w:hAnsiTheme="minorEastAsia" w:eastAsiaTheme="minorEastAsia"/>
          <w:highlight w:val="none"/>
        </w:rPr>
        <w:t>听觉刺激器：</w:t>
      </w:r>
    </w:p>
    <w:p w14:paraId="182E6DC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15.</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刺激声类型：单击滴答、短音或脉冲爆破音；</w:t>
      </w:r>
    </w:p>
    <w:p w14:paraId="4062259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16.</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刺激强度：覆盖0至138 dB ，步进：1.0dB；</w:t>
      </w:r>
    </w:p>
    <w:p w14:paraId="06A0019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17.</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刺激极性：疏音（正）、密音（负）、交替（双极）；</w:t>
      </w:r>
    </w:p>
    <w:p w14:paraId="3DA86FD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d</w:t>
      </w:r>
      <w:r>
        <w:rPr>
          <w:rStyle w:val="141"/>
          <w:rFonts w:asciiTheme="minorEastAsia" w:hAnsiTheme="minorEastAsia" w:eastAsiaTheme="minorEastAsia"/>
        </w:rPr>
        <w:t>.</w:t>
      </w:r>
      <w:r>
        <w:rPr>
          <w:rStyle w:val="141"/>
          <w:rFonts w:hint="eastAsia" w:asciiTheme="minorEastAsia" w:hAnsiTheme="minorEastAsia" w:eastAsiaTheme="minorEastAsia"/>
        </w:rPr>
        <w:t>眼罩式视觉刺激器：</w:t>
      </w:r>
    </w:p>
    <w:p w14:paraId="5825C48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18.</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刺激光颜色：有色光LED（波长范围630-640nm）；</w:t>
      </w:r>
    </w:p>
    <w:p w14:paraId="20E9A33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19.</w:t>
      </w:r>
      <w:r>
        <w:rPr>
          <w:rStyle w:val="141"/>
          <w:rFonts w:hint="eastAsia" w:asciiTheme="minorEastAsia" w:hAnsiTheme="minorEastAsia" w:eastAsiaTheme="minorEastAsia"/>
        </w:rPr>
        <w:tab/>
      </w:r>
      <w:r>
        <w:rPr>
          <w:rStyle w:val="141"/>
          <w:rFonts w:hint="eastAsia" w:asciiTheme="minorEastAsia" w:hAnsiTheme="minorEastAsia" w:eastAsiaTheme="minorEastAsia"/>
        </w:rPr>
        <w:t>阵列：每眼LED阵列，发光点数≥16点，排列方式不限，可实现等效视野覆盖；</w:t>
      </w:r>
    </w:p>
    <w:p w14:paraId="7EDB7A4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20.</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刺激频率：覆盖0.1-200Hz；</w:t>
      </w:r>
    </w:p>
    <w:p w14:paraId="1DD9F00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21.</w:t>
      </w:r>
      <w:r>
        <w:rPr>
          <w:rStyle w:val="141"/>
          <w:rFonts w:hint="eastAsia" w:asciiTheme="minorEastAsia" w:hAnsiTheme="minorEastAsia" w:eastAsiaTheme="minorEastAsia"/>
        </w:rPr>
        <w:tab/>
      </w:r>
      <w:r>
        <w:rPr>
          <w:rStyle w:val="141"/>
          <w:rFonts w:hint="eastAsia" w:asciiTheme="minorEastAsia" w:hAnsiTheme="minorEastAsia" w:eastAsiaTheme="minorEastAsia"/>
        </w:rPr>
        <w:t>闪光持续时间：≥2ms</w:t>
      </w:r>
    </w:p>
    <w:p w14:paraId="078FFE9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e</w:t>
      </w:r>
      <w:r>
        <w:rPr>
          <w:rStyle w:val="141"/>
          <w:rFonts w:asciiTheme="minorEastAsia" w:hAnsiTheme="minorEastAsia" w:eastAsiaTheme="minorEastAsia"/>
        </w:rPr>
        <w:t>.</w:t>
      </w:r>
      <w:r>
        <w:rPr>
          <w:rStyle w:val="141"/>
          <w:rFonts w:hint="eastAsia" w:asciiTheme="minorEastAsia" w:hAnsiTheme="minorEastAsia" w:eastAsiaTheme="minorEastAsia"/>
        </w:rPr>
        <w:t>内置图样翻转视觉刺激器：</w:t>
      </w:r>
    </w:p>
    <w:p w14:paraId="2EA7D86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22.</w:t>
      </w:r>
      <w:r>
        <w:rPr>
          <w:rStyle w:val="141"/>
          <w:rFonts w:hint="eastAsia" w:asciiTheme="minorEastAsia" w:hAnsiTheme="minorEastAsia" w:eastAsiaTheme="minorEastAsia"/>
        </w:rPr>
        <w:tab/>
      </w:r>
      <w:r>
        <w:rPr>
          <w:rStyle w:val="141"/>
          <w:rFonts w:hint="eastAsia" w:asciiTheme="minorEastAsia" w:hAnsiTheme="minorEastAsia" w:eastAsiaTheme="minorEastAsia"/>
        </w:rPr>
        <w:t xml:space="preserve">内置图样翻转和闪变刺激器，无需外接刺激设备。 </w:t>
      </w:r>
    </w:p>
    <w:p w14:paraId="3F63D89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23.</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刺激图样：可选棋盘、水平条或竖直条。</w:t>
      </w:r>
    </w:p>
    <w:p w14:paraId="534B19D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24.</w:t>
      </w:r>
      <w:r>
        <w:rPr>
          <w:rStyle w:val="141"/>
          <w:rFonts w:hint="eastAsia" w:asciiTheme="minorEastAsia" w:hAnsiTheme="minorEastAsia" w:eastAsiaTheme="minorEastAsia"/>
        </w:rPr>
        <w:tab/>
      </w:r>
      <w:r>
        <w:rPr>
          <w:rStyle w:val="141"/>
          <w:rFonts w:hint="eastAsia" w:asciiTheme="minorEastAsia" w:hAnsiTheme="minorEastAsia" w:eastAsiaTheme="minorEastAsia"/>
        </w:rPr>
        <w:t>刺激频率：覆盖0.1-12Hz；</w:t>
      </w:r>
    </w:p>
    <w:p w14:paraId="0EB0F3C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f</w:t>
      </w:r>
      <w:r>
        <w:rPr>
          <w:rStyle w:val="141"/>
          <w:rFonts w:asciiTheme="minorEastAsia" w:hAnsiTheme="minorEastAsia" w:eastAsiaTheme="minorEastAsia"/>
        </w:rPr>
        <w:t>.</w:t>
      </w:r>
      <w:r>
        <w:rPr>
          <w:rStyle w:val="141"/>
          <w:rFonts w:hint="eastAsia" w:asciiTheme="minorEastAsia" w:hAnsiTheme="minorEastAsia" w:eastAsiaTheme="minorEastAsia"/>
        </w:rPr>
        <w:t>软件功能：</w:t>
      </w:r>
    </w:p>
    <w:p w14:paraId="11E79B5D">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25.</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具备肌电图软件（EMG）</w:t>
      </w:r>
    </w:p>
    <w:p w14:paraId="51FE22A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26.</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具备定量肌电图</w:t>
      </w:r>
    </w:p>
    <w:p w14:paraId="3D519F4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27.</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具备静息电位，运动单元电位；</w:t>
      </w:r>
    </w:p>
    <w:p w14:paraId="024B22C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28.</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具备干扰相，大力收缩及频谱分析</w:t>
      </w:r>
    </w:p>
    <w:p w14:paraId="5925B45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29.</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具备神经传导软件（NCS）</w:t>
      </w:r>
    </w:p>
    <w:p w14:paraId="22D9A0D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30.</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具备运动及感觉神经传导速度；</w:t>
      </w:r>
    </w:p>
    <w:p w14:paraId="19F127E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31.</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具备F波、H反射、瞬目反射、重频刺激；</w:t>
      </w:r>
    </w:p>
    <w:p w14:paraId="6017BB4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32.</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具备自主神经系统功能检测（包含SSR交感皮肤反应）；</w:t>
      </w:r>
    </w:p>
    <w:p w14:paraId="207D3C9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33.</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具备传导速度参考值软件</w:t>
      </w:r>
    </w:p>
    <w:p w14:paraId="6C3E654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34.</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具备听觉诱发电位（AEP）</w:t>
      </w:r>
    </w:p>
    <w:p w14:paraId="0F56EE9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35.</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具备中、长潜伏期</w:t>
      </w:r>
    </w:p>
    <w:p w14:paraId="7E87A924">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36.</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具备40Hz反应</w:t>
      </w:r>
    </w:p>
    <w:p w14:paraId="67E8C13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37.</w:t>
      </w:r>
      <w:r>
        <w:rPr>
          <w:rStyle w:val="141"/>
          <w:rFonts w:hint="eastAsia" w:asciiTheme="minorEastAsia" w:hAnsiTheme="minorEastAsia" w:eastAsiaTheme="minorEastAsia"/>
        </w:rPr>
        <w:tab/>
      </w:r>
      <w:r>
        <w:rPr>
          <w:rStyle w:val="141"/>
          <w:rFonts w:hint="eastAsia" w:asciiTheme="minorEastAsia" w:hAnsiTheme="minorEastAsia" w:eastAsiaTheme="minorEastAsia"/>
        </w:rPr>
        <w:t xml:space="preserve">具备脑干听觉反应     </w:t>
      </w:r>
    </w:p>
    <w:p w14:paraId="6E701DB5">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38.</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具备视觉诱发电位（VEP）</w:t>
      </w:r>
    </w:p>
    <w:p w14:paraId="1DBB9294">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39.</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具备眼罩视觉诱发</w:t>
      </w:r>
    </w:p>
    <w:p w14:paraId="4D85F52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40.</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具备棋盘格翻转视觉诱发</w:t>
      </w:r>
    </w:p>
    <w:p w14:paraId="539D5C8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41.</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具备体感诱发电位（SEP）</w:t>
      </w:r>
    </w:p>
    <w:p w14:paraId="7E56901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42.</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具备上肢体感诱发电位</w:t>
      </w:r>
    </w:p>
    <w:p w14:paraId="7F8D2B9A">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43.</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具备下肢体感诱发电位</w:t>
      </w:r>
    </w:p>
    <w:p w14:paraId="31F0286D">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44.</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具备脊髓诱发电位</w:t>
      </w:r>
    </w:p>
    <w:p w14:paraId="04B584C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45.</w:t>
      </w:r>
      <w:r>
        <w:rPr>
          <w:rStyle w:val="141"/>
          <w:rFonts w:hint="eastAsia" w:asciiTheme="minorEastAsia" w:hAnsiTheme="minorEastAsia" w:eastAsiaTheme="minorEastAsia"/>
        </w:rPr>
        <w:tab/>
      </w:r>
      <w:r>
        <w:rPr>
          <w:rStyle w:val="141"/>
          <w:rFonts w:hint="eastAsia" w:asciiTheme="minorEastAsia" w:hAnsiTheme="minorEastAsia" w:eastAsiaTheme="minorEastAsia"/>
        </w:rPr>
        <w:t xml:space="preserve">具有事件相关电位P300等功能 </w:t>
      </w:r>
    </w:p>
    <w:p w14:paraId="173D04DD">
      <w:pPr>
        <w:pStyle w:val="2"/>
        <w:spacing w:line="360" w:lineRule="auto"/>
        <w:ind w:firstLine="417" w:firstLineChars="174"/>
        <w:rPr>
          <w:rStyle w:val="141"/>
          <w:rFonts w:hint="eastAsia" w:asciiTheme="minorEastAsia" w:hAnsiTheme="minorEastAsia" w:eastAsiaTheme="minorEastAsia"/>
          <w:highlight w:val="none"/>
        </w:rPr>
      </w:pPr>
      <w:r>
        <w:rPr>
          <w:rStyle w:val="141"/>
          <w:rFonts w:hint="eastAsia" w:asciiTheme="minorEastAsia" w:hAnsiTheme="minorEastAsia" w:eastAsiaTheme="minorEastAsia"/>
        </w:rPr>
        <w:t>46.</w:t>
      </w:r>
      <w:r>
        <w:rPr>
          <w:rStyle w:val="141"/>
          <w:rFonts w:hint="eastAsia" w:asciiTheme="minorEastAsia" w:hAnsiTheme="minorEastAsia" w:eastAsiaTheme="minorEastAsia"/>
        </w:rPr>
        <w:tab/>
      </w:r>
      <w:r>
        <w:rPr>
          <w:rStyle w:val="141"/>
          <w:rFonts w:hint="eastAsia" w:asciiTheme="minorEastAsia" w:hAnsiTheme="minorEastAsia" w:eastAsiaTheme="minorEastAsia"/>
        </w:rPr>
        <w:t>▲神经传导（NCS）：具有波形存储与比较功能，系统</w:t>
      </w:r>
      <w:r>
        <w:rPr>
          <w:rStyle w:val="141"/>
          <w:rFonts w:hint="eastAsia" w:asciiTheme="minorEastAsia" w:hAnsiTheme="minorEastAsia" w:eastAsiaTheme="minorEastAsia"/>
          <w:highlight w:val="none"/>
        </w:rPr>
        <w:t>可自动存储多条原始刺激波形（≥50条），支持波形回顾、选择与比较，减少重复刺激；提供功能说明材料；（需提供该项功能的界面截图）</w:t>
      </w:r>
    </w:p>
    <w:p w14:paraId="5012A341">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47.</w:t>
      </w:r>
      <w:r>
        <w:rPr>
          <w:rStyle w:val="141"/>
          <w:rFonts w:hint="eastAsia" w:asciiTheme="minorEastAsia" w:hAnsiTheme="minorEastAsia" w:eastAsiaTheme="minorEastAsia"/>
        </w:rPr>
        <w:tab/>
      </w:r>
      <w:r>
        <w:rPr>
          <w:rStyle w:val="141"/>
          <w:rFonts w:hint="eastAsia" w:asciiTheme="minorEastAsia" w:hAnsiTheme="minorEastAsia" w:eastAsiaTheme="minorEastAsia"/>
        </w:rPr>
        <w:t>▲定量肌电图（QEMG）：支持多参数分析（包括但不限于时限、波幅、相位数、峰时限、上升时间、面积及大小指数等），具备运动单元电位自动识别与提取功能，支持自动分析与人工测量挑选，采样次数可预设；</w:t>
      </w:r>
    </w:p>
    <w:p w14:paraId="50C838C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48.</w:t>
      </w:r>
      <w:r>
        <w:rPr>
          <w:rStyle w:val="141"/>
          <w:rFonts w:hint="eastAsia" w:asciiTheme="minorEastAsia" w:hAnsiTheme="minorEastAsia" w:eastAsiaTheme="minorEastAsia"/>
        </w:rPr>
        <w:tab/>
      </w:r>
      <w:r>
        <w:rPr>
          <w:rStyle w:val="141"/>
          <w:rFonts w:hint="eastAsia" w:asciiTheme="minorEastAsia" w:hAnsiTheme="minorEastAsia" w:eastAsiaTheme="minorEastAsia"/>
        </w:rPr>
        <w:t>多运动单位自动分析：一次最多自动提取≥12个不同的运动单位。</w:t>
      </w:r>
    </w:p>
    <w:p w14:paraId="2FE94B81">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49.</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▲具备腕管综合征辅助检查功能，支持多参数综合评估，增加诊断灵敏度，降低假阳性率。</w:t>
      </w:r>
    </w:p>
    <w:p w14:paraId="155B7411">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50.</w:t>
      </w:r>
      <w:r>
        <w:rPr>
          <w:rStyle w:val="141"/>
          <w:rFonts w:hint="eastAsia" w:asciiTheme="minorEastAsia" w:hAnsiTheme="minorEastAsia" w:eastAsiaTheme="minorEastAsia"/>
        </w:rPr>
        <w:tab/>
      </w:r>
      <w:r>
        <w:rPr>
          <w:rStyle w:val="141"/>
          <w:rFonts w:hint="eastAsia" w:asciiTheme="minorEastAsia" w:hAnsiTheme="minorEastAsia" w:eastAsiaTheme="minorEastAsia"/>
        </w:rPr>
        <w:t>Silent Period 静息期：周围神经病变的早期诊断工具，反应Aδ神经纤维。</w:t>
      </w:r>
    </w:p>
    <w:p w14:paraId="6AC5CE0A">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51.</w:t>
      </w:r>
      <w:r>
        <w:rPr>
          <w:rStyle w:val="141"/>
          <w:rFonts w:hint="eastAsia" w:asciiTheme="minorEastAsia" w:hAnsiTheme="minorEastAsia" w:eastAsiaTheme="minorEastAsia"/>
        </w:rPr>
        <w:tab/>
      </w:r>
      <w:r>
        <w:rPr>
          <w:rStyle w:val="141"/>
          <w:rFonts w:hint="eastAsia" w:asciiTheme="minorEastAsia" w:hAnsiTheme="minorEastAsia" w:eastAsiaTheme="minorEastAsia"/>
        </w:rPr>
        <w:t>快速检查模板功能，可预设置含多种测试项目的检查流程，每个测试完成后无需退出直接按一个键就可进入下一个测试，使检查更快速方便。</w:t>
      </w:r>
    </w:p>
    <w:p w14:paraId="5643C64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52.</w:t>
      </w:r>
      <w:r>
        <w:rPr>
          <w:rStyle w:val="141"/>
          <w:rFonts w:hint="eastAsia" w:asciiTheme="minorEastAsia" w:hAnsiTheme="minorEastAsia" w:eastAsiaTheme="minorEastAsia"/>
        </w:rPr>
        <w:tab/>
      </w:r>
      <w:r>
        <w:rPr>
          <w:rStyle w:val="141"/>
          <w:rFonts w:hint="eastAsia" w:asciiTheme="minorEastAsia" w:hAnsiTheme="minorEastAsia" w:eastAsiaTheme="minorEastAsia"/>
        </w:rPr>
        <w:t>具有摄像功能，可将肌电图检查全过程波形、数据及操作界面的同步记录与存储，输出格式为标准视频格式（如AVI、MP4等），支持多种存储介质（USB、网络、光盘等），可在通用设备上回放</w:t>
      </w:r>
      <w:r>
        <w:rPr>
          <w:rStyle w:val="141"/>
          <w:rFonts w:hint="eastAsia" w:asciiTheme="minorEastAsia" w:hAnsiTheme="minorEastAsia" w:eastAsiaTheme="minorEastAsia"/>
          <w:highlight w:val="none"/>
        </w:rPr>
        <w:t>（需提供界面截图显示该项功能）</w:t>
      </w:r>
    </w:p>
    <w:p w14:paraId="086B853E">
      <w:pPr>
        <w:pStyle w:val="2"/>
        <w:spacing w:line="360" w:lineRule="auto"/>
        <w:ind w:firstLine="417" w:firstLineChars="174"/>
        <w:rPr>
          <w:rStyle w:val="141"/>
          <w:rFonts w:hint="default" w:asciiTheme="minorEastAsia" w:hAnsiTheme="minorEastAsia" w:eastAsiaTheme="minorEastAsia"/>
        </w:rPr>
      </w:pPr>
      <w:r>
        <w:rPr>
          <w:rStyle w:val="141"/>
          <w:rFonts w:hint="eastAsia" w:asciiTheme="minorEastAsia" w:hAnsiTheme="minorEastAsia" w:eastAsiaTheme="minorEastAsia"/>
        </w:rPr>
        <w:t>53.</w:t>
      </w:r>
      <w:r>
        <w:rPr>
          <w:rStyle w:val="141"/>
          <w:rFonts w:hint="eastAsia" w:asciiTheme="minorEastAsia" w:hAnsiTheme="minorEastAsia" w:eastAsiaTheme="minorEastAsia"/>
        </w:rPr>
        <w:tab/>
      </w:r>
      <w:r>
        <w:rPr>
          <w:rStyle w:val="141"/>
          <w:rFonts w:hint="eastAsia" w:asciiTheme="minorEastAsia" w:hAnsiTheme="minorEastAsia" w:eastAsiaTheme="minorEastAsia"/>
        </w:rPr>
        <w:t>▲肌电图动态存储，包括声音存储，每段存储时长可设置，最长每段≥900秒，存储段数无限，回顾时可分析测量。</w:t>
      </w:r>
      <w:r>
        <w:rPr>
          <w:rStyle w:val="141"/>
          <w:rFonts w:hint="default" w:asciiTheme="minorEastAsia" w:hAnsiTheme="minorEastAsia" w:eastAsiaTheme="minorEastAsia"/>
        </w:rPr>
        <w:t xml:space="preserve"> </w:t>
      </w:r>
    </w:p>
    <w:p w14:paraId="6380F97E">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54.</w:t>
      </w:r>
      <w:r>
        <w:rPr>
          <w:rStyle w:val="141"/>
          <w:rFonts w:hint="eastAsia" w:asciiTheme="minorEastAsia" w:hAnsiTheme="minorEastAsia" w:eastAsiaTheme="minorEastAsia"/>
        </w:rPr>
        <w:tab/>
      </w:r>
      <w:r>
        <w:rPr>
          <w:rStyle w:val="141"/>
          <w:rFonts w:hint="eastAsia" w:asciiTheme="minorEastAsia" w:hAnsiTheme="minorEastAsia" w:eastAsiaTheme="minorEastAsia"/>
        </w:rPr>
        <w:t>临床解剖图解专业指导，通过点选解剖图上的解剖位置，系统就自动提示该位置的神经或肌肉的名字，自动提示对应支配的神经根，并提示可选的检查项目。</w:t>
      </w:r>
    </w:p>
    <w:p w14:paraId="3C4AB03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55.</w:t>
      </w:r>
      <w:r>
        <w:rPr>
          <w:rStyle w:val="141"/>
          <w:rFonts w:hint="eastAsia" w:asciiTheme="minorEastAsia" w:hAnsiTheme="minorEastAsia" w:eastAsiaTheme="minorEastAsia"/>
        </w:rPr>
        <w:tab/>
      </w:r>
      <w:r>
        <w:rPr>
          <w:rStyle w:val="141"/>
          <w:rFonts w:hint="eastAsia" w:asciiTheme="minorEastAsia" w:hAnsiTheme="minorEastAsia" w:eastAsiaTheme="minorEastAsia"/>
        </w:rPr>
        <w:t>中文报告生成系统：病人资料、检查数据、波形、诊断内容等可选不同的预置模板，自动生成中文图文报告。</w:t>
      </w:r>
    </w:p>
    <w:p w14:paraId="3E117AD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g</w:t>
      </w:r>
      <w:r>
        <w:rPr>
          <w:rStyle w:val="141"/>
          <w:rFonts w:asciiTheme="minorEastAsia" w:hAnsiTheme="minorEastAsia" w:eastAsiaTheme="minorEastAsia"/>
        </w:rPr>
        <w:t>.</w:t>
      </w:r>
      <w:r>
        <w:rPr>
          <w:rStyle w:val="141"/>
          <w:rFonts w:hint="eastAsia" w:asciiTheme="minorEastAsia" w:hAnsiTheme="minorEastAsia" w:eastAsiaTheme="minorEastAsia"/>
        </w:rPr>
        <w:t>主机：</w:t>
      </w:r>
    </w:p>
    <w:p w14:paraId="595D3CBE">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56.</w:t>
      </w:r>
      <w:r>
        <w:rPr>
          <w:rStyle w:val="141"/>
          <w:rFonts w:hint="eastAsia" w:asciiTheme="minorEastAsia" w:hAnsiTheme="minorEastAsia" w:eastAsiaTheme="minorEastAsia"/>
        </w:rPr>
        <w:tab/>
      </w:r>
      <w:r>
        <w:rPr>
          <w:rStyle w:val="141"/>
          <w:rFonts w:hint="eastAsia" w:asciiTheme="minorEastAsia" w:hAnsiTheme="minorEastAsia" w:eastAsiaTheme="minorEastAsia"/>
        </w:rPr>
        <w:t>工作站：操作系统（Windows 10/11或兼容系统），主流≥4核处理器，内存≥8GB，硬盘容量≥2TB；</w:t>
      </w:r>
    </w:p>
    <w:p w14:paraId="5749A8AA">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57.</w:t>
      </w:r>
      <w:r>
        <w:rPr>
          <w:rStyle w:val="141"/>
          <w:rFonts w:hint="eastAsia" w:asciiTheme="minorEastAsia" w:hAnsiTheme="minorEastAsia" w:eastAsiaTheme="minorEastAsia"/>
        </w:rPr>
        <w:tab/>
      </w:r>
      <w:r>
        <w:rPr>
          <w:rStyle w:val="141"/>
          <w:rFonts w:hint="eastAsia" w:asciiTheme="minorEastAsia" w:hAnsiTheme="minorEastAsia" w:eastAsiaTheme="minorEastAsia"/>
        </w:rPr>
        <w:t>≥23吋监视器，分辨率≥1920×1080；</w:t>
      </w:r>
    </w:p>
    <w:p w14:paraId="2C09CD6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58.</w:t>
      </w:r>
      <w:r>
        <w:rPr>
          <w:rStyle w:val="141"/>
          <w:rFonts w:hint="eastAsia" w:asciiTheme="minorEastAsia" w:hAnsiTheme="minorEastAsia" w:eastAsiaTheme="minorEastAsia"/>
        </w:rPr>
        <w:tab/>
      </w:r>
      <w:r>
        <w:rPr>
          <w:rStyle w:val="141"/>
          <w:rFonts w:hint="eastAsia" w:asciiTheme="minorEastAsia" w:hAnsiTheme="minorEastAsia" w:eastAsiaTheme="minorEastAsia"/>
        </w:rPr>
        <w:t>具备激光图文报告设备；</w:t>
      </w:r>
    </w:p>
    <w:p w14:paraId="5C7A52A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59.</w:t>
      </w:r>
      <w:r>
        <w:rPr>
          <w:rStyle w:val="141"/>
          <w:rFonts w:hint="eastAsia" w:asciiTheme="minorEastAsia" w:hAnsiTheme="minorEastAsia" w:eastAsiaTheme="minorEastAsia"/>
        </w:rPr>
        <w:tab/>
      </w:r>
      <w:r>
        <w:rPr>
          <w:rStyle w:val="141"/>
          <w:rFonts w:hint="eastAsia" w:asciiTheme="minorEastAsia" w:hAnsiTheme="minorEastAsia" w:eastAsiaTheme="minorEastAsia"/>
        </w:rPr>
        <w:t>移动台车，带安全隔离电源。</w:t>
      </w:r>
    </w:p>
    <w:p w14:paraId="172D4CD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60.</w:t>
      </w:r>
      <w:r>
        <w:rPr>
          <w:rStyle w:val="141"/>
          <w:rFonts w:hint="eastAsia" w:asciiTheme="minorEastAsia" w:hAnsiTheme="minorEastAsia" w:eastAsiaTheme="minorEastAsia"/>
        </w:rPr>
        <w:tab/>
      </w:r>
      <w:r>
        <w:rPr>
          <w:rStyle w:val="141"/>
          <w:rFonts w:hint="eastAsia" w:asciiTheme="minorEastAsia" w:hAnsiTheme="minorEastAsia" w:eastAsiaTheme="minorEastAsia"/>
        </w:rPr>
        <w:t>软件功能永久免费使用，保期后在不新增软件功能的情况下免费升级。</w:t>
      </w:r>
    </w:p>
    <w:p w14:paraId="772198F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61.</w:t>
      </w:r>
      <w:r>
        <w:rPr>
          <w:rStyle w:val="141"/>
          <w:rFonts w:hint="eastAsia" w:asciiTheme="minorEastAsia" w:hAnsiTheme="minorEastAsia" w:eastAsiaTheme="minorEastAsia"/>
        </w:rPr>
        <w:tab/>
      </w:r>
      <w:r>
        <w:rPr>
          <w:rStyle w:val="141"/>
          <w:rFonts w:hint="eastAsia" w:asciiTheme="minorEastAsia" w:hAnsiTheme="minorEastAsia" w:eastAsiaTheme="minorEastAsia"/>
        </w:rPr>
        <w:t>设备使用年限不低于7年（提供设备铭牌图片）。</w:t>
      </w:r>
    </w:p>
    <w:p w14:paraId="3FF8509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（四）-</w:t>
      </w:r>
      <w:r>
        <w:rPr>
          <w:rStyle w:val="141"/>
          <w:rFonts w:asciiTheme="minorEastAsia" w:hAnsiTheme="minorEastAsia" w:eastAsiaTheme="minorEastAsia"/>
        </w:rPr>
        <w:t>3</w:t>
      </w:r>
      <w:r>
        <w:rPr>
          <w:rStyle w:val="141"/>
          <w:rFonts w:hint="eastAsia" w:asciiTheme="minorEastAsia" w:hAnsiTheme="minorEastAsia" w:eastAsiaTheme="minorEastAsia"/>
        </w:rPr>
        <w:t>配置清单：</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4270"/>
        <w:gridCol w:w="958"/>
        <w:gridCol w:w="877"/>
      </w:tblGrid>
      <w:tr w14:paraId="29CD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482BE374">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lang w:bidi="ar"/>
              </w:rPr>
              <w:t>序号</w:t>
            </w:r>
          </w:p>
        </w:tc>
        <w:tc>
          <w:tcPr>
            <w:tcW w:w="4270" w:type="dxa"/>
            <w:tcBorders>
              <w:top w:val="single" w:color="auto" w:sz="4" w:space="0"/>
              <w:left w:val="nil"/>
              <w:bottom w:val="single" w:color="auto" w:sz="4" w:space="0"/>
              <w:right w:val="single" w:color="auto" w:sz="4" w:space="0"/>
            </w:tcBorders>
          </w:tcPr>
          <w:p w14:paraId="550179CF">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lang w:bidi="ar"/>
              </w:rPr>
              <w:t>部件名称</w:t>
            </w:r>
          </w:p>
        </w:tc>
        <w:tc>
          <w:tcPr>
            <w:tcW w:w="958" w:type="dxa"/>
            <w:tcBorders>
              <w:top w:val="single" w:color="auto" w:sz="4" w:space="0"/>
              <w:left w:val="nil"/>
              <w:bottom w:val="single" w:color="auto" w:sz="4" w:space="0"/>
              <w:right w:val="single" w:color="auto" w:sz="4" w:space="0"/>
            </w:tcBorders>
          </w:tcPr>
          <w:p w14:paraId="58260285">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lang w:bidi="ar"/>
              </w:rPr>
              <w:t>单位</w:t>
            </w:r>
          </w:p>
        </w:tc>
        <w:tc>
          <w:tcPr>
            <w:tcW w:w="877" w:type="dxa"/>
            <w:tcBorders>
              <w:top w:val="single" w:color="auto" w:sz="4" w:space="0"/>
              <w:left w:val="nil"/>
              <w:bottom w:val="single" w:color="auto" w:sz="4" w:space="0"/>
              <w:right w:val="single" w:color="auto" w:sz="4" w:space="0"/>
            </w:tcBorders>
            <w:vAlign w:val="center"/>
          </w:tcPr>
          <w:p w14:paraId="77731DC8">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lang w:bidi="ar"/>
              </w:rPr>
              <w:t>数量</w:t>
            </w:r>
          </w:p>
        </w:tc>
      </w:tr>
      <w:tr w14:paraId="44F2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3FC6CE93">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1</w:t>
            </w:r>
          </w:p>
        </w:tc>
        <w:tc>
          <w:tcPr>
            <w:tcW w:w="4270" w:type="dxa"/>
            <w:tcBorders>
              <w:top w:val="single" w:color="auto" w:sz="4" w:space="0"/>
              <w:left w:val="nil"/>
              <w:bottom w:val="single" w:color="auto" w:sz="4" w:space="0"/>
              <w:right w:val="single" w:color="auto" w:sz="4" w:space="0"/>
            </w:tcBorders>
          </w:tcPr>
          <w:p w14:paraId="78C91857">
            <w:pPr>
              <w:keepNext w:val="0"/>
              <w:keepLines w:val="0"/>
              <w:suppressLineNumbers w:val="0"/>
              <w:spacing w:before="0" w:beforeAutospacing="0" w:after="0" w:afterAutospacing="0"/>
              <w:ind w:left="0" w:right="0"/>
              <w:rPr>
                <w:rFonts w:hint="eastAsia" w:ascii="宋体" w:hAnsi="宋体" w:cs="宋体"/>
                <w:szCs w:val="21"/>
              </w:rPr>
            </w:pPr>
            <w:r>
              <w:rPr>
                <w:rFonts w:hint="eastAsia" w:ascii="宋体" w:hAnsi="宋体" w:cs="宋体"/>
                <w:kern w:val="0"/>
                <w:sz w:val="20"/>
                <w:szCs w:val="21"/>
              </w:rPr>
              <w:t>计算机系统：</w:t>
            </w:r>
            <w:r>
              <w:rPr>
                <w:rFonts w:hint="eastAsia"/>
              </w:rPr>
              <w:t>操作系统（Windows 10/11或兼容系统），主流≥4核处理器，内存≥8GB，硬盘容量≥2TB；</w:t>
            </w:r>
          </w:p>
        </w:tc>
        <w:tc>
          <w:tcPr>
            <w:tcW w:w="958" w:type="dxa"/>
            <w:tcBorders>
              <w:top w:val="single" w:color="auto" w:sz="4" w:space="0"/>
              <w:left w:val="nil"/>
              <w:bottom w:val="single" w:color="auto" w:sz="4" w:space="0"/>
              <w:right w:val="single" w:color="auto" w:sz="4" w:space="0"/>
            </w:tcBorders>
          </w:tcPr>
          <w:p w14:paraId="5049F8A9">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1套</w:t>
            </w:r>
          </w:p>
        </w:tc>
        <w:tc>
          <w:tcPr>
            <w:tcW w:w="877" w:type="dxa"/>
            <w:tcBorders>
              <w:top w:val="single" w:color="auto" w:sz="4" w:space="0"/>
              <w:left w:val="nil"/>
              <w:bottom w:val="single" w:color="auto" w:sz="4" w:space="0"/>
              <w:right w:val="single" w:color="auto" w:sz="4" w:space="0"/>
            </w:tcBorders>
          </w:tcPr>
          <w:p w14:paraId="7842A733">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258C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tcPr>
          <w:p w14:paraId="4FAF1FCC">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2</w:t>
            </w:r>
          </w:p>
        </w:tc>
        <w:tc>
          <w:tcPr>
            <w:tcW w:w="4270" w:type="dxa"/>
            <w:tcBorders>
              <w:top w:val="single" w:color="auto" w:sz="4" w:space="0"/>
              <w:left w:val="nil"/>
              <w:bottom w:val="single" w:color="auto" w:sz="4" w:space="0"/>
              <w:right w:val="single" w:color="auto" w:sz="4" w:space="0"/>
            </w:tcBorders>
          </w:tcPr>
          <w:p w14:paraId="02CD1F30">
            <w:pPr>
              <w:keepNext w:val="0"/>
              <w:keepLines w:val="0"/>
              <w:suppressLineNumbers w:val="0"/>
              <w:spacing w:before="0" w:beforeAutospacing="0" w:after="0" w:afterAutospacing="0"/>
              <w:ind w:left="0" w:right="0"/>
              <w:rPr>
                <w:rFonts w:hint="eastAsia" w:ascii="宋体" w:hAnsi="宋体" w:cs="宋体"/>
                <w:szCs w:val="21"/>
              </w:rPr>
            </w:pPr>
            <w:r>
              <w:rPr>
                <w:rFonts w:hint="eastAsia" w:ascii="宋体" w:hAnsi="宋体" w:cs="宋体"/>
                <w:kern w:val="0"/>
                <w:sz w:val="20"/>
                <w:szCs w:val="21"/>
              </w:rPr>
              <w:t>4通道放大器（连支臂）</w:t>
            </w:r>
          </w:p>
        </w:tc>
        <w:tc>
          <w:tcPr>
            <w:tcW w:w="958" w:type="dxa"/>
            <w:tcBorders>
              <w:top w:val="single" w:color="auto" w:sz="4" w:space="0"/>
              <w:left w:val="nil"/>
              <w:bottom w:val="single" w:color="auto" w:sz="4" w:space="0"/>
              <w:right w:val="single" w:color="auto" w:sz="4" w:space="0"/>
            </w:tcBorders>
          </w:tcPr>
          <w:p w14:paraId="151EBA47">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1套</w:t>
            </w:r>
          </w:p>
        </w:tc>
        <w:tc>
          <w:tcPr>
            <w:tcW w:w="877" w:type="dxa"/>
            <w:tcBorders>
              <w:top w:val="single" w:color="auto" w:sz="4" w:space="0"/>
              <w:left w:val="nil"/>
              <w:bottom w:val="single" w:color="auto" w:sz="4" w:space="0"/>
              <w:right w:val="single" w:color="auto" w:sz="4" w:space="0"/>
            </w:tcBorders>
          </w:tcPr>
          <w:p w14:paraId="4C1FE285">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2586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7F4D8600">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3</w:t>
            </w:r>
          </w:p>
        </w:tc>
        <w:tc>
          <w:tcPr>
            <w:tcW w:w="4270" w:type="dxa"/>
            <w:tcBorders>
              <w:top w:val="single" w:color="auto" w:sz="4" w:space="0"/>
              <w:left w:val="nil"/>
              <w:bottom w:val="single" w:color="auto" w:sz="4" w:space="0"/>
              <w:right w:val="single" w:color="auto" w:sz="4" w:space="0"/>
            </w:tcBorders>
          </w:tcPr>
          <w:p w14:paraId="7BD394D3">
            <w:pPr>
              <w:keepNext w:val="0"/>
              <w:keepLines w:val="0"/>
              <w:suppressLineNumbers w:val="0"/>
              <w:spacing w:before="0" w:beforeAutospacing="0" w:after="0" w:afterAutospacing="0"/>
              <w:ind w:left="0" w:right="0"/>
              <w:rPr>
                <w:rFonts w:hint="default" w:ascii="宋体" w:hAnsi="宋体" w:cs="宋体"/>
                <w:szCs w:val="21"/>
              </w:rPr>
            </w:pPr>
            <w:r>
              <w:rPr>
                <w:rFonts w:hint="eastAsia" w:ascii="宋体" w:hAnsi="宋体" w:cs="宋体"/>
                <w:kern w:val="0"/>
                <w:sz w:val="20"/>
                <w:szCs w:val="21"/>
              </w:rPr>
              <w:t>主机：包含内置电刺激输出、控制面板、扬声器、检查和分析软件</w:t>
            </w:r>
          </w:p>
        </w:tc>
        <w:tc>
          <w:tcPr>
            <w:tcW w:w="958" w:type="dxa"/>
            <w:tcBorders>
              <w:top w:val="single" w:color="auto" w:sz="4" w:space="0"/>
              <w:left w:val="nil"/>
              <w:bottom w:val="single" w:color="auto" w:sz="4" w:space="0"/>
              <w:right w:val="single" w:color="auto" w:sz="4" w:space="0"/>
            </w:tcBorders>
          </w:tcPr>
          <w:p w14:paraId="20D5D1E7">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1套</w:t>
            </w:r>
          </w:p>
        </w:tc>
        <w:tc>
          <w:tcPr>
            <w:tcW w:w="877" w:type="dxa"/>
            <w:tcBorders>
              <w:top w:val="single" w:color="auto" w:sz="4" w:space="0"/>
              <w:left w:val="nil"/>
              <w:bottom w:val="single" w:color="auto" w:sz="4" w:space="0"/>
              <w:right w:val="single" w:color="auto" w:sz="4" w:space="0"/>
            </w:tcBorders>
          </w:tcPr>
          <w:p w14:paraId="04C84E27">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6DC4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7C07F0DB">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4</w:t>
            </w:r>
          </w:p>
        </w:tc>
        <w:tc>
          <w:tcPr>
            <w:tcW w:w="4270" w:type="dxa"/>
            <w:tcBorders>
              <w:top w:val="single" w:color="auto" w:sz="4" w:space="0"/>
              <w:left w:val="nil"/>
              <w:bottom w:val="single" w:color="auto" w:sz="4" w:space="0"/>
              <w:right w:val="single" w:color="auto" w:sz="4" w:space="0"/>
            </w:tcBorders>
          </w:tcPr>
          <w:p w14:paraId="39ADAD8B">
            <w:pPr>
              <w:keepNext w:val="0"/>
              <w:keepLines w:val="0"/>
              <w:suppressLineNumbers w:val="0"/>
              <w:spacing w:before="0" w:beforeAutospacing="0" w:after="0" w:afterAutospacing="0"/>
              <w:ind w:left="0" w:right="0"/>
              <w:rPr>
                <w:rFonts w:hint="default" w:ascii="宋体" w:hAnsi="宋体" w:cs="宋体"/>
                <w:kern w:val="0"/>
                <w:sz w:val="20"/>
                <w:szCs w:val="21"/>
              </w:rPr>
            </w:pPr>
            <w:r>
              <w:rPr>
                <w:rFonts w:hint="eastAsia" w:ascii="宋体" w:hAnsi="宋体" w:cs="宋体"/>
                <w:kern w:val="0"/>
                <w:sz w:val="20"/>
                <w:szCs w:val="21"/>
              </w:rPr>
              <w:t>刺激探头</w:t>
            </w:r>
            <w:r>
              <w:rPr>
                <w:rFonts w:hint="default" w:ascii="宋体" w:hAnsi="宋体" w:cs="宋体"/>
                <w:kern w:val="0"/>
                <w:sz w:val="20"/>
                <w:szCs w:val="21"/>
              </w:rPr>
              <w:t>（电刺激器）</w:t>
            </w:r>
          </w:p>
        </w:tc>
        <w:tc>
          <w:tcPr>
            <w:tcW w:w="958" w:type="dxa"/>
            <w:tcBorders>
              <w:top w:val="single" w:color="auto" w:sz="4" w:space="0"/>
              <w:left w:val="nil"/>
              <w:bottom w:val="single" w:color="auto" w:sz="4" w:space="0"/>
              <w:right w:val="single" w:color="auto" w:sz="4" w:space="0"/>
            </w:tcBorders>
          </w:tcPr>
          <w:p w14:paraId="1C2DC4C9">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1个</w:t>
            </w:r>
          </w:p>
        </w:tc>
        <w:tc>
          <w:tcPr>
            <w:tcW w:w="877" w:type="dxa"/>
            <w:tcBorders>
              <w:top w:val="single" w:color="auto" w:sz="4" w:space="0"/>
              <w:left w:val="nil"/>
              <w:bottom w:val="single" w:color="auto" w:sz="4" w:space="0"/>
              <w:right w:val="single" w:color="auto" w:sz="4" w:space="0"/>
            </w:tcBorders>
          </w:tcPr>
          <w:p w14:paraId="27E66097">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6A2F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46CAABF8">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5</w:t>
            </w:r>
          </w:p>
        </w:tc>
        <w:tc>
          <w:tcPr>
            <w:tcW w:w="4270" w:type="dxa"/>
            <w:tcBorders>
              <w:top w:val="single" w:color="auto" w:sz="4" w:space="0"/>
              <w:left w:val="nil"/>
              <w:bottom w:val="single" w:color="auto" w:sz="4" w:space="0"/>
              <w:right w:val="single" w:color="auto" w:sz="4" w:space="0"/>
            </w:tcBorders>
          </w:tcPr>
          <w:p w14:paraId="41E85A64">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眼罩</w:t>
            </w:r>
            <w:r>
              <w:rPr>
                <w:rFonts w:hint="default" w:ascii="宋体" w:hAnsi="宋体" w:cs="宋体"/>
                <w:kern w:val="0"/>
                <w:sz w:val="20"/>
                <w:szCs w:val="21"/>
              </w:rPr>
              <w:t>式视觉</w:t>
            </w:r>
            <w:r>
              <w:rPr>
                <w:rFonts w:hint="eastAsia" w:ascii="宋体" w:hAnsi="宋体" w:cs="宋体"/>
                <w:kern w:val="0"/>
                <w:sz w:val="20"/>
                <w:szCs w:val="21"/>
              </w:rPr>
              <w:t>刺激器</w:t>
            </w:r>
          </w:p>
        </w:tc>
        <w:tc>
          <w:tcPr>
            <w:tcW w:w="958" w:type="dxa"/>
            <w:tcBorders>
              <w:top w:val="single" w:color="auto" w:sz="4" w:space="0"/>
              <w:left w:val="nil"/>
              <w:bottom w:val="single" w:color="auto" w:sz="4" w:space="0"/>
              <w:right w:val="single" w:color="auto" w:sz="4" w:space="0"/>
            </w:tcBorders>
          </w:tcPr>
          <w:p w14:paraId="1C382ACB">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1个</w:t>
            </w:r>
          </w:p>
        </w:tc>
        <w:tc>
          <w:tcPr>
            <w:tcW w:w="877" w:type="dxa"/>
            <w:tcBorders>
              <w:top w:val="single" w:color="auto" w:sz="4" w:space="0"/>
              <w:left w:val="nil"/>
              <w:bottom w:val="single" w:color="auto" w:sz="4" w:space="0"/>
              <w:right w:val="single" w:color="auto" w:sz="4" w:space="0"/>
            </w:tcBorders>
          </w:tcPr>
          <w:p w14:paraId="47507D61">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623E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45F5F739">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6</w:t>
            </w:r>
          </w:p>
        </w:tc>
        <w:tc>
          <w:tcPr>
            <w:tcW w:w="4270" w:type="dxa"/>
            <w:tcBorders>
              <w:top w:val="single" w:color="auto" w:sz="4" w:space="0"/>
              <w:left w:val="nil"/>
              <w:bottom w:val="single" w:color="auto" w:sz="4" w:space="0"/>
              <w:right w:val="single" w:color="auto" w:sz="4" w:space="0"/>
            </w:tcBorders>
          </w:tcPr>
          <w:p w14:paraId="0B50BBB0">
            <w:pPr>
              <w:keepNext w:val="0"/>
              <w:keepLines w:val="0"/>
              <w:suppressLineNumbers w:val="0"/>
              <w:spacing w:before="0" w:beforeAutospacing="0" w:after="0" w:afterAutospacing="0"/>
              <w:ind w:left="0" w:right="0"/>
              <w:rPr>
                <w:rFonts w:hint="default" w:ascii="宋体" w:hAnsi="宋体" w:cs="宋体"/>
                <w:kern w:val="0"/>
                <w:sz w:val="20"/>
                <w:szCs w:val="21"/>
              </w:rPr>
            </w:pPr>
            <w:r>
              <w:rPr>
                <w:rFonts w:hint="eastAsia" w:ascii="宋体" w:hAnsi="宋体" w:cs="宋体"/>
                <w:kern w:val="0"/>
                <w:sz w:val="20"/>
                <w:szCs w:val="21"/>
              </w:rPr>
              <w:t>非屏蔽声学耳机</w:t>
            </w:r>
            <w:r>
              <w:rPr>
                <w:rFonts w:hint="default" w:ascii="宋体" w:hAnsi="宋体" w:cs="宋体"/>
                <w:kern w:val="0"/>
                <w:sz w:val="20"/>
                <w:szCs w:val="21"/>
              </w:rPr>
              <w:t>（听觉刺激器）</w:t>
            </w:r>
          </w:p>
        </w:tc>
        <w:tc>
          <w:tcPr>
            <w:tcW w:w="958" w:type="dxa"/>
            <w:tcBorders>
              <w:top w:val="single" w:color="auto" w:sz="4" w:space="0"/>
              <w:left w:val="nil"/>
              <w:bottom w:val="single" w:color="auto" w:sz="4" w:space="0"/>
              <w:right w:val="single" w:color="auto" w:sz="4" w:space="0"/>
            </w:tcBorders>
          </w:tcPr>
          <w:p w14:paraId="34372CC2">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1副</w:t>
            </w:r>
          </w:p>
        </w:tc>
        <w:tc>
          <w:tcPr>
            <w:tcW w:w="877" w:type="dxa"/>
            <w:tcBorders>
              <w:top w:val="single" w:color="auto" w:sz="4" w:space="0"/>
              <w:left w:val="nil"/>
              <w:bottom w:val="single" w:color="auto" w:sz="4" w:space="0"/>
              <w:right w:val="single" w:color="auto" w:sz="4" w:space="0"/>
            </w:tcBorders>
          </w:tcPr>
          <w:p w14:paraId="604728AA">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1071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0F532AE2">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7</w:t>
            </w:r>
          </w:p>
        </w:tc>
        <w:tc>
          <w:tcPr>
            <w:tcW w:w="4270" w:type="dxa"/>
            <w:tcBorders>
              <w:top w:val="single" w:color="auto" w:sz="4" w:space="0"/>
              <w:left w:val="nil"/>
              <w:bottom w:val="single" w:color="auto" w:sz="4" w:space="0"/>
              <w:right w:val="single" w:color="auto" w:sz="4" w:space="0"/>
            </w:tcBorders>
          </w:tcPr>
          <w:p w14:paraId="57D0267D">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脚踏开关</w:t>
            </w:r>
          </w:p>
        </w:tc>
        <w:tc>
          <w:tcPr>
            <w:tcW w:w="958" w:type="dxa"/>
            <w:tcBorders>
              <w:top w:val="single" w:color="auto" w:sz="4" w:space="0"/>
              <w:left w:val="nil"/>
              <w:bottom w:val="single" w:color="auto" w:sz="4" w:space="0"/>
              <w:right w:val="single" w:color="auto" w:sz="4" w:space="0"/>
            </w:tcBorders>
          </w:tcPr>
          <w:p w14:paraId="241B215F">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1个</w:t>
            </w:r>
          </w:p>
        </w:tc>
        <w:tc>
          <w:tcPr>
            <w:tcW w:w="877" w:type="dxa"/>
            <w:tcBorders>
              <w:top w:val="single" w:color="auto" w:sz="4" w:space="0"/>
              <w:left w:val="nil"/>
              <w:bottom w:val="single" w:color="auto" w:sz="4" w:space="0"/>
              <w:right w:val="single" w:color="auto" w:sz="4" w:space="0"/>
            </w:tcBorders>
          </w:tcPr>
          <w:p w14:paraId="1357D7D7">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4D8D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5CCCFE44">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8</w:t>
            </w:r>
          </w:p>
        </w:tc>
        <w:tc>
          <w:tcPr>
            <w:tcW w:w="4270" w:type="dxa"/>
            <w:tcBorders>
              <w:top w:val="single" w:color="auto" w:sz="4" w:space="0"/>
              <w:left w:val="nil"/>
              <w:bottom w:val="single" w:color="auto" w:sz="4" w:space="0"/>
              <w:right w:val="single" w:color="auto" w:sz="4" w:space="0"/>
            </w:tcBorders>
          </w:tcPr>
          <w:p w14:paraId="48AC0AFF">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220V隔离电源</w:t>
            </w:r>
          </w:p>
        </w:tc>
        <w:tc>
          <w:tcPr>
            <w:tcW w:w="958" w:type="dxa"/>
            <w:tcBorders>
              <w:top w:val="single" w:color="auto" w:sz="4" w:space="0"/>
              <w:left w:val="nil"/>
              <w:bottom w:val="single" w:color="auto" w:sz="4" w:space="0"/>
              <w:right w:val="single" w:color="auto" w:sz="4" w:space="0"/>
            </w:tcBorders>
          </w:tcPr>
          <w:p w14:paraId="2B03412E">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1个</w:t>
            </w:r>
          </w:p>
        </w:tc>
        <w:tc>
          <w:tcPr>
            <w:tcW w:w="877" w:type="dxa"/>
            <w:tcBorders>
              <w:top w:val="single" w:color="auto" w:sz="4" w:space="0"/>
              <w:left w:val="nil"/>
              <w:bottom w:val="single" w:color="auto" w:sz="4" w:space="0"/>
              <w:right w:val="single" w:color="auto" w:sz="4" w:space="0"/>
            </w:tcBorders>
          </w:tcPr>
          <w:p w14:paraId="4FAAD8E6">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03DC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Borders>
              <w:top w:val="single" w:color="auto" w:sz="4" w:space="0"/>
              <w:left w:val="single" w:color="auto" w:sz="4" w:space="0"/>
              <w:bottom w:val="single" w:color="auto" w:sz="4" w:space="0"/>
              <w:right w:val="single" w:color="auto" w:sz="4" w:space="0"/>
            </w:tcBorders>
          </w:tcPr>
          <w:p w14:paraId="1A766D4F">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r>
              <w:rPr>
                <w:rFonts w:hint="eastAsia" w:ascii="宋体" w:hAnsi="宋体" w:cs="宋体"/>
                <w:szCs w:val="21"/>
              </w:rPr>
              <w:t>9</w:t>
            </w:r>
          </w:p>
        </w:tc>
        <w:tc>
          <w:tcPr>
            <w:tcW w:w="4270" w:type="dxa"/>
            <w:tcBorders>
              <w:top w:val="single" w:color="auto" w:sz="4" w:space="0"/>
              <w:left w:val="nil"/>
              <w:bottom w:val="single" w:color="auto" w:sz="4" w:space="0"/>
              <w:right w:val="single" w:color="auto" w:sz="4" w:space="0"/>
            </w:tcBorders>
          </w:tcPr>
          <w:p w14:paraId="5273E511">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监视器</w:t>
            </w:r>
          </w:p>
        </w:tc>
        <w:tc>
          <w:tcPr>
            <w:tcW w:w="958" w:type="dxa"/>
            <w:tcBorders>
              <w:top w:val="single" w:color="auto" w:sz="4" w:space="0"/>
              <w:left w:val="nil"/>
              <w:bottom w:val="single" w:color="auto" w:sz="4" w:space="0"/>
              <w:right w:val="single" w:color="auto" w:sz="4" w:space="0"/>
            </w:tcBorders>
          </w:tcPr>
          <w:p w14:paraId="0539CB1E">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1个</w:t>
            </w:r>
          </w:p>
        </w:tc>
        <w:tc>
          <w:tcPr>
            <w:tcW w:w="877" w:type="dxa"/>
            <w:tcBorders>
              <w:top w:val="single" w:color="auto" w:sz="4" w:space="0"/>
              <w:left w:val="nil"/>
              <w:bottom w:val="single" w:color="auto" w:sz="4" w:space="0"/>
              <w:right w:val="single" w:color="auto" w:sz="4" w:space="0"/>
            </w:tcBorders>
          </w:tcPr>
          <w:p w14:paraId="0D2C3B0A">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3D44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0330FBC9">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10</w:t>
            </w:r>
          </w:p>
        </w:tc>
        <w:tc>
          <w:tcPr>
            <w:tcW w:w="4270" w:type="dxa"/>
          </w:tcPr>
          <w:p w14:paraId="00AABC59">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rPr>
              <w:t>激光图文报告设备</w:t>
            </w:r>
          </w:p>
        </w:tc>
        <w:tc>
          <w:tcPr>
            <w:tcW w:w="958" w:type="dxa"/>
          </w:tcPr>
          <w:p w14:paraId="5613CF27">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1台</w:t>
            </w:r>
          </w:p>
        </w:tc>
        <w:tc>
          <w:tcPr>
            <w:tcW w:w="877" w:type="dxa"/>
          </w:tcPr>
          <w:p w14:paraId="13E2D07A">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7420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1E30652C">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11</w:t>
            </w:r>
          </w:p>
        </w:tc>
        <w:tc>
          <w:tcPr>
            <w:tcW w:w="4270" w:type="dxa"/>
          </w:tcPr>
          <w:p w14:paraId="6904C843">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台车</w:t>
            </w:r>
          </w:p>
        </w:tc>
        <w:tc>
          <w:tcPr>
            <w:tcW w:w="958" w:type="dxa"/>
          </w:tcPr>
          <w:p w14:paraId="53E0231B">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1台</w:t>
            </w:r>
          </w:p>
        </w:tc>
        <w:tc>
          <w:tcPr>
            <w:tcW w:w="877" w:type="dxa"/>
          </w:tcPr>
          <w:p w14:paraId="0746E970">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3013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3D2F6C21">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12</w:t>
            </w:r>
          </w:p>
        </w:tc>
        <w:tc>
          <w:tcPr>
            <w:tcW w:w="4270" w:type="dxa"/>
          </w:tcPr>
          <w:p w14:paraId="273D791B">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肌电针电极，25根/盒</w:t>
            </w:r>
          </w:p>
        </w:tc>
        <w:tc>
          <w:tcPr>
            <w:tcW w:w="958" w:type="dxa"/>
          </w:tcPr>
          <w:p w14:paraId="76541C8A">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1盒</w:t>
            </w:r>
          </w:p>
        </w:tc>
        <w:tc>
          <w:tcPr>
            <w:tcW w:w="877" w:type="dxa"/>
          </w:tcPr>
          <w:p w14:paraId="3B982ADA">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65A9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2B8900BE">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13</w:t>
            </w:r>
          </w:p>
        </w:tc>
        <w:tc>
          <w:tcPr>
            <w:tcW w:w="4270" w:type="dxa"/>
          </w:tcPr>
          <w:p w14:paraId="6E6E4293">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肌电针电极连接线（电极导联线）</w:t>
            </w:r>
          </w:p>
        </w:tc>
        <w:tc>
          <w:tcPr>
            <w:tcW w:w="958" w:type="dxa"/>
          </w:tcPr>
          <w:p w14:paraId="0E7A7A02">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1条</w:t>
            </w:r>
          </w:p>
        </w:tc>
        <w:tc>
          <w:tcPr>
            <w:tcW w:w="877" w:type="dxa"/>
          </w:tcPr>
          <w:p w14:paraId="4390F17B">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24FF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0A7DF256">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14</w:t>
            </w:r>
          </w:p>
        </w:tc>
        <w:tc>
          <w:tcPr>
            <w:tcW w:w="4270" w:type="dxa"/>
          </w:tcPr>
          <w:p w14:paraId="527AB5C0">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指环电极</w:t>
            </w:r>
          </w:p>
        </w:tc>
        <w:tc>
          <w:tcPr>
            <w:tcW w:w="958" w:type="dxa"/>
          </w:tcPr>
          <w:p w14:paraId="58280C7D">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1对</w:t>
            </w:r>
          </w:p>
        </w:tc>
        <w:tc>
          <w:tcPr>
            <w:tcW w:w="877" w:type="dxa"/>
          </w:tcPr>
          <w:p w14:paraId="3FACF84C">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264B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598AC367">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15</w:t>
            </w:r>
          </w:p>
        </w:tc>
        <w:tc>
          <w:tcPr>
            <w:tcW w:w="4270" w:type="dxa"/>
          </w:tcPr>
          <w:p w14:paraId="56A25B7A">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表面电极</w:t>
            </w:r>
          </w:p>
        </w:tc>
        <w:tc>
          <w:tcPr>
            <w:tcW w:w="958" w:type="dxa"/>
          </w:tcPr>
          <w:p w14:paraId="4F106156">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1对</w:t>
            </w:r>
          </w:p>
        </w:tc>
        <w:tc>
          <w:tcPr>
            <w:tcW w:w="877" w:type="dxa"/>
          </w:tcPr>
          <w:p w14:paraId="0BE7560D">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2C0A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121A94FD">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16</w:t>
            </w:r>
          </w:p>
        </w:tc>
        <w:tc>
          <w:tcPr>
            <w:tcW w:w="4270" w:type="dxa"/>
          </w:tcPr>
          <w:p w14:paraId="7E52EE56">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鳄鱼夹形导联线（肌电导联线）</w:t>
            </w:r>
          </w:p>
        </w:tc>
        <w:tc>
          <w:tcPr>
            <w:tcW w:w="958" w:type="dxa"/>
          </w:tcPr>
          <w:p w14:paraId="0A3F2E41">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1条</w:t>
            </w:r>
          </w:p>
        </w:tc>
        <w:tc>
          <w:tcPr>
            <w:tcW w:w="877" w:type="dxa"/>
          </w:tcPr>
          <w:p w14:paraId="2ACB2FEF">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5A32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5DB48CE0">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17</w:t>
            </w:r>
          </w:p>
        </w:tc>
        <w:tc>
          <w:tcPr>
            <w:tcW w:w="4270" w:type="dxa"/>
          </w:tcPr>
          <w:p w14:paraId="1837F6E4">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一次性使用心电电极（50片/包）</w:t>
            </w:r>
          </w:p>
        </w:tc>
        <w:tc>
          <w:tcPr>
            <w:tcW w:w="958" w:type="dxa"/>
          </w:tcPr>
          <w:p w14:paraId="2C95B1F1">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1包</w:t>
            </w:r>
          </w:p>
        </w:tc>
        <w:tc>
          <w:tcPr>
            <w:tcW w:w="877" w:type="dxa"/>
          </w:tcPr>
          <w:p w14:paraId="0D924A02">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1A20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0F65D5AD">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18</w:t>
            </w:r>
          </w:p>
        </w:tc>
        <w:tc>
          <w:tcPr>
            <w:tcW w:w="4270" w:type="dxa"/>
          </w:tcPr>
          <w:p w14:paraId="115505EF">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地线电极</w:t>
            </w:r>
          </w:p>
        </w:tc>
        <w:tc>
          <w:tcPr>
            <w:tcW w:w="958" w:type="dxa"/>
          </w:tcPr>
          <w:p w14:paraId="47041909">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1条</w:t>
            </w:r>
          </w:p>
        </w:tc>
        <w:tc>
          <w:tcPr>
            <w:tcW w:w="877" w:type="dxa"/>
          </w:tcPr>
          <w:p w14:paraId="5EDDF763">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70FF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3B761E8C">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19</w:t>
            </w:r>
          </w:p>
        </w:tc>
        <w:tc>
          <w:tcPr>
            <w:tcW w:w="4270" w:type="dxa"/>
          </w:tcPr>
          <w:p w14:paraId="7A0172F9">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鞍状电极</w:t>
            </w:r>
          </w:p>
        </w:tc>
        <w:tc>
          <w:tcPr>
            <w:tcW w:w="958" w:type="dxa"/>
          </w:tcPr>
          <w:p w14:paraId="548CABEF">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1根</w:t>
            </w:r>
          </w:p>
        </w:tc>
        <w:tc>
          <w:tcPr>
            <w:tcW w:w="877" w:type="dxa"/>
          </w:tcPr>
          <w:p w14:paraId="5844A0B2">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57B2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257D840A">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20</w:t>
            </w:r>
          </w:p>
        </w:tc>
        <w:tc>
          <w:tcPr>
            <w:tcW w:w="4270" w:type="dxa"/>
          </w:tcPr>
          <w:p w14:paraId="44C22BC6">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金盘电极，12根/包</w:t>
            </w:r>
          </w:p>
        </w:tc>
        <w:tc>
          <w:tcPr>
            <w:tcW w:w="958" w:type="dxa"/>
          </w:tcPr>
          <w:p w14:paraId="13D5AF75">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1包</w:t>
            </w:r>
          </w:p>
        </w:tc>
        <w:tc>
          <w:tcPr>
            <w:tcW w:w="877" w:type="dxa"/>
          </w:tcPr>
          <w:p w14:paraId="284068A3">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2B3B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00574338">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21</w:t>
            </w:r>
          </w:p>
        </w:tc>
        <w:tc>
          <w:tcPr>
            <w:tcW w:w="4270" w:type="dxa"/>
          </w:tcPr>
          <w:p w14:paraId="2BCFE4E0">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导电膏、电极胶、凝胶（磨砂膏）</w:t>
            </w:r>
          </w:p>
        </w:tc>
        <w:tc>
          <w:tcPr>
            <w:tcW w:w="958" w:type="dxa"/>
          </w:tcPr>
          <w:p w14:paraId="2B37F3F4">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各2支</w:t>
            </w:r>
          </w:p>
        </w:tc>
        <w:tc>
          <w:tcPr>
            <w:tcW w:w="877" w:type="dxa"/>
          </w:tcPr>
          <w:p w14:paraId="431A7349">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053E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0049C937">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22</w:t>
            </w:r>
          </w:p>
        </w:tc>
        <w:tc>
          <w:tcPr>
            <w:tcW w:w="4270" w:type="dxa"/>
          </w:tcPr>
          <w:p w14:paraId="08D03779">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测量尺</w:t>
            </w:r>
          </w:p>
        </w:tc>
        <w:tc>
          <w:tcPr>
            <w:tcW w:w="958" w:type="dxa"/>
          </w:tcPr>
          <w:p w14:paraId="04535CEF">
            <w:pPr>
              <w:keepNext w:val="0"/>
              <w:keepLines w:val="0"/>
              <w:suppressLineNumbers w:val="0"/>
              <w:spacing w:before="0" w:beforeAutospacing="0" w:after="0" w:afterAutospacing="0"/>
              <w:ind w:left="0" w:right="0"/>
              <w:rPr>
                <w:rFonts w:hint="eastAsia" w:ascii="宋体" w:hAnsi="宋体" w:cs="宋体"/>
                <w:kern w:val="0"/>
                <w:sz w:val="20"/>
                <w:szCs w:val="21"/>
              </w:rPr>
            </w:pPr>
            <w:r>
              <w:rPr>
                <w:rFonts w:hint="eastAsia" w:ascii="宋体" w:hAnsi="宋体" w:cs="宋体"/>
                <w:kern w:val="0"/>
                <w:sz w:val="20"/>
                <w:szCs w:val="21"/>
              </w:rPr>
              <w:t>1把</w:t>
            </w:r>
          </w:p>
        </w:tc>
        <w:tc>
          <w:tcPr>
            <w:tcW w:w="877" w:type="dxa"/>
          </w:tcPr>
          <w:p w14:paraId="21E12C20">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r w14:paraId="59CB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tcPr>
          <w:p w14:paraId="4282EE9E">
            <w:pPr>
              <w:keepNext w:val="0"/>
              <w:keepLines w:val="0"/>
              <w:widowControl/>
              <w:suppressLineNumbers w:val="0"/>
              <w:spacing w:before="0" w:beforeAutospacing="0" w:after="0" w:afterAutospacing="0" w:line="480" w:lineRule="auto"/>
              <w:ind w:left="0" w:right="0"/>
              <w:jc w:val="center"/>
              <w:rPr>
                <w:rFonts w:hint="default" w:ascii="宋体" w:hAnsi="宋体" w:cs="宋体"/>
                <w:szCs w:val="21"/>
              </w:rPr>
            </w:pPr>
            <w:r>
              <w:rPr>
                <w:rFonts w:hint="eastAsia" w:ascii="宋体" w:hAnsi="宋体" w:cs="宋体"/>
                <w:szCs w:val="21"/>
              </w:rPr>
              <w:t>23</w:t>
            </w:r>
          </w:p>
        </w:tc>
        <w:tc>
          <w:tcPr>
            <w:tcW w:w="4270" w:type="dxa"/>
          </w:tcPr>
          <w:p w14:paraId="1430072C">
            <w:pPr>
              <w:keepNext w:val="0"/>
              <w:keepLines w:val="0"/>
              <w:suppressLineNumbers w:val="0"/>
              <w:spacing w:before="0" w:beforeAutospacing="0" w:after="0" w:afterAutospacing="0"/>
              <w:ind w:left="0" w:right="0"/>
              <w:rPr>
                <w:rFonts w:hint="default" w:ascii="宋体" w:hAnsi="宋体" w:cs="宋体"/>
                <w:kern w:val="0"/>
                <w:sz w:val="20"/>
                <w:szCs w:val="21"/>
              </w:rPr>
            </w:pPr>
            <w:r>
              <w:rPr>
                <w:rFonts w:hint="eastAsia" w:ascii="宋体" w:hAnsi="宋体" w:cs="宋体"/>
                <w:kern w:val="0"/>
                <w:sz w:val="20"/>
                <w:szCs w:val="21"/>
              </w:rPr>
              <w:t>产品说明书（含电子版）、合格证</w:t>
            </w:r>
          </w:p>
        </w:tc>
        <w:tc>
          <w:tcPr>
            <w:tcW w:w="958" w:type="dxa"/>
          </w:tcPr>
          <w:p w14:paraId="6B17FA3E">
            <w:pPr>
              <w:keepNext w:val="0"/>
              <w:keepLines w:val="0"/>
              <w:suppressLineNumbers w:val="0"/>
              <w:spacing w:before="0" w:beforeAutospacing="0" w:after="0" w:afterAutospacing="0"/>
              <w:ind w:left="0" w:right="0"/>
              <w:rPr>
                <w:rFonts w:hint="default" w:ascii="宋体" w:hAnsi="宋体" w:cs="宋体"/>
                <w:kern w:val="0"/>
                <w:sz w:val="20"/>
                <w:szCs w:val="21"/>
              </w:rPr>
            </w:pPr>
            <w:r>
              <w:rPr>
                <w:rFonts w:hint="eastAsia" w:ascii="宋体" w:hAnsi="宋体" w:cs="宋体"/>
                <w:kern w:val="0"/>
                <w:sz w:val="20"/>
                <w:szCs w:val="21"/>
              </w:rPr>
              <w:t>1套</w:t>
            </w:r>
          </w:p>
        </w:tc>
        <w:tc>
          <w:tcPr>
            <w:tcW w:w="877" w:type="dxa"/>
          </w:tcPr>
          <w:p w14:paraId="1D452299">
            <w:pPr>
              <w:keepNext w:val="0"/>
              <w:keepLines w:val="0"/>
              <w:widowControl/>
              <w:suppressLineNumbers w:val="0"/>
              <w:spacing w:before="0" w:beforeAutospacing="0" w:after="0" w:afterAutospacing="0" w:line="480" w:lineRule="auto"/>
              <w:ind w:left="0" w:right="0"/>
              <w:jc w:val="center"/>
              <w:rPr>
                <w:rFonts w:hint="eastAsia" w:ascii="宋体" w:hAnsi="宋体" w:cs="宋体"/>
                <w:szCs w:val="21"/>
              </w:rPr>
            </w:pPr>
          </w:p>
        </w:tc>
      </w:tr>
    </w:tbl>
    <w:p w14:paraId="059B5600">
      <w:pPr>
        <w:pStyle w:val="2"/>
        <w:spacing w:line="360" w:lineRule="auto"/>
        <w:ind w:firstLine="417" w:firstLineChars="174"/>
        <w:rPr>
          <w:rStyle w:val="141"/>
          <w:rFonts w:hint="eastAsia" w:asciiTheme="minorEastAsia" w:hAnsiTheme="minorEastAsia" w:eastAsiaTheme="minorEastAsia"/>
        </w:rPr>
      </w:pPr>
    </w:p>
    <w:p w14:paraId="680EC10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（五）商务及售后服务要求</w:t>
      </w:r>
    </w:p>
    <w:p w14:paraId="0FD6DAAE">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w:t>
      </w:r>
      <w:r>
        <w:rPr>
          <w:rStyle w:val="141"/>
          <w:rFonts w:asciiTheme="minorEastAsia" w:hAnsiTheme="minorEastAsia" w:eastAsiaTheme="minorEastAsia"/>
        </w:rPr>
        <w:t>1</w:t>
      </w:r>
      <w:r>
        <w:rPr>
          <w:rStyle w:val="141"/>
          <w:rFonts w:hint="eastAsia" w:asciiTheme="minorEastAsia" w:hAnsiTheme="minorEastAsia" w:eastAsiaTheme="minorEastAsia"/>
        </w:rPr>
        <w:t>供货要求</w:t>
      </w:r>
    </w:p>
    <w:p w14:paraId="1BDF13D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1.交货期：签订合同后30个自然日内。</w:t>
      </w:r>
    </w:p>
    <w:p w14:paraId="53177FC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2.交货地点：采购人指定地点。</w:t>
      </w:r>
    </w:p>
    <w:p w14:paraId="0B286315">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★3.成交供应商应保证所提供的设备是制造日期距交货时间不能超过1年，是全新的、未使用过的设备，并符合国家有关标准、制造厂标准及合同技术标准要求（提供承诺函）。</w:t>
      </w:r>
    </w:p>
    <w:p w14:paraId="111B7736">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w:t>
      </w:r>
      <w:r>
        <w:rPr>
          <w:rStyle w:val="141"/>
          <w:rFonts w:asciiTheme="minorEastAsia" w:hAnsiTheme="minorEastAsia" w:eastAsiaTheme="minorEastAsia"/>
        </w:rPr>
        <w:t>2</w:t>
      </w:r>
      <w:r>
        <w:rPr>
          <w:rStyle w:val="141"/>
          <w:rFonts w:hint="eastAsia" w:asciiTheme="minorEastAsia" w:hAnsiTheme="minorEastAsia" w:eastAsiaTheme="minorEastAsia"/>
        </w:rPr>
        <w:t>安装与调试</w:t>
      </w:r>
    </w:p>
    <w:p w14:paraId="5691FEA5">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1.成交供应商必须按项目进度安排计划，派出适当的技术人员到安装现场负责安装和调试工作。在安装施工期间，严格遵守采购人的有关规定。</w:t>
      </w:r>
    </w:p>
    <w:p w14:paraId="775CA8AD">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2.成交供应商必须依照询比文件的要求和响应文件的承诺，将设备、系统安装并调试至正常运行的最佳状态。</w:t>
      </w:r>
    </w:p>
    <w:p w14:paraId="5D13EB7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3.按使用需求，配合接入医院信息系统，并承担信息端口开发费用。</w:t>
      </w:r>
    </w:p>
    <w:p w14:paraId="58A3ECC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w:t>
      </w:r>
      <w:r>
        <w:rPr>
          <w:rStyle w:val="141"/>
          <w:rFonts w:asciiTheme="minorEastAsia" w:hAnsiTheme="minorEastAsia" w:eastAsiaTheme="minorEastAsia"/>
        </w:rPr>
        <w:t>3</w:t>
      </w:r>
      <w:r>
        <w:rPr>
          <w:rStyle w:val="141"/>
          <w:rFonts w:hint="eastAsia" w:asciiTheme="minorEastAsia" w:hAnsiTheme="minorEastAsia" w:eastAsiaTheme="minorEastAsia"/>
        </w:rPr>
        <w:t>技术培训</w:t>
      </w:r>
    </w:p>
    <w:p w14:paraId="5091BB1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1.成交供应商每台设备提供现场安装调试和培训。</w:t>
      </w:r>
    </w:p>
    <w:p w14:paraId="1544740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2.应提供完整的培训计划和方案，列明培训人员数量、达到的水平等，培训内容包括设备的操作、日常维修、简单故障的识别及排除等。培训所需全部费用均由成交供应商支付。</w:t>
      </w:r>
    </w:p>
    <w:p w14:paraId="4E4FD048">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w:t>
      </w:r>
      <w:r>
        <w:rPr>
          <w:rStyle w:val="141"/>
          <w:rFonts w:asciiTheme="minorEastAsia" w:hAnsiTheme="minorEastAsia" w:eastAsiaTheme="minorEastAsia"/>
        </w:rPr>
        <w:t>4</w:t>
      </w:r>
      <w:r>
        <w:rPr>
          <w:rStyle w:val="141"/>
          <w:rFonts w:hint="eastAsia" w:asciiTheme="minorEastAsia" w:hAnsiTheme="minorEastAsia" w:eastAsiaTheme="minorEastAsia"/>
        </w:rPr>
        <w:t>保修期</w:t>
      </w:r>
    </w:p>
    <w:p w14:paraId="35C3FD4B">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1.验收合格之日起设备保修期（全保）不少于36个月；</w:t>
      </w:r>
    </w:p>
    <w:p w14:paraId="658E548D">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1.1保修期内必须保证95％以上日期（以每年365天计算）能正常工作，如未能达到，应按2倍时间相应延长保修期。</w:t>
      </w:r>
    </w:p>
    <w:p w14:paraId="226E99C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1.2保质保修期内，投标产品必须由原厂负责维修和售后服务（提供原厂售后服务承诺）。每年需对设备进行不少于2次的维护，且每次维护保养需出具维护保养记录。（所需费用均须包含在投标总价内）。</w:t>
      </w:r>
    </w:p>
    <w:p w14:paraId="29890E3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2.保修期内，所有服务及配件全部包含在报价中。“技术要求”中另有要求的，以其中的要求为准。</w:t>
      </w:r>
    </w:p>
    <w:p w14:paraId="02E61F29">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3.保修期自采购人和成交供应商代表在货物安装调试验收后的验收书上签字之日起计算。保修期内成交供应商对所供货物实行包修、包换、包退、包维护保养，保修期后设备维修配件更换只收取成本费用。</w:t>
      </w:r>
    </w:p>
    <w:p w14:paraId="036BD2B5">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4.保修期内，如设备或零部件因非人为因素出现故障而造成短期停用时，则保修期相应顺延。如停用时间累计超过60天则保修期重新计算。</w:t>
      </w:r>
    </w:p>
    <w:p w14:paraId="3CFE0C2D">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5.在保修期内，如货品非因采购人的人为原因而出现的问题由成交供应商负责保修、包换或包退，并承担修理、调换或退货的实际费用。</w:t>
      </w:r>
    </w:p>
    <w:p w14:paraId="15D0F1F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6.保修期内，成交供应商负责对其提供的货物整机进行维修和系统维护，不再收取任何费用，但非成交供应商责任的人为因素、自然因素（如火灾、雷击等）造成的故障除外。</w:t>
      </w:r>
    </w:p>
    <w:p w14:paraId="2C46135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7.保修期内,对采购人的服务通知，成交供应商在接报后2小时内响应，8小时内到达现场，24小时内处理完毕。若在24小时内仍未能有效解决，采购人有权要求成交供应商免费提供同档次的设备予采购人临时使用。</w:t>
      </w:r>
    </w:p>
    <w:p w14:paraId="244DA4E4">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8.保修期满后，成交供应商应保证以最优惠的价格提供备件和保养服务。</w:t>
      </w:r>
    </w:p>
    <w:p w14:paraId="1578D4AA">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w:t>
      </w:r>
      <w:r>
        <w:rPr>
          <w:rStyle w:val="141"/>
          <w:rFonts w:asciiTheme="minorEastAsia" w:hAnsiTheme="minorEastAsia" w:eastAsiaTheme="minorEastAsia"/>
        </w:rPr>
        <w:t>5</w:t>
      </w:r>
      <w:r>
        <w:rPr>
          <w:rStyle w:val="141"/>
          <w:rFonts w:hint="eastAsia" w:asciiTheme="minorEastAsia" w:hAnsiTheme="minorEastAsia" w:eastAsiaTheme="minorEastAsia"/>
        </w:rPr>
        <w:t>验收要求</w:t>
      </w:r>
    </w:p>
    <w:p w14:paraId="4FFE4B4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1.采购人按照采购合同规定的技术、服务、安全标准组织对成交供应商履约情况进行验收，并出具验收书。验收书应当包括每一项技术、服务、安全标准的履约情况。</w:t>
      </w:r>
    </w:p>
    <w:p w14:paraId="1C34BEF8">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2.交付验收标准依次序对照适用标准为：①符合中华人民共和国国家安全质量标准、环保标准或行业标准；②符合询比文件和响应承诺中采购人认可的合理最佳配置、参数及各项要求；③货物来源国官方标准。</w:t>
      </w:r>
    </w:p>
    <w:p w14:paraId="0410CF18">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3.货物为原厂商未启封全新包装，具有出厂合格证，序列号、包装箱号与出厂批号一致，并可追索查阅。所有随设备的附件必须齐全。</w:t>
      </w:r>
    </w:p>
    <w:p w14:paraId="6042CF2C">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4.成交供应商将货物的用户手册、保修手册、有关单证资料及备品备件、随机工具等交付给采购人，使用操作及安全须知等重要资料应附有中文说明。</w:t>
      </w:r>
    </w:p>
    <w:p w14:paraId="06B65997">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5.货物验收所发生的检验费用由成交供应商负担。</w:t>
      </w:r>
    </w:p>
    <w:p w14:paraId="0D148A7E">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6.设备到货并经成交供应商技术人员安装后，采购人有权委托中国有资格的单位对上述设备进行校准或检验，设备校准或检定所需的费用由成交供应商负担。</w:t>
      </w:r>
    </w:p>
    <w:p w14:paraId="01A51C54">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7.采购人组成验收小组，按照采购合同规定的技术、服务、安全标准组织对成交供应商履约情况进行验收。因货物质量问题发生争议时，由采购人本地质量技术监督部门鉴定。货物符合质量技术标准的，鉴定费由采购人承担；否则鉴定费由成交供应商承担。</w:t>
      </w:r>
    </w:p>
    <w:p w14:paraId="78B6AFF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8.中标产品如属国家强制计量产品，需由成交供应商协助完成首次计量强检。</w:t>
      </w:r>
    </w:p>
    <w:p w14:paraId="500C4573">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9.当出现不合格产品时，成交供应商要无条件更换合格产品。</w:t>
      </w:r>
    </w:p>
    <w:p w14:paraId="4EEC3492">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（五）-</w:t>
      </w:r>
      <w:r>
        <w:rPr>
          <w:rStyle w:val="141"/>
          <w:rFonts w:asciiTheme="minorEastAsia" w:hAnsiTheme="minorEastAsia" w:eastAsiaTheme="minorEastAsia"/>
        </w:rPr>
        <w:t>6</w:t>
      </w:r>
      <w:r>
        <w:rPr>
          <w:rStyle w:val="141"/>
          <w:rFonts w:hint="eastAsia" w:asciiTheme="minorEastAsia" w:hAnsiTheme="minorEastAsia" w:eastAsiaTheme="minorEastAsia"/>
        </w:rPr>
        <w:t>付款方式</w:t>
      </w:r>
    </w:p>
    <w:p w14:paraId="66874600">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合同签订后，合同设备全部到指定地点交付并完成安装及验收合格后，成交供应商须向采购人提供以下相应资料和合同全额发票，甲方收到上述资料并核实无误后，在合同签订后5个工作日内办理支付，支付合同总金额的100%。</w:t>
      </w:r>
    </w:p>
    <w:p w14:paraId="09807EEE">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（1）安装验收调试报告。</w:t>
      </w:r>
    </w:p>
    <w:p w14:paraId="5467082F">
      <w:pPr>
        <w:pStyle w:val="2"/>
        <w:spacing w:line="360" w:lineRule="auto"/>
        <w:ind w:firstLine="417" w:firstLineChars="174"/>
        <w:rPr>
          <w:rStyle w:val="141"/>
          <w:rFonts w:hint="eastAsia" w:asciiTheme="minorEastAsia" w:hAnsiTheme="minorEastAsia" w:eastAsiaTheme="minorEastAsia"/>
        </w:rPr>
      </w:pPr>
      <w:r>
        <w:rPr>
          <w:rStyle w:val="141"/>
          <w:rFonts w:hint="eastAsia" w:asciiTheme="minorEastAsia" w:hAnsiTheme="minorEastAsia" w:eastAsiaTheme="minorEastAsia"/>
        </w:rPr>
        <w:t>（2）报关单（如果合同设备为进口货物的情况下要求提供）。</w:t>
      </w:r>
    </w:p>
    <w:p w14:paraId="29FDB0CF">
      <w:pPr>
        <w:pStyle w:val="2"/>
        <w:spacing w:line="360" w:lineRule="auto"/>
        <w:ind w:firstLine="417" w:firstLineChars="174"/>
        <w:rPr>
          <w:rStyle w:val="141"/>
          <w:rFonts w:asciiTheme="minorEastAsia" w:hAnsiTheme="minorEastAsia" w:eastAsiaTheme="minorEastAsia"/>
        </w:rPr>
      </w:pPr>
    </w:p>
    <w:p w14:paraId="631685DC">
      <w:pPr>
        <w:pStyle w:val="2"/>
        <w:spacing w:line="360" w:lineRule="auto"/>
        <w:ind w:firstLine="417" w:firstLineChars="174"/>
        <w:rPr>
          <w:rStyle w:val="141"/>
          <w:rFonts w:asciiTheme="minorEastAsia" w:hAnsiTheme="minorEastAsia" w:eastAsiaTheme="minorEastAsia"/>
        </w:rPr>
      </w:pPr>
    </w:p>
    <w:p w14:paraId="3CE3D67D">
      <w:pPr>
        <w:spacing w:line="312" w:lineRule="auto"/>
        <w:ind w:left="1320" w:firstLine="1320" w:firstLineChars="550"/>
        <w:outlineLvl w:val="0"/>
        <w:rPr>
          <w:rFonts w:asciiTheme="minorEastAsia" w:hAnsiTheme="minorEastAsia" w:eastAsiaTheme="minorEastAsia"/>
          <w:b/>
          <w:sz w:val="32"/>
        </w:rPr>
      </w:pPr>
      <w:r>
        <w:rPr>
          <w:rStyle w:val="141"/>
          <w:rFonts w:asciiTheme="minorEastAsia" w:hAnsiTheme="minorEastAsia" w:eastAsiaTheme="minorEastAsia"/>
        </w:rPr>
        <w:br w:type="page"/>
      </w:r>
      <w:r>
        <w:rPr>
          <w:rFonts w:hint="eastAsia" w:asciiTheme="minorEastAsia" w:hAnsiTheme="minorEastAsia" w:eastAsiaTheme="minorEastAsia"/>
          <w:b/>
          <w:sz w:val="32"/>
        </w:rPr>
        <w:t>第四部分  评审办法</w:t>
      </w:r>
    </w:p>
    <w:p w14:paraId="388B0B9F">
      <w:pPr>
        <w:pStyle w:val="2"/>
      </w:pPr>
    </w:p>
    <w:p w14:paraId="1CBBC742">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5" w:name="_Hlk51102721"/>
      <w:r>
        <w:rPr>
          <w:rFonts w:hint="eastAsia" w:asciiTheme="minorEastAsia" w:hAnsiTheme="minorEastAsia" w:eastAsiaTheme="minorEastAsia"/>
          <w:sz w:val="24"/>
        </w:rPr>
        <w:t>采用综合评分法，以百分制打分法对合格响应文件进行综合评审打分。</w:t>
      </w:r>
      <w:bookmarkEnd w:id="5"/>
    </w:p>
    <w:p w14:paraId="2C4F8FA9">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、评审小组根据询比文件要求进行资格性和符合性</w:t>
      </w:r>
      <w:r>
        <w:rPr>
          <w:rFonts w:asciiTheme="minorEastAsia" w:hAnsiTheme="minorEastAsia" w:eastAsiaTheme="minorEastAsia"/>
          <w:sz w:val="24"/>
        </w:rPr>
        <w:t>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的响应文件不进行评审。</w:t>
      </w:r>
    </w:p>
    <w:tbl>
      <w:tblPr>
        <w:tblStyle w:val="37"/>
        <w:tblW w:w="9820" w:type="dxa"/>
        <w:tblInd w:w="108" w:type="dxa"/>
        <w:tblLayout w:type="autofit"/>
        <w:tblCellMar>
          <w:top w:w="0" w:type="dxa"/>
          <w:left w:w="108" w:type="dxa"/>
          <w:bottom w:w="0" w:type="dxa"/>
          <w:right w:w="108" w:type="dxa"/>
        </w:tblCellMar>
      </w:tblPr>
      <w:tblGrid>
        <w:gridCol w:w="6030"/>
        <w:gridCol w:w="3790"/>
      </w:tblGrid>
      <w:tr w14:paraId="071DE890">
        <w:tblPrEx>
          <w:tblCellMar>
            <w:top w:w="0" w:type="dxa"/>
            <w:left w:w="108" w:type="dxa"/>
            <w:bottom w:w="0" w:type="dxa"/>
            <w:right w:w="108" w:type="dxa"/>
          </w:tblCellMar>
        </w:tblPrEx>
        <w:trPr>
          <w:trHeight w:val="564" w:hRule="atLeast"/>
        </w:trPr>
        <w:tc>
          <w:tcPr>
            <w:tcW w:w="9820" w:type="dxa"/>
            <w:gridSpan w:val="2"/>
            <w:tcBorders>
              <w:top w:val="nil"/>
              <w:left w:val="nil"/>
              <w:bottom w:val="nil"/>
              <w:right w:val="nil"/>
            </w:tcBorders>
            <w:shd w:val="clear" w:color="auto" w:fill="auto"/>
            <w:noWrap/>
            <w:vAlign w:val="center"/>
          </w:tcPr>
          <w:p w14:paraId="2E3D0DB9">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rPr>
              <w:t>资格性、符合性审查表</w:t>
            </w:r>
          </w:p>
        </w:tc>
      </w:tr>
      <w:tr w14:paraId="16F7F3A2">
        <w:tblPrEx>
          <w:tblCellMar>
            <w:top w:w="0" w:type="dxa"/>
            <w:left w:w="108" w:type="dxa"/>
            <w:bottom w:w="0" w:type="dxa"/>
            <w:right w:w="108" w:type="dxa"/>
          </w:tblCellMar>
        </w:tblPrEx>
        <w:trPr>
          <w:trHeight w:val="660" w:hRule="atLeast"/>
        </w:trPr>
        <w:tc>
          <w:tcPr>
            <w:tcW w:w="6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0F8CB">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3790" w:type="dxa"/>
            <w:tcBorders>
              <w:top w:val="single" w:color="auto" w:sz="4" w:space="0"/>
              <w:left w:val="nil"/>
              <w:bottom w:val="single" w:color="auto" w:sz="4" w:space="0"/>
              <w:right w:val="single" w:color="auto" w:sz="4" w:space="0"/>
            </w:tcBorders>
            <w:shd w:val="clear" w:color="auto" w:fill="auto"/>
            <w:noWrap/>
            <w:vAlign w:val="center"/>
          </w:tcPr>
          <w:p w14:paraId="2D99F66F">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14:paraId="30CCD254">
        <w:tblPrEx>
          <w:tblCellMar>
            <w:top w:w="0" w:type="dxa"/>
            <w:left w:w="108" w:type="dxa"/>
            <w:bottom w:w="0" w:type="dxa"/>
            <w:right w:w="108" w:type="dxa"/>
          </w:tblCellMar>
        </w:tblPrEx>
        <w:trPr>
          <w:trHeight w:val="78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004BFEE7">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应供应商须为在中华人民共和国境内注册且具有独立法人资格单位或有营业执照。</w:t>
            </w:r>
          </w:p>
        </w:tc>
        <w:tc>
          <w:tcPr>
            <w:tcW w:w="3790" w:type="dxa"/>
            <w:tcBorders>
              <w:top w:val="nil"/>
              <w:left w:val="nil"/>
              <w:bottom w:val="single" w:color="auto" w:sz="4" w:space="0"/>
              <w:right w:val="single" w:color="auto" w:sz="4" w:space="0"/>
            </w:tcBorders>
            <w:shd w:val="clear" w:color="auto" w:fill="auto"/>
            <w:noWrap/>
            <w:vAlign w:val="center"/>
          </w:tcPr>
          <w:p w14:paraId="27449B8F">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14:paraId="77F1BAF1">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vAlign w:val="center"/>
          </w:tcPr>
          <w:p w14:paraId="0CF3E08A">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如响应供应商为所投产品的生产企业：所投产品为第二、三类医疗器械，提供监督管理部门签发的有效的《医疗器械生产许可证》复印件（如国家另有规定，则适用其规定）；如响应供应商为经营企业：所投产品为第三类医疗器械，提供监督管理部门签发的有效的《医疗器械经营许可证》复印件（如国家另有规定，则适用其规定）。</w:t>
            </w:r>
          </w:p>
        </w:tc>
        <w:tc>
          <w:tcPr>
            <w:tcW w:w="3790" w:type="dxa"/>
            <w:tcBorders>
              <w:top w:val="nil"/>
              <w:left w:val="nil"/>
              <w:bottom w:val="single" w:color="auto" w:sz="4" w:space="0"/>
              <w:right w:val="single" w:color="auto" w:sz="4" w:space="0"/>
            </w:tcBorders>
            <w:shd w:val="clear" w:color="auto" w:fill="auto"/>
            <w:noWrap/>
            <w:vAlign w:val="center"/>
          </w:tcPr>
          <w:p w14:paraId="0EA622CB">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14:paraId="25D9F0BE">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4E751EEE">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本项目不接受联合体投标，不允许响应供应商对本采购货物及其相关服务进行分包和转包。</w:t>
            </w:r>
          </w:p>
        </w:tc>
        <w:tc>
          <w:tcPr>
            <w:tcW w:w="3790" w:type="dxa"/>
            <w:tcBorders>
              <w:top w:val="nil"/>
              <w:left w:val="nil"/>
              <w:bottom w:val="single" w:color="auto" w:sz="4" w:space="0"/>
              <w:right w:val="single" w:color="auto" w:sz="4" w:space="0"/>
            </w:tcBorders>
            <w:shd w:val="clear" w:color="auto" w:fill="auto"/>
            <w:noWrap/>
            <w:vAlign w:val="center"/>
          </w:tcPr>
          <w:p w14:paraId="127D0CC0">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14:paraId="2355E95F">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72094DE3">
            <w:pPr>
              <w:keepNext w:val="0"/>
              <w:keepLines w:val="0"/>
              <w:widowControl/>
              <w:suppressLineNumbers w:val="0"/>
              <w:spacing w:before="0" w:beforeAutospacing="0" w:after="0" w:afterAutospacing="0"/>
              <w:ind w:left="0" w:right="0"/>
              <w:jc w:val="center"/>
              <w:rPr>
                <w:rFonts w:hint="eastAsia" w:ascii="宋体" w:hAnsi="宋体" w:cs="宋体"/>
                <w:kern w:val="0"/>
                <w:sz w:val="24"/>
              </w:rPr>
            </w:pPr>
            <w:r>
              <w:rPr>
                <w:rFonts w:hint="eastAsia" w:ascii="宋体" w:hAnsi="宋体" w:cs="宋体"/>
                <w:kern w:val="0"/>
                <w:sz w:val="24"/>
              </w:rPr>
              <w:t>如所投产品属于第二类或第三类医疗器械，须提供产品的《医疗器械注册证》（如国家另有规定，则适用其规定）。</w:t>
            </w:r>
          </w:p>
        </w:tc>
        <w:tc>
          <w:tcPr>
            <w:tcW w:w="3790" w:type="dxa"/>
            <w:tcBorders>
              <w:top w:val="nil"/>
              <w:left w:val="nil"/>
              <w:bottom w:val="single" w:color="auto" w:sz="4" w:space="0"/>
              <w:right w:val="single" w:color="auto" w:sz="4" w:space="0"/>
            </w:tcBorders>
            <w:shd w:val="clear" w:color="auto" w:fill="auto"/>
            <w:noWrap/>
            <w:vAlign w:val="center"/>
          </w:tcPr>
          <w:p w14:paraId="6432822E">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7BB6A741">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0B3DCC2C">
            <w:pPr>
              <w:keepNext w:val="0"/>
              <w:keepLines w:val="0"/>
              <w:widowControl/>
              <w:suppressLineNumbers w:val="0"/>
              <w:spacing w:before="0" w:beforeAutospacing="0" w:after="0" w:afterAutospacing="0"/>
              <w:ind w:left="0" w:right="0"/>
              <w:jc w:val="center"/>
              <w:rPr>
                <w:rFonts w:hint="eastAsia" w:ascii="宋体" w:hAnsi="宋体" w:cs="宋体"/>
                <w:kern w:val="0"/>
                <w:sz w:val="24"/>
              </w:rPr>
            </w:pPr>
            <w:r>
              <w:rPr>
                <w:rFonts w:hint="eastAsia" w:ascii="宋体" w:hAnsi="宋体" w:cs="宋体"/>
                <w:kern w:val="0"/>
                <w:sz w:val="24"/>
              </w:rPr>
              <w:t>成交供应商应保证所提供的设备是制造日期距交货时间不能超过1年，是全新的、未使用过的设备，并符合国家有关标准、制造厂标准及合同技术标准要求（提供承诺函）。</w:t>
            </w:r>
          </w:p>
        </w:tc>
        <w:tc>
          <w:tcPr>
            <w:tcW w:w="3790" w:type="dxa"/>
            <w:tcBorders>
              <w:top w:val="nil"/>
              <w:left w:val="nil"/>
              <w:bottom w:val="single" w:color="auto" w:sz="4" w:space="0"/>
              <w:right w:val="single" w:color="auto" w:sz="4" w:space="0"/>
            </w:tcBorders>
            <w:shd w:val="clear" w:color="auto" w:fill="auto"/>
            <w:noWrap/>
            <w:vAlign w:val="center"/>
          </w:tcPr>
          <w:p w14:paraId="55AF8C2B">
            <w:pPr>
              <w:keepNext w:val="0"/>
              <w:keepLines w:val="0"/>
              <w:widowControl/>
              <w:suppressLineNumbers w:val="0"/>
              <w:spacing w:before="0" w:beforeAutospacing="0" w:after="0" w:afterAutospacing="0"/>
              <w:ind w:left="0" w:right="0"/>
              <w:jc w:val="center"/>
              <w:rPr>
                <w:rFonts w:hint="eastAsia" w:ascii="宋体" w:hAnsi="宋体" w:cs="宋体"/>
                <w:kern w:val="0"/>
                <w:sz w:val="24"/>
              </w:rPr>
            </w:pPr>
          </w:p>
        </w:tc>
      </w:tr>
      <w:tr w14:paraId="0EFDF75F">
        <w:tblPrEx>
          <w:tblCellMar>
            <w:top w:w="0" w:type="dxa"/>
            <w:left w:w="108" w:type="dxa"/>
            <w:bottom w:w="0" w:type="dxa"/>
            <w:right w:w="108" w:type="dxa"/>
          </w:tblCellMar>
        </w:tblPrEx>
        <w:trPr>
          <w:trHeight w:val="660" w:hRule="atLeast"/>
        </w:trPr>
        <w:tc>
          <w:tcPr>
            <w:tcW w:w="6030" w:type="dxa"/>
            <w:tcBorders>
              <w:top w:val="nil"/>
              <w:left w:val="single" w:color="auto" w:sz="4" w:space="0"/>
              <w:bottom w:val="single" w:color="auto" w:sz="4" w:space="0"/>
              <w:right w:val="single" w:color="auto" w:sz="4" w:space="0"/>
            </w:tcBorders>
            <w:shd w:val="clear" w:color="auto" w:fill="auto"/>
            <w:noWrap/>
            <w:vAlign w:val="center"/>
          </w:tcPr>
          <w:p w14:paraId="3AEC39D3">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是否通过资格性审查（此处填写“通过”或“不通过”）</w:t>
            </w:r>
          </w:p>
        </w:tc>
        <w:tc>
          <w:tcPr>
            <w:tcW w:w="3790" w:type="dxa"/>
            <w:tcBorders>
              <w:top w:val="nil"/>
              <w:left w:val="nil"/>
              <w:bottom w:val="single" w:color="auto" w:sz="4" w:space="0"/>
              <w:right w:val="single" w:color="auto" w:sz="4" w:space="0"/>
            </w:tcBorders>
            <w:shd w:val="clear" w:color="auto" w:fill="auto"/>
            <w:noWrap/>
            <w:vAlign w:val="center"/>
          </w:tcPr>
          <w:p w14:paraId="42964DA2">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　</w:t>
            </w:r>
          </w:p>
        </w:tc>
      </w:tr>
      <w:tr w14:paraId="61F1FD7F">
        <w:tblPrEx>
          <w:tblCellMar>
            <w:top w:w="0" w:type="dxa"/>
            <w:left w:w="108" w:type="dxa"/>
            <w:bottom w:w="0" w:type="dxa"/>
            <w:right w:w="108" w:type="dxa"/>
          </w:tblCellMar>
        </w:tblPrEx>
        <w:trPr>
          <w:trHeight w:val="600" w:hRule="atLeast"/>
        </w:trPr>
        <w:tc>
          <w:tcPr>
            <w:tcW w:w="9820" w:type="dxa"/>
            <w:gridSpan w:val="2"/>
            <w:tcBorders>
              <w:top w:val="single" w:color="auto" w:sz="4" w:space="0"/>
              <w:left w:val="nil"/>
              <w:bottom w:val="nil"/>
              <w:right w:val="nil"/>
            </w:tcBorders>
            <w:shd w:val="clear" w:color="auto" w:fill="auto"/>
            <w:noWrap/>
            <w:vAlign w:val="center"/>
          </w:tcPr>
          <w:p w14:paraId="0A6876DD">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备注：响应供应商分栏中填写“√”表示该项符合资格要求，“×”表示该项不符合资格要求。</w:t>
            </w:r>
          </w:p>
        </w:tc>
      </w:tr>
    </w:tbl>
    <w:p w14:paraId="78940D34">
      <w:pPr>
        <w:widowControl/>
        <w:spacing w:line="460" w:lineRule="exact"/>
        <w:ind w:firstLine="480" w:firstLineChars="200"/>
        <w:rPr>
          <w:rFonts w:cs="宋体" w:asciiTheme="minorEastAsia" w:hAnsiTheme="minorEastAsia" w:eastAsiaTheme="minorEastAsia"/>
          <w:color w:val="000000"/>
          <w:kern w:val="0"/>
          <w:sz w:val="24"/>
        </w:rPr>
      </w:pPr>
      <w:r>
        <w:rPr>
          <w:rFonts w:asciiTheme="minorEastAsia" w:hAnsiTheme="minorEastAsia" w:eastAsiaTheme="minorEastAsia"/>
          <w:sz w:val="24"/>
        </w:rPr>
        <w:t>3</w:t>
      </w:r>
      <w:r>
        <w:rPr>
          <w:rFonts w:hint="eastAsia" w:asciiTheme="minorEastAsia" w:hAnsiTheme="minorEastAsia" w:eastAsiaTheme="minorEastAsia"/>
          <w:sz w:val="24"/>
        </w:rPr>
        <w:t>、评审小组</w:t>
      </w:r>
      <w:bookmarkStart w:id="6" w:name="_Hlk51102788"/>
      <w:r>
        <w:rPr>
          <w:rFonts w:hint="eastAsia" w:asciiTheme="minorEastAsia" w:hAnsiTheme="minorEastAsia" w:eastAsiaTheme="minorEastAsia"/>
          <w:sz w:val="24"/>
        </w:rPr>
        <w:t>按综合得分由高到低顺序排出名次</w:t>
      </w:r>
      <w:bookmarkEnd w:id="6"/>
      <w:r>
        <w:rPr>
          <w:rFonts w:hint="eastAsia" w:asciiTheme="minorEastAsia" w:hAnsiTheme="minorEastAsia" w:eastAsiaTheme="minorEastAsia"/>
          <w:sz w:val="24"/>
        </w:rPr>
        <w:t>，并推荐综合得分排行第一的响应供应商为第一成交候选人</w:t>
      </w:r>
      <w:bookmarkStart w:id="7" w:name="_Hlk51102816"/>
      <w:r>
        <w:rPr>
          <w:rFonts w:hint="eastAsia" w:asciiTheme="minorEastAsia" w:hAnsiTheme="minorEastAsia" w:eastAsiaTheme="minorEastAsia"/>
          <w:sz w:val="24"/>
        </w:rPr>
        <w:t>（综合得分相同的，响应报价低的排序在前）、综合得分排行第二的响应供应商为第二成交候选人。第二成交候选人高于第一成交候选人报价20%以上的，只推荐1名成交候选人。</w:t>
      </w:r>
      <w:bookmarkEnd w:id="7"/>
    </w:p>
    <w:p w14:paraId="0CB72769">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、评审小组按以下标准和权重进行评分。</w:t>
      </w:r>
    </w:p>
    <w:p w14:paraId="0C315B42">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14:paraId="289C85E2">
      <w:pPr>
        <w:pStyle w:val="2"/>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5"/>
        <w:gridCol w:w="2106"/>
        <w:gridCol w:w="2427"/>
        <w:gridCol w:w="2689"/>
      </w:tblGrid>
      <w:tr w14:paraId="6515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14:paraId="517A442D">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分值</w:t>
            </w:r>
          </w:p>
        </w:tc>
        <w:tc>
          <w:tcPr>
            <w:tcW w:w="1109" w:type="pct"/>
            <w:vAlign w:val="bottom"/>
          </w:tcPr>
          <w:p w14:paraId="030A1D70">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14:paraId="2987664E">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技术评分</w:t>
            </w:r>
          </w:p>
        </w:tc>
        <w:tc>
          <w:tcPr>
            <w:tcW w:w="1415" w:type="pct"/>
            <w:vAlign w:val="bottom"/>
          </w:tcPr>
          <w:p w14:paraId="68F03A4A">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报价得分</w:t>
            </w:r>
          </w:p>
        </w:tc>
      </w:tr>
      <w:tr w14:paraId="3A84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14:paraId="0D05586D">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100分</w:t>
            </w:r>
          </w:p>
        </w:tc>
        <w:tc>
          <w:tcPr>
            <w:tcW w:w="1109" w:type="pct"/>
            <w:vAlign w:val="bottom"/>
          </w:tcPr>
          <w:p w14:paraId="2FD2B69B">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12</w:t>
            </w:r>
            <w:r>
              <w:rPr>
                <w:rFonts w:hint="eastAsia" w:ascii="宋体" w:hAnsi="宋体"/>
                <w:sz w:val="24"/>
              </w:rPr>
              <w:t>分</w:t>
            </w:r>
          </w:p>
        </w:tc>
        <w:tc>
          <w:tcPr>
            <w:tcW w:w="1278" w:type="pct"/>
            <w:vAlign w:val="bottom"/>
          </w:tcPr>
          <w:p w14:paraId="2A4F7E70">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58</w:t>
            </w:r>
            <w:r>
              <w:rPr>
                <w:rFonts w:hint="eastAsia" w:ascii="宋体" w:hAnsi="宋体"/>
                <w:sz w:val="24"/>
              </w:rPr>
              <w:t>分</w:t>
            </w:r>
          </w:p>
        </w:tc>
        <w:tc>
          <w:tcPr>
            <w:tcW w:w="1415" w:type="pct"/>
            <w:vAlign w:val="bottom"/>
          </w:tcPr>
          <w:p w14:paraId="37FF97D1">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30</w:t>
            </w:r>
            <w:r>
              <w:rPr>
                <w:rFonts w:hint="eastAsia" w:ascii="宋体" w:hAnsi="宋体"/>
                <w:sz w:val="24"/>
              </w:rPr>
              <w:t>分</w:t>
            </w:r>
          </w:p>
        </w:tc>
      </w:tr>
    </w:tbl>
    <w:p w14:paraId="10B518B9">
      <w:pPr>
        <w:pStyle w:val="2"/>
      </w:pPr>
    </w:p>
    <w:p w14:paraId="360D1C28">
      <w:pPr>
        <w:spacing w:line="312" w:lineRule="auto"/>
        <w:jc w:val="center"/>
        <w:outlineLvl w:val="0"/>
        <w:rPr>
          <w:rFonts w:asciiTheme="majorEastAsia" w:hAnsiTheme="majorEastAsia" w:eastAsiaTheme="majorEastAsia"/>
          <w:sz w:val="28"/>
          <w:szCs w:val="28"/>
        </w:rPr>
      </w:pPr>
      <w:r>
        <w:rPr>
          <w:rFonts w:hint="eastAsia" w:asciiTheme="majorEastAsia" w:hAnsiTheme="majorEastAsia" w:eastAsiaTheme="majorEastAsia"/>
          <w:b/>
          <w:sz w:val="28"/>
          <w:szCs w:val="28"/>
        </w:rPr>
        <w:t>商务评估表</w:t>
      </w:r>
    </w:p>
    <w:tbl>
      <w:tblPr>
        <w:tblStyle w:val="37"/>
        <w:tblW w:w="94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7513"/>
      </w:tblGrid>
      <w:tr w14:paraId="4299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shd w:val="clear" w:color="auto" w:fill="auto"/>
          </w:tcPr>
          <w:p w14:paraId="6100BF99">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bookmarkStart w:id="8" w:name="_Hlk51103049"/>
            <w:r>
              <w:rPr>
                <w:rFonts w:hint="eastAsia" w:asciiTheme="minorEastAsia" w:hAnsiTheme="minorEastAsia" w:eastAsiaTheme="minorEastAsia"/>
                <w:b/>
                <w:bCs/>
                <w:sz w:val="24"/>
              </w:rPr>
              <w:t>评审项目</w:t>
            </w:r>
          </w:p>
        </w:tc>
        <w:tc>
          <w:tcPr>
            <w:tcW w:w="7513" w:type="dxa"/>
            <w:shd w:val="clear" w:color="auto" w:fill="auto"/>
          </w:tcPr>
          <w:p w14:paraId="484AB01D">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评分标准</w:t>
            </w:r>
          </w:p>
        </w:tc>
      </w:tr>
      <w:tr w14:paraId="5D00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984" w:type="dxa"/>
            <w:shd w:val="clear" w:color="auto" w:fill="auto"/>
            <w:vAlign w:val="center"/>
          </w:tcPr>
          <w:p w14:paraId="76F9EACF">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维保年限</w:t>
            </w:r>
          </w:p>
          <w:p w14:paraId="4007D6E9">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（5</w:t>
            </w:r>
            <w:r>
              <w:rPr>
                <w:rFonts w:hint="default" w:asciiTheme="minorEastAsia" w:hAnsiTheme="minorEastAsia" w:eastAsiaTheme="minorEastAsia"/>
                <w:sz w:val="24"/>
              </w:rPr>
              <w:t>.0</w:t>
            </w:r>
            <w:r>
              <w:rPr>
                <w:rFonts w:hint="eastAsia" w:asciiTheme="minorEastAsia" w:hAnsiTheme="minorEastAsia" w:eastAsiaTheme="minorEastAsia"/>
                <w:sz w:val="24"/>
              </w:rPr>
              <w:t>分）</w:t>
            </w:r>
          </w:p>
        </w:tc>
        <w:tc>
          <w:tcPr>
            <w:tcW w:w="7513" w:type="dxa"/>
            <w:shd w:val="clear" w:color="auto" w:fill="auto"/>
          </w:tcPr>
          <w:p w14:paraId="785BE481">
            <w:pPr>
              <w:pStyle w:val="2"/>
              <w:keepNext w:val="0"/>
              <w:keepLines w:val="0"/>
              <w:suppressLineNumbers w:val="0"/>
              <w:spacing w:before="0" w:beforeAutospacing="0" w:after="0" w:afterAutospacing="0"/>
              <w:ind w:left="0" w:right="0" w:firstLine="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在满足“验收合格之日起设备保修期（全保）不少于36个月”的基础上，每增加保修1年得</w:t>
            </w:r>
            <w:r>
              <w:rPr>
                <w:rFonts w:hint="default" w:asciiTheme="minorEastAsia" w:hAnsiTheme="minorEastAsia" w:eastAsiaTheme="minorEastAsia"/>
                <w:sz w:val="24"/>
                <w:szCs w:val="24"/>
              </w:rPr>
              <w:t>1</w:t>
            </w:r>
            <w:r>
              <w:rPr>
                <w:rFonts w:hint="eastAsia" w:asciiTheme="minorEastAsia" w:hAnsiTheme="minorEastAsia" w:eastAsiaTheme="minorEastAsia"/>
                <w:sz w:val="24"/>
                <w:szCs w:val="24"/>
              </w:rPr>
              <w:t>分，最高得</w:t>
            </w:r>
            <w:r>
              <w:rPr>
                <w:rFonts w:hint="default" w:asciiTheme="minorEastAsia" w:hAnsiTheme="minorEastAsia" w:eastAsiaTheme="minorEastAsia"/>
                <w:sz w:val="24"/>
                <w:szCs w:val="24"/>
              </w:rPr>
              <w:t>5</w:t>
            </w:r>
            <w:r>
              <w:rPr>
                <w:rFonts w:hint="eastAsia" w:asciiTheme="minorEastAsia" w:hAnsiTheme="minorEastAsia" w:eastAsiaTheme="minorEastAsia"/>
                <w:sz w:val="24"/>
                <w:szCs w:val="24"/>
              </w:rPr>
              <w:t>分。</w:t>
            </w:r>
          </w:p>
          <w:p w14:paraId="108B24D6">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eastAsia" w:asciiTheme="minorEastAsia" w:hAnsiTheme="minorEastAsia" w:eastAsiaTheme="minorEastAsia"/>
                <w:sz w:val="24"/>
                <w:szCs w:val="24"/>
              </w:rPr>
              <w:t>注：提供承诺函。</w:t>
            </w:r>
          </w:p>
        </w:tc>
      </w:tr>
      <w:tr w14:paraId="579A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984" w:type="dxa"/>
            <w:shd w:val="clear" w:color="auto" w:fill="auto"/>
            <w:vAlign w:val="center"/>
          </w:tcPr>
          <w:p w14:paraId="3FC35988">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yellow"/>
              </w:rPr>
            </w:pPr>
            <w:r>
              <w:rPr>
                <w:rFonts w:hint="eastAsia" w:asciiTheme="minorEastAsia" w:hAnsiTheme="minorEastAsia" w:eastAsiaTheme="minorEastAsia"/>
                <w:sz w:val="24"/>
              </w:rPr>
              <w:t>售后服务方案（</w:t>
            </w:r>
            <w:r>
              <w:rPr>
                <w:rFonts w:hint="default" w:asciiTheme="minorEastAsia" w:hAnsiTheme="minorEastAsia" w:eastAsiaTheme="minorEastAsia"/>
                <w:sz w:val="24"/>
              </w:rPr>
              <w:t>7.0</w:t>
            </w:r>
            <w:r>
              <w:rPr>
                <w:rFonts w:hint="eastAsia" w:asciiTheme="minorEastAsia" w:hAnsiTheme="minorEastAsia" w:eastAsiaTheme="minorEastAsia"/>
                <w:sz w:val="24"/>
              </w:rPr>
              <w:t>分）</w:t>
            </w:r>
          </w:p>
        </w:tc>
        <w:tc>
          <w:tcPr>
            <w:tcW w:w="7513" w:type="dxa"/>
            <w:shd w:val="clear" w:color="auto" w:fill="auto"/>
          </w:tcPr>
          <w:p w14:paraId="4E508472">
            <w:pPr>
              <w:pStyle w:val="2"/>
              <w:keepNext w:val="0"/>
              <w:keepLines w:val="0"/>
              <w:suppressLineNumbers w:val="0"/>
              <w:spacing w:before="0" w:beforeAutospacing="0" w:after="0" w:afterAutospacing="0"/>
              <w:ind w:left="0" w:right="0" w:firstLine="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根据响应供应商提供的售后服务方案进行评审：</w:t>
            </w:r>
          </w:p>
          <w:p w14:paraId="29681B51">
            <w:pPr>
              <w:pStyle w:val="2"/>
              <w:keepNext w:val="0"/>
              <w:keepLines w:val="0"/>
              <w:suppressLineNumbers w:val="0"/>
              <w:spacing w:before="0" w:beforeAutospacing="0" w:after="0" w:afterAutospacing="0"/>
              <w:ind w:left="0" w:right="0" w:firstLine="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售后服务方案全部满足且有优于商务要求的，得</w:t>
            </w:r>
            <w:r>
              <w:rPr>
                <w:rFonts w:hint="default" w:asciiTheme="minorEastAsia" w:hAnsiTheme="minorEastAsia" w:eastAsiaTheme="minorEastAsia"/>
                <w:sz w:val="24"/>
                <w:szCs w:val="24"/>
              </w:rPr>
              <w:t>7</w:t>
            </w:r>
            <w:r>
              <w:rPr>
                <w:rFonts w:hint="eastAsia" w:asciiTheme="minorEastAsia" w:hAnsiTheme="minorEastAsia" w:eastAsiaTheme="minorEastAsia"/>
                <w:sz w:val="24"/>
                <w:szCs w:val="24"/>
              </w:rPr>
              <w:t>分；</w:t>
            </w:r>
          </w:p>
          <w:p w14:paraId="4B2DFC62">
            <w:pPr>
              <w:pStyle w:val="2"/>
              <w:keepNext w:val="0"/>
              <w:keepLines w:val="0"/>
              <w:suppressLineNumbers w:val="0"/>
              <w:spacing w:before="0" w:beforeAutospacing="0" w:after="0" w:afterAutospacing="0"/>
              <w:ind w:left="0" w:right="0" w:firstLine="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售后服务方案全部满足商务要求的，得</w:t>
            </w:r>
            <w:r>
              <w:rPr>
                <w:rFonts w:hint="default" w:asciiTheme="minorEastAsia" w:hAnsiTheme="minorEastAsia" w:eastAsiaTheme="minorEastAsia"/>
                <w:sz w:val="24"/>
                <w:szCs w:val="24"/>
              </w:rPr>
              <w:t>5</w:t>
            </w:r>
            <w:r>
              <w:rPr>
                <w:rFonts w:hint="eastAsia" w:asciiTheme="minorEastAsia" w:hAnsiTheme="minorEastAsia" w:eastAsiaTheme="minorEastAsia"/>
                <w:sz w:val="24"/>
                <w:szCs w:val="24"/>
              </w:rPr>
              <w:t>分；</w:t>
            </w:r>
          </w:p>
          <w:p w14:paraId="7C87053E">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eastAsia" w:asciiTheme="minorEastAsia" w:hAnsiTheme="minorEastAsia" w:eastAsiaTheme="minorEastAsia"/>
                <w:sz w:val="24"/>
                <w:szCs w:val="24"/>
              </w:rPr>
              <w:t>售后服务方案基本满足商务要求，但有个别内容负偏离的，得</w:t>
            </w:r>
            <w:r>
              <w:rPr>
                <w:rFonts w:hint="default" w:asciiTheme="minorEastAsia" w:hAnsiTheme="minorEastAsia" w:eastAsiaTheme="minorEastAsia"/>
                <w:sz w:val="24"/>
                <w:szCs w:val="24"/>
              </w:rPr>
              <w:t>3</w:t>
            </w:r>
            <w:r>
              <w:rPr>
                <w:rFonts w:hint="eastAsia" w:asciiTheme="minorEastAsia" w:hAnsiTheme="minorEastAsia" w:eastAsiaTheme="minorEastAsia"/>
                <w:sz w:val="24"/>
                <w:szCs w:val="24"/>
              </w:rPr>
              <w:t>分；</w:t>
            </w:r>
          </w:p>
          <w:p w14:paraId="714CD0D3">
            <w:pPr>
              <w:pStyle w:val="2"/>
              <w:keepNext w:val="0"/>
              <w:keepLines w:val="0"/>
              <w:suppressLineNumbers w:val="0"/>
              <w:spacing w:before="0" w:beforeAutospacing="0" w:after="0" w:afterAutospacing="0"/>
              <w:ind w:left="0" w:right="0" w:firstLine="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售后服务方案基本不满足商务要求，有较多内容负偏离的，得</w:t>
            </w:r>
            <w:r>
              <w:rPr>
                <w:rFonts w:hint="default" w:asciiTheme="minorEastAsia" w:hAnsiTheme="minorEastAsia" w:eastAsiaTheme="minorEastAsia"/>
                <w:sz w:val="24"/>
                <w:szCs w:val="24"/>
              </w:rPr>
              <w:t>1</w:t>
            </w:r>
            <w:r>
              <w:rPr>
                <w:rFonts w:hint="eastAsia" w:asciiTheme="minorEastAsia" w:hAnsiTheme="minorEastAsia" w:eastAsiaTheme="minorEastAsia"/>
                <w:sz w:val="24"/>
                <w:szCs w:val="24"/>
              </w:rPr>
              <w:t>分；</w:t>
            </w:r>
          </w:p>
          <w:p w14:paraId="7114629D">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highlight w:val="yellow"/>
              </w:rPr>
            </w:pPr>
            <w:r>
              <w:rPr>
                <w:rFonts w:hint="eastAsia" w:asciiTheme="minorEastAsia" w:hAnsiTheme="minorEastAsia" w:eastAsiaTheme="minorEastAsia"/>
                <w:sz w:val="24"/>
                <w:szCs w:val="24"/>
              </w:rPr>
              <w:t>不提供售后服务方案的，不得分。</w:t>
            </w:r>
          </w:p>
        </w:tc>
      </w:tr>
      <w:bookmarkEnd w:id="8"/>
    </w:tbl>
    <w:p w14:paraId="33D29E5F">
      <w:pPr>
        <w:pStyle w:val="2"/>
      </w:pPr>
      <w:bookmarkStart w:id="9" w:name="_Toc14789"/>
    </w:p>
    <w:p w14:paraId="275064A2">
      <w:pPr>
        <w:spacing w:line="312" w:lineRule="auto"/>
        <w:jc w:val="center"/>
        <w:outlineLvl w:val="0"/>
        <w:rPr>
          <w:rFonts w:asciiTheme="minorEastAsia" w:hAnsiTheme="minorEastAsia" w:eastAsiaTheme="minorEastAsia"/>
          <w:b/>
          <w:sz w:val="28"/>
          <w:szCs w:val="28"/>
        </w:rPr>
      </w:pPr>
      <w:r>
        <w:rPr>
          <w:rFonts w:hint="eastAsia" w:asciiTheme="majorEastAsia" w:hAnsiTheme="majorEastAsia" w:eastAsiaTheme="majorEastAsia"/>
          <w:b/>
          <w:sz w:val="28"/>
          <w:szCs w:val="28"/>
        </w:rPr>
        <w:t>技术评估表</w:t>
      </w:r>
    </w:p>
    <w:tbl>
      <w:tblPr>
        <w:tblStyle w:val="37"/>
        <w:tblW w:w="94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7513"/>
      </w:tblGrid>
      <w:tr w14:paraId="3730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shd w:val="clear" w:color="auto" w:fill="auto"/>
          </w:tcPr>
          <w:p w14:paraId="4BE0768E">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评审项目</w:t>
            </w:r>
          </w:p>
        </w:tc>
        <w:tc>
          <w:tcPr>
            <w:tcW w:w="7513" w:type="dxa"/>
            <w:shd w:val="clear" w:color="auto" w:fill="auto"/>
          </w:tcPr>
          <w:p w14:paraId="2885EBD7">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评分标准</w:t>
            </w:r>
          </w:p>
        </w:tc>
      </w:tr>
      <w:tr w14:paraId="6DCB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center"/>
          </w:tcPr>
          <w:p w14:paraId="40E74822">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重要条款响应程度</w:t>
            </w:r>
          </w:p>
          <w:p w14:paraId="53D1685A">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 xml:space="preserve"> (</w:t>
            </w:r>
            <w:r>
              <w:rPr>
                <w:rFonts w:hint="default" w:asciiTheme="minorEastAsia" w:hAnsiTheme="minorEastAsia" w:eastAsiaTheme="minorEastAsia"/>
                <w:sz w:val="24"/>
              </w:rPr>
              <w:t>30</w:t>
            </w:r>
            <w:r>
              <w:rPr>
                <w:rFonts w:hint="eastAsia" w:asciiTheme="minorEastAsia" w:hAnsiTheme="minorEastAsia" w:eastAsiaTheme="minorEastAsia"/>
                <w:sz w:val="24"/>
              </w:rPr>
              <w:t>.0分)</w:t>
            </w:r>
          </w:p>
        </w:tc>
        <w:tc>
          <w:tcPr>
            <w:tcW w:w="7513" w:type="dxa"/>
            <w:shd w:val="clear" w:color="auto" w:fill="auto"/>
          </w:tcPr>
          <w:p w14:paraId="718C1724">
            <w:pPr>
              <w:keepNext w:val="0"/>
              <w:keepLines w:val="0"/>
              <w:widowControl/>
              <w:suppressLineNumbers w:val="0"/>
              <w:spacing w:before="0" w:beforeAutospacing="0" w:after="0" w:afterAutospacing="0" w:line="400" w:lineRule="exact"/>
              <w:ind w:left="0" w:right="0"/>
              <w:jc w:val="left"/>
              <w:rPr>
                <w:rFonts w:hint="eastAsia" w:asciiTheme="minorEastAsia" w:hAnsiTheme="minorEastAsia" w:eastAsiaTheme="minorEastAsia"/>
                <w:sz w:val="24"/>
              </w:rPr>
            </w:pPr>
            <w:r>
              <w:rPr>
                <w:rFonts w:hint="eastAsia" w:asciiTheme="minorEastAsia" w:hAnsiTheme="minorEastAsia" w:eastAsiaTheme="minorEastAsia"/>
                <w:sz w:val="24"/>
              </w:rPr>
              <w:t xml:space="preserve">根据响应供应商对询比文件第三章《用户需求书》的四-（四）的标记▲的参数的响应程度进行评审：                                                        </w:t>
            </w:r>
          </w:p>
          <w:p w14:paraId="2B46A644">
            <w:pPr>
              <w:keepNext w:val="0"/>
              <w:keepLines w:val="0"/>
              <w:widowControl/>
              <w:suppressLineNumbers w:val="0"/>
              <w:spacing w:before="0" w:beforeAutospacing="0" w:after="0" w:afterAutospacing="0" w:line="400" w:lineRule="exact"/>
              <w:ind w:left="0" w:right="0"/>
              <w:jc w:val="left"/>
              <w:rPr>
                <w:rFonts w:hint="eastAsia" w:asciiTheme="minorEastAsia" w:hAnsiTheme="minorEastAsia" w:eastAsiaTheme="minorEastAsia"/>
                <w:sz w:val="24"/>
              </w:rPr>
            </w:pPr>
            <w:r>
              <w:rPr>
                <w:rFonts w:hint="eastAsia" w:asciiTheme="minorEastAsia" w:hAnsiTheme="minorEastAsia" w:eastAsiaTheme="minorEastAsia"/>
                <w:sz w:val="24"/>
              </w:rPr>
              <w:t>完全满足或优于的，得</w:t>
            </w:r>
            <w:r>
              <w:rPr>
                <w:rFonts w:hint="default" w:asciiTheme="minorEastAsia" w:hAnsiTheme="minorEastAsia" w:eastAsiaTheme="minorEastAsia"/>
                <w:sz w:val="24"/>
              </w:rPr>
              <w:t>30</w:t>
            </w:r>
            <w:r>
              <w:rPr>
                <w:rFonts w:hint="eastAsia" w:asciiTheme="minorEastAsia" w:hAnsiTheme="minorEastAsia" w:eastAsiaTheme="minorEastAsia"/>
                <w:sz w:val="24"/>
              </w:rPr>
              <w:t>分；每有一条负偏离的，扣5分，扣完为止。</w:t>
            </w:r>
          </w:p>
          <w:p w14:paraId="5ACBBFD3">
            <w:pPr>
              <w:keepNext w:val="0"/>
              <w:keepLines w:val="0"/>
              <w:widowControl/>
              <w:suppressLineNumbers w:val="0"/>
              <w:spacing w:before="0" w:beforeAutospacing="0" w:after="0" w:afterAutospacing="0" w:line="400" w:lineRule="exact"/>
              <w:ind w:left="0" w:right="0"/>
              <w:jc w:val="left"/>
              <w:rPr>
                <w:rFonts w:hint="default" w:asciiTheme="minorEastAsia" w:hAnsiTheme="minorEastAsia" w:eastAsiaTheme="minorEastAsia"/>
                <w:sz w:val="24"/>
              </w:rPr>
            </w:pPr>
            <w:r>
              <w:rPr>
                <w:rFonts w:hint="eastAsia" w:asciiTheme="minorEastAsia" w:hAnsiTheme="minorEastAsia" w:eastAsiaTheme="minorEastAsia"/>
                <w:sz w:val="24"/>
              </w:rPr>
              <w:t>注：响应供应商应按四-（一）的要求提供佐证材料，并注明佐证材料页码；针对▲参数另行要求佐证材料的，除按四-（一）的要求提供佐证材料之外，还需按▲参数的另行要求提供佐证材料，并注明佐证材料页码。</w:t>
            </w:r>
          </w:p>
        </w:tc>
      </w:tr>
      <w:tr w14:paraId="1920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trPr>
        <w:tc>
          <w:tcPr>
            <w:tcW w:w="1984" w:type="dxa"/>
            <w:shd w:val="clear" w:color="auto" w:fill="auto"/>
            <w:vAlign w:val="center"/>
          </w:tcPr>
          <w:p w14:paraId="0BA667BE">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一般技术条款响应程度</w:t>
            </w:r>
          </w:p>
          <w:p w14:paraId="65AB466B">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 xml:space="preserve"> (</w:t>
            </w:r>
            <w:r>
              <w:rPr>
                <w:rFonts w:hint="default" w:asciiTheme="minorEastAsia" w:hAnsiTheme="minorEastAsia" w:eastAsiaTheme="minorEastAsia"/>
                <w:sz w:val="24"/>
              </w:rPr>
              <w:t>20.0</w:t>
            </w:r>
            <w:r>
              <w:rPr>
                <w:rFonts w:hint="eastAsia" w:asciiTheme="minorEastAsia" w:hAnsiTheme="minorEastAsia" w:eastAsiaTheme="minorEastAsia"/>
                <w:sz w:val="24"/>
              </w:rPr>
              <w:t>分)</w:t>
            </w:r>
          </w:p>
        </w:tc>
        <w:tc>
          <w:tcPr>
            <w:tcW w:w="7513" w:type="dxa"/>
            <w:shd w:val="clear" w:color="auto" w:fill="auto"/>
          </w:tcPr>
          <w:p w14:paraId="3756F591">
            <w:pPr>
              <w:keepNext w:val="0"/>
              <w:keepLines w:val="0"/>
              <w:widowControl/>
              <w:suppressLineNumbers w:val="0"/>
              <w:spacing w:before="0" w:beforeAutospacing="0" w:after="0" w:afterAutospacing="0" w:line="400" w:lineRule="exact"/>
              <w:ind w:left="0" w:right="0"/>
              <w:jc w:val="left"/>
              <w:rPr>
                <w:rFonts w:hint="eastAsia" w:asciiTheme="minorEastAsia" w:hAnsiTheme="minorEastAsia" w:eastAsiaTheme="minorEastAsia"/>
                <w:sz w:val="24"/>
              </w:rPr>
            </w:pPr>
            <w:r>
              <w:rPr>
                <w:rFonts w:hint="eastAsia" w:asciiTheme="minorEastAsia" w:hAnsiTheme="minorEastAsia" w:eastAsiaTheme="minorEastAsia"/>
                <w:sz w:val="24"/>
              </w:rPr>
              <w:t xml:space="preserve">根据响应供应商对询比文件第三章《用户需求书》的四-（四）的响应情况进行评审（除标记“▲”之外）：                                                        </w:t>
            </w:r>
          </w:p>
          <w:p w14:paraId="698ACE71">
            <w:pPr>
              <w:keepNext w:val="0"/>
              <w:keepLines w:val="0"/>
              <w:widowControl/>
              <w:suppressLineNumbers w:val="0"/>
              <w:spacing w:before="0" w:beforeAutospacing="0" w:after="0" w:afterAutospacing="0" w:line="400" w:lineRule="exact"/>
              <w:ind w:left="0" w:right="0"/>
              <w:jc w:val="left"/>
              <w:rPr>
                <w:rFonts w:hint="eastAsia" w:asciiTheme="minorEastAsia" w:hAnsiTheme="minorEastAsia" w:eastAsiaTheme="minorEastAsia"/>
                <w:sz w:val="24"/>
              </w:rPr>
            </w:pPr>
            <w:r>
              <w:rPr>
                <w:rFonts w:hint="eastAsia" w:asciiTheme="minorEastAsia" w:hAnsiTheme="minorEastAsia" w:eastAsiaTheme="minorEastAsia"/>
                <w:sz w:val="24"/>
              </w:rPr>
              <w:t>完全满足或优于的，得2</w:t>
            </w:r>
            <w:r>
              <w:rPr>
                <w:rFonts w:hint="default" w:asciiTheme="minorEastAsia" w:hAnsiTheme="minorEastAsia" w:eastAsiaTheme="minorEastAsia"/>
                <w:sz w:val="24"/>
              </w:rPr>
              <w:t>0</w:t>
            </w:r>
            <w:r>
              <w:rPr>
                <w:rFonts w:hint="eastAsia" w:asciiTheme="minorEastAsia" w:hAnsiTheme="minorEastAsia" w:eastAsiaTheme="minorEastAsia"/>
                <w:sz w:val="24"/>
              </w:rPr>
              <w:t>分；每有一条负偏离的，扣</w:t>
            </w:r>
            <w:r>
              <w:rPr>
                <w:rFonts w:hint="default" w:asciiTheme="minorEastAsia" w:hAnsiTheme="minorEastAsia" w:eastAsiaTheme="minorEastAsia"/>
                <w:sz w:val="24"/>
              </w:rPr>
              <w:t>0.5</w:t>
            </w:r>
            <w:r>
              <w:rPr>
                <w:rFonts w:hint="eastAsia" w:asciiTheme="minorEastAsia" w:hAnsiTheme="minorEastAsia" w:eastAsiaTheme="minorEastAsia"/>
                <w:sz w:val="24"/>
              </w:rPr>
              <w:t>分，扣完为止。</w:t>
            </w:r>
          </w:p>
          <w:p w14:paraId="31F4D5E2">
            <w:pPr>
              <w:keepNext w:val="0"/>
              <w:keepLines w:val="0"/>
              <w:widowControl/>
              <w:suppressLineNumbers w:val="0"/>
              <w:spacing w:before="0" w:beforeAutospacing="0" w:after="0" w:afterAutospacing="0" w:line="400" w:lineRule="exact"/>
              <w:ind w:left="0" w:right="0"/>
              <w:jc w:val="left"/>
              <w:rPr>
                <w:rFonts w:hint="default" w:asciiTheme="minorEastAsia" w:hAnsiTheme="minorEastAsia" w:eastAsiaTheme="minorEastAsia"/>
                <w:sz w:val="24"/>
              </w:rPr>
            </w:pPr>
            <w:r>
              <w:rPr>
                <w:rFonts w:hint="eastAsia" w:asciiTheme="minorEastAsia" w:hAnsiTheme="minorEastAsia" w:eastAsiaTheme="minorEastAsia"/>
                <w:sz w:val="24"/>
              </w:rPr>
              <w:t>注：如用户需求中有明确提供的证明资料，则以用户需求中要求的为准，并注明佐证材料页码；如用户需求中无明确证明材料的，则以响应供应商提供的《用户需求书响应一览表》的响应情况进行评审。</w:t>
            </w:r>
          </w:p>
        </w:tc>
      </w:tr>
      <w:tr w14:paraId="0A87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84" w:type="dxa"/>
            <w:shd w:val="clear" w:color="auto" w:fill="auto"/>
            <w:vAlign w:val="center"/>
          </w:tcPr>
          <w:p w14:paraId="795BDB1E">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技术先进性\技术成熟\性能稳定可靠</w:t>
            </w:r>
          </w:p>
          <w:p w14:paraId="17FBC118">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（8</w:t>
            </w:r>
            <w:r>
              <w:rPr>
                <w:rFonts w:hint="default" w:asciiTheme="minorEastAsia" w:hAnsiTheme="minorEastAsia" w:eastAsiaTheme="minorEastAsia"/>
                <w:sz w:val="24"/>
              </w:rPr>
              <w:t>.0</w:t>
            </w:r>
            <w:r>
              <w:rPr>
                <w:rFonts w:hint="eastAsia" w:asciiTheme="minorEastAsia" w:hAnsiTheme="minorEastAsia" w:eastAsiaTheme="minorEastAsia"/>
                <w:sz w:val="24"/>
              </w:rPr>
              <w:t>分）</w:t>
            </w:r>
          </w:p>
        </w:tc>
        <w:tc>
          <w:tcPr>
            <w:tcW w:w="7513" w:type="dxa"/>
            <w:shd w:val="clear" w:color="auto" w:fill="auto"/>
          </w:tcPr>
          <w:p w14:paraId="5DF91A68">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eastAsia" w:asciiTheme="minorEastAsia" w:hAnsiTheme="minorEastAsia" w:eastAsiaTheme="minorEastAsia"/>
                <w:sz w:val="24"/>
                <w:szCs w:val="24"/>
              </w:rPr>
              <w:t>对投标产品的技术先进性\技术成熟\性能稳定可靠进行评审</w:t>
            </w:r>
          </w:p>
          <w:p w14:paraId="7D21D53D">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default" w:asciiTheme="minorEastAsia" w:hAnsiTheme="minorEastAsia" w:eastAsiaTheme="minorEastAsia"/>
                <w:sz w:val="24"/>
                <w:szCs w:val="24"/>
              </w:rPr>
              <w:t>.</w:t>
            </w:r>
            <w:r>
              <w:rPr>
                <w:rFonts w:hint="eastAsia" w:asciiTheme="minorEastAsia" w:hAnsiTheme="minorEastAsia" w:eastAsiaTheme="minorEastAsia"/>
                <w:sz w:val="24"/>
                <w:szCs w:val="24"/>
              </w:rPr>
              <w:t>技术水平在同类产品中领先，技术成熟性、设备可靠性强，明显优于市场上同类产品的得</w:t>
            </w:r>
            <w:r>
              <w:rPr>
                <w:rFonts w:hint="default" w:asciiTheme="minorEastAsia" w:hAnsiTheme="minorEastAsia" w:eastAsiaTheme="minorEastAsia"/>
                <w:sz w:val="24"/>
                <w:szCs w:val="24"/>
              </w:rPr>
              <w:t>8</w:t>
            </w:r>
            <w:r>
              <w:rPr>
                <w:rFonts w:hint="eastAsia" w:asciiTheme="minorEastAsia" w:hAnsiTheme="minorEastAsia" w:eastAsiaTheme="minorEastAsia"/>
                <w:sz w:val="24"/>
                <w:szCs w:val="24"/>
              </w:rPr>
              <w:t>分；</w:t>
            </w:r>
          </w:p>
          <w:p w14:paraId="614435D0">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default" w:asciiTheme="minorEastAsia" w:hAnsiTheme="minorEastAsia" w:eastAsiaTheme="minorEastAsia"/>
                <w:sz w:val="24"/>
                <w:szCs w:val="24"/>
              </w:rPr>
              <w:t>2.</w:t>
            </w:r>
            <w:r>
              <w:rPr>
                <w:rFonts w:hint="eastAsia" w:asciiTheme="minorEastAsia" w:hAnsiTheme="minorEastAsia" w:eastAsiaTheme="minorEastAsia"/>
                <w:sz w:val="24"/>
                <w:szCs w:val="24"/>
              </w:rPr>
              <w:t>技术水平在同类产品中属于常规，技术成熟性、设备可靠性较市场上同类产品无明显优势得</w:t>
            </w:r>
            <w:r>
              <w:rPr>
                <w:rFonts w:hint="default" w:asciiTheme="minorEastAsia" w:hAnsiTheme="minorEastAsia" w:eastAsiaTheme="minorEastAsia"/>
                <w:sz w:val="24"/>
                <w:szCs w:val="24"/>
              </w:rPr>
              <w:t>5</w:t>
            </w:r>
            <w:r>
              <w:rPr>
                <w:rFonts w:hint="eastAsia" w:asciiTheme="minorEastAsia" w:hAnsiTheme="minorEastAsia" w:eastAsiaTheme="minorEastAsia"/>
                <w:sz w:val="24"/>
                <w:szCs w:val="24"/>
              </w:rPr>
              <w:t>分；</w:t>
            </w:r>
          </w:p>
          <w:p w14:paraId="189B7941">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default" w:asciiTheme="minorEastAsia" w:hAnsiTheme="minorEastAsia" w:eastAsiaTheme="minorEastAsia"/>
                <w:sz w:val="24"/>
                <w:szCs w:val="24"/>
              </w:rPr>
              <w:t>3.</w:t>
            </w:r>
            <w:r>
              <w:rPr>
                <w:rFonts w:hint="eastAsia" w:asciiTheme="minorEastAsia" w:hAnsiTheme="minorEastAsia" w:eastAsiaTheme="minorEastAsia"/>
                <w:sz w:val="24"/>
                <w:szCs w:val="24"/>
              </w:rPr>
              <w:t>技术水平在同类产品中存在个别指标落后，技术成熟性、设备可靠性较市场上同类产品有存在个别不足的得</w:t>
            </w:r>
            <w:r>
              <w:rPr>
                <w:rFonts w:hint="default" w:asciiTheme="minorEastAsia" w:hAnsiTheme="minorEastAsia" w:eastAsiaTheme="minorEastAsia"/>
                <w:sz w:val="24"/>
                <w:szCs w:val="24"/>
              </w:rPr>
              <w:t>3</w:t>
            </w:r>
            <w:r>
              <w:rPr>
                <w:rFonts w:hint="eastAsia" w:asciiTheme="minorEastAsia" w:hAnsiTheme="minorEastAsia" w:eastAsiaTheme="minorEastAsia"/>
                <w:sz w:val="24"/>
                <w:szCs w:val="24"/>
              </w:rPr>
              <w:t>分；</w:t>
            </w:r>
          </w:p>
          <w:p w14:paraId="31B655E6">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default" w:asciiTheme="minorEastAsia" w:hAnsiTheme="minorEastAsia" w:eastAsiaTheme="minorEastAsia"/>
                <w:sz w:val="24"/>
                <w:szCs w:val="24"/>
              </w:rPr>
              <w:t>4.</w:t>
            </w:r>
            <w:r>
              <w:rPr>
                <w:rFonts w:hint="eastAsia"/>
              </w:rPr>
              <w:t xml:space="preserve"> </w:t>
            </w:r>
            <w:r>
              <w:rPr>
                <w:rFonts w:hint="eastAsia" w:asciiTheme="minorEastAsia" w:hAnsiTheme="minorEastAsia" w:eastAsiaTheme="minorEastAsia"/>
                <w:sz w:val="24"/>
                <w:szCs w:val="24"/>
              </w:rPr>
              <w:t>技术水平在同类产品中落后或待淘汰，技术成熟性、设备可靠性较市场上同类产品有存在明显差异的得</w:t>
            </w:r>
            <w:r>
              <w:rPr>
                <w:rFonts w:hint="default" w:asciiTheme="minorEastAsia" w:hAnsiTheme="minorEastAsia" w:eastAsiaTheme="minorEastAsia"/>
                <w:sz w:val="24"/>
                <w:szCs w:val="24"/>
              </w:rPr>
              <w:t>1</w:t>
            </w:r>
            <w:r>
              <w:rPr>
                <w:rFonts w:hint="eastAsia" w:asciiTheme="minorEastAsia" w:hAnsiTheme="minorEastAsia" w:eastAsiaTheme="minorEastAsia"/>
                <w:sz w:val="24"/>
                <w:szCs w:val="24"/>
              </w:rPr>
              <w:t>分；</w:t>
            </w:r>
          </w:p>
          <w:p w14:paraId="76729EF9">
            <w:pPr>
              <w:pStyle w:val="2"/>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rPr>
            </w:pPr>
            <w:r>
              <w:rPr>
                <w:rFonts w:hint="eastAsia" w:asciiTheme="minorEastAsia" w:hAnsiTheme="minorEastAsia" w:eastAsiaTheme="minorEastAsia"/>
                <w:sz w:val="24"/>
                <w:szCs w:val="24"/>
              </w:rPr>
              <w:t>不提供不得分。</w:t>
            </w:r>
          </w:p>
          <w:p w14:paraId="7CA0B772">
            <w:pPr>
              <w:pStyle w:val="2"/>
              <w:keepNext w:val="0"/>
              <w:keepLines w:val="0"/>
              <w:suppressLineNumbers w:val="0"/>
              <w:spacing w:before="0" w:beforeAutospacing="0" w:after="0" w:afterAutospacing="0"/>
              <w:ind w:left="0" w:right="0" w:firstLine="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（所有响应供应商必须提供投标产品的生产厂家使用说明书（如生产厂家的使用说明书为英文版，请同时提供中文版），或经生产厂家盖章的技术证明文件以证明）</w:t>
            </w:r>
          </w:p>
        </w:tc>
      </w:tr>
    </w:tbl>
    <w:p w14:paraId="33FA9A0E">
      <w:pPr>
        <w:pStyle w:val="2"/>
        <w:rPr>
          <w:rFonts w:asciiTheme="minorEastAsia" w:hAnsiTheme="minorEastAsia" w:eastAsiaTheme="minorEastAsia"/>
          <w:sz w:val="24"/>
          <w:szCs w:val="24"/>
        </w:rPr>
      </w:pPr>
    </w:p>
    <w:p w14:paraId="3DDEC422">
      <w:pPr>
        <w:pStyle w:val="2"/>
        <w:rPr>
          <w:rFonts w:asciiTheme="minorEastAsia" w:hAnsiTheme="minorEastAsia" w:eastAsiaTheme="minorEastAsia"/>
          <w:sz w:val="24"/>
          <w:szCs w:val="24"/>
        </w:rPr>
      </w:pPr>
      <w:r>
        <w:rPr>
          <w:rFonts w:hint="eastAsia" w:asciiTheme="minorEastAsia" w:hAnsiTheme="minorEastAsia" w:eastAsiaTheme="minorEastAsia"/>
          <w:sz w:val="24"/>
          <w:szCs w:val="24"/>
        </w:rPr>
        <w:t>（2）报价得分：价格分统一采用低价优先法计算，即满足询比文件要求的各报价中取最低的为评标基准价，其价格分为满分。价格分计算公式：</w:t>
      </w:r>
    </w:p>
    <w:p w14:paraId="487CE658">
      <w:pPr>
        <w:pStyle w:val="2"/>
        <w:rPr>
          <w:rFonts w:asciiTheme="minorEastAsia" w:hAnsiTheme="minorEastAsia" w:eastAsiaTheme="minorEastAsia"/>
          <w:b/>
          <w:sz w:val="24"/>
          <w:szCs w:val="24"/>
        </w:rPr>
      </w:pPr>
      <w:r>
        <w:rPr>
          <w:rFonts w:hint="eastAsia" w:asciiTheme="minorEastAsia" w:hAnsiTheme="minorEastAsia" w:eastAsiaTheme="minorEastAsia"/>
          <w:b/>
          <w:sz w:val="24"/>
          <w:szCs w:val="24"/>
        </w:rPr>
        <w:t>响应报价得分=【评标基准价／报价】×价格权值×100</w:t>
      </w:r>
    </w:p>
    <w:p w14:paraId="179769AD">
      <w:pPr>
        <w:pStyle w:val="2"/>
        <w:rPr>
          <w:rFonts w:asciiTheme="minorEastAsia" w:hAnsiTheme="minorEastAsia" w:eastAsiaTheme="minorEastAsia"/>
          <w:b/>
          <w:sz w:val="24"/>
          <w:szCs w:val="24"/>
        </w:rPr>
      </w:pPr>
    </w:p>
    <w:p w14:paraId="4CBDE936">
      <w:pPr>
        <w:pStyle w:val="2"/>
      </w:pPr>
      <w:r>
        <w:rPr>
          <w:rFonts w:asciiTheme="minorEastAsia" w:hAnsiTheme="minorEastAsia" w:eastAsiaTheme="minorEastAsia"/>
          <w:b/>
          <w:sz w:val="32"/>
          <w:szCs w:val="24"/>
        </w:rPr>
        <w:br w:type="page"/>
      </w:r>
    </w:p>
    <w:p w14:paraId="5B80FF2B">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第五部分  合同书格式</w:t>
      </w:r>
      <w:bookmarkEnd w:id="9"/>
    </w:p>
    <w:p w14:paraId="63ADEC0B">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kern w:val="2"/>
          <w:sz w:val="21"/>
          <w:szCs w:val="21"/>
        </w:rPr>
      </w:pPr>
      <w:r>
        <w:rPr>
          <w:rFonts w:hint="eastAsia" w:ascii="宋体" w:hAnsi="宋体"/>
          <w:b/>
          <w:color w:val="000000"/>
          <w:sz w:val="24"/>
        </w:rPr>
        <w:t xml:space="preserve">  </w:t>
      </w:r>
      <w:r>
        <w:rPr>
          <w:rFonts w:hint="eastAsia" w:ascii="宋体" w:hAnsi="宋体" w:eastAsia="宋体" w:cs="宋体"/>
          <w:b/>
          <w:bCs w:val="0"/>
          <w:kern w:val="2"/>
          <w:sz w:val="28"/>
          <w:szCs w:val="28"/>
          <w:lang w:val="en-US" w:eastAsia="zh-CN" w:bidi="ar"/>
        </w:rPr>
        <w:t>合同编号：</w:t>
      </w:r>
    </w:p>
    <w:p w14:paraId="450AB2E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drawing>
          <wp:inline distT="0" distB="0" distL="114300" distR="114300">
            <wp:extent cx="1066800" cy="1104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1066800" cy="1104900"/>
                    </a:xfrm>
                    <a:prstGeom prst="rect">
                      <a:avLst/>
                    </a:prstGeom>
                  </pic:spPr>
                </pic:pic>
              </a:graphicData>
            </a:graphic>
          </wp:inline>
        </w:drawing>
      </w:r>
      <w:r>
        <w:rPr>
          <w:rFonts w:hint="default" w:ascii="Times New Roman" w:hAnsi="Times New Roman" w:eastAsia="宋体" w:cs="Times New Roman"/>
          <w:kern w:val="2"/>
          <w:sz w:val="21"/>
          <w:szCs w:val="21"/>
          <w:lang w:val="en-US" w:eastAsia="zh-CN" w:bidi="ar"/>
        </w:rPr>
        <w:t xml:space="preserve"> </w:t>
      </w:r>
    </w:p>
    <w:p w14:paraId="5A98752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r>
        <w:rPr>
          <w:rFonts w:hint="default" w:ascii="Times New Roman" w:hAnsi="Times New Roman" w:eastAsia="宋体" w:cs="Times New Roman"/>
          <w:kern w:val="2"/>
          <w:sz w:val="21"/>
          <w:szCs w:val="21"/>
        </w:rPr>
        <w:drawing>
          <wp:inline distT="0" distB="0" distL="114300" distR="114300">
            <wp:extent cx="1676400" cy="457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1676400" cy="457200"/>
                    </a:xfrm>
                    <a:prstGeom prst="rect">
                      <a:avLst/>
                    </a:prstGeom>
                  </pic:spPr>
                </pic:pic>
              </a:graphicData>
            </a:graphic>
          </wp:inline>
        </w:drawing>
      </w:r>
    </w:p>
    <w:p w14:paraId="74E2628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3A6063E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1A51479E">
      <w:pPr>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03B9FE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val="0"/>
          <w:kern w:val="2"/>
          <w:sz w:val="48"/>
          <w:szCs w:val="48"/>
        </w:rPr>
      </w:pPr>
      <w:r>
        <w:rPr>
          <w:rFonts w:hint="eastAsia" w:ascii="宋体" w:hAnsi="宋体" w:eastAsia="宋体" w:cs="宋体"/>
          <w:b/>
          <w:bCs w:val="0"/>
          <w:kern w:val="2"/>
          <w:sz w:val="48"/>
          <w:szCs w:val="48"/>
          <w:lang w:val="en-US" w:eastAsia="zh-CN" w:bidi="ar"/>
        </w:rPr>
        <w:t>广州医科大学附属番禺中心医院</w:t>
      </w:r>
    </w:p>
    <w:p w14:paraId="6915478A">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kern w:val="2"/>
          <w:sz w:val="48"/>
          <w:szCs w:val="48"/>
        </w:rPr>
      </w:pPr>
      <w:r>
        <w:rPr>
          <w:rFonts w:hint="eastAsia" w:ascii="宋体" w:hAnsi="宋体" w:eastAsia="宋体" w:cs="宋体"/>
          <w:b/>
          <w:bCs w:val="0"/>
          <w:kern w:val="2"/>
          <w:sz w:val="48"/>
          <w:szCs w:val="48"/>
          <w:lang w:val="en-US" w:eastAsia="zh-CN" w:bidi="ar"/>
        </w:rPr>
        <w:t>货物类合同书</w:t>
      </w:r>
    </w:p>
    <w:p w14:paraId="7717516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eastAsia="宋体" w:cs="Arial"/>
          <w:b/>
          <w:bCs w:val="0"/>
          <w:color w:val="000000"/>
          <w:kern w:val="0"/>
          <w:sz w:val="21"/>
          <w:szCs w:val="21"/>
          <w:vertAlign w:val="baseline"/>
        </w:rPr>
      </w:pPr>
      <w:r>
        <w:rPr>
          <w:rFonts w:hint="default" w:ascii="Arial" w:hAnsi="Arial" w:eastAsia="宋体" w:cs="Arial"/>
          <w:b/>
          <w:bCs w:val="0"/>
          <w:color w:val="000000"/>
          <w:kern w:val="0"/>
          <w:sz w:val="21"/>
          <w:szCs w:val="21"/>
          <w:vertAlign w:val="baseline"/>
          <w:lang w:val="en-US" w:eastAsia="zh-CN" w:bidi="ar"/>
        </w:rPr>
        <w:t xml:space="preserve"> </w:t>
      </w:r>
    </w:p>
    <w:p w14:paraId="389CC172">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eastAsia="宋体" w:cs="Arial"/>
          <w:b/>
          <w:bCs w:val="0"/>
          <w:color w:val="000000"/>
          <w:kern w:val="0"/>
          <w:sz w:val="21"/>
          <w:szCs w:val="21"/>
          <w:vertAlign w:val="baseline"/>
        </w:rPr>
      </w:pPr>
      <w:r>
        <w:rPr>
          <w:rFonts w:hint="default" w:ascii="Arial" w:hAnsi="Arial" w:eastAsia="宋体" w:cs="Arial"/>
          <w:b/>
          <w:bCs w:val="0"/>
          <w:color w:val="000000"/>
          <w:kern w:val="0"/>
          <w:sz w:val="21"/>
          <w:szCs w:val="21"/>
          <w:vertAlign w:val="baseline"/>
          <w:lang w:val="en-US" w:eastAsia="zh-CN" w:bidi="ar"/>
        </w:rPr>
        <w:t xml:space="preserve"> </w:t>
      </w:r>
    </w:p>
    <w:p w14:paraId="3DDDFD30">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仿宋" w:hAnsi="仿宋" w:eastAsia="仿宋" w:cs="Arial"/>
          <w:b/>
          <w:bCs w:val="0"/>
          <w:color w:val="000000"/>
          <w:kern w:val="0"/>
          <w:sz w:val="21"/>
          <w:szCs w:val="21"/>
          <w:vertAlign w:val="baseline"/>
        </w:rPr>
      </w:pPr>
      <w:r>
        <w:rPr>
          <w:rFonts w:hint="default" w:ascii="仿宋" w:hAnsi="仿宋" w:eastAsia="仿宋" w:cs="Arial"/>
          <w:b/>
          <w:bCs w:val="0"/>
          <w:color w:val="000000"/>
          <w:kern w:val="0"/>
          <w:sz w:val="21"/>
          <w:szCs w:val="21"/>
          <w:vertAlign w:val="baseline"/>
          <w:lang w:val="en-US" w:eastAsia="zh-CN" w:bidi="ar"/>
        </w:rPr>
        <w:t xml:space="preserve"> </w:t>
      </w:r>
    </w:p>
    <w:p w14:paraId="172E5A05">
      <w:pPr>
        <w:keepNext w:val="0"/>
        <w:keepLines w:val="0"/>
        <w:widowControl/>
        <w:suppressLineNumbers w:val="0"/>
        <w:kinsoku w:val="0"/>
        <w:autoSpaceDE w:val="0"/>
        <w:autoSpaceDN w:val="0"/>
        <w:adjustRightInd w:val="0"/>
        <w:snapToGrid w:val="0"/>
        <w:spacing w:before="0" w:beforeAutospacing="0" w:after="0" w:afterAutospacing="0"/>
        <w:ind w:left="3358" w:leftChars="266" w:right="0" w:hanging="2800" w:hangingChars="1000"/>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52925E85">
      <w:pPr>
        <w:keepNext w:val="0"/>
        <w:keepLines w:val="0"/>
        <w:widowControl/>
        <w:suppressLineNumbers w:val="0"/>
        <w:kinsoku w:val="0"/>
        <w:autoSpaceDE w:val="0"/>
        <w:autoSpaceDN w:val="0"/>
        <w:adjustRightInd w:val="0"/>
        <w:snapToGrid w:val="0"/>
        <w:spacing w:before="0" w:beforeAutospacing="0" w:after="0" w:afterAutospacing="0"/>
        <w:ind w:left="3358" w:leftChars="266" w:right="0" w:hanging="2800" w:hangingChars="1000"/>
        <w:jc w:val="left"/>
        <w:textAlignment w:val="baseline"/>
        <w:rPr>
          <w:rFonts w:hint="eastAsia" w:ascii="宋体" w:hAnsi="宋体" w:eastAsia="宋体" w:cs="微软雅黑"/>
          <w:bCs/>
          <w:color w:val="000000"/>
          <w:kern w:val="0"/>
          <w:sz w:val="30"/>
          <w:szCs w:val="30"/>
          <w:u w:val="single"/>
          <w:vertAlign w:val="baseline"/>
        </w:rPr>
      </w:pPr>
      <w:r>
        <w:rPr>
          <w:rFonts w:hint="eastAsia" w:ascii="宋体" w:hAnsi="宋体" w:eastAsia="宋体" w:cs="宋体"/>
          <w:b/>
          <w:bCs w:val="0"/>
          <w:color w:val="000000"/>
          <w:kern w:val="0"/>
          <w:sz w:val="28"/>
          <w:szCs w:val="28"/>
          <w:vertAlign w:val="baseline"/>
          <w:lang w:val="en-US" w:eastAsia="zh-CN" w:bidi="ar"/>
        </w:rPr>
        <w:t xml:space="preserve">    项目名称 ：</w:t>
      </w:r>
      <w:r>
        <w:rPr>
          <w:rFonts w:hint="eastAsia" w:ascii="宋体" w:hAnsi="宋体" w:eastAsia="宋体" w:cs="微软雅黑"/>
          <w:bCs/>
          <w:color w:val="000000"/>
          <w:kern w:val="0"/>
          <w:sz w:val="30"/>
          <w:szCs w:val="30"/>
          <w:u w:val="single"/>
          <w:vertAlign w:val="baseline"/>
          <w:lang w:val="en-US" w:eastAsia="zh-CN" w:bidi="ar"/>
        </w:rPr>
        <w:t xml:space="preserve">    </w:t>
      </w:r>
      <w:r>
        <w:rPr>
          <w:rFonts w:hint="eastAsia" w:ascii="宋体" w:hAnsi="宋体" w:eastAsia="宋体" w:cs="宋体"/>
          <w:bCs/>
          <w:color w:val="000000"/>
          <w:kern w:val="0"/>
          <w:sz w:val="30"/>
          <w:szCs w:val="30"/>
          <w:u w:val="single"/>
          <w:vertAlign w:val="baseline"/>
          <w:lang w:val="en-US" w:eastAsia="zh-CN" w:bidi="ar"/>
        </w:rPr>
        <w:t>广州医科大学附属番禺中心医院</w:t>
      </w:r>
      <w:r>
        <w:rPr>
          <w:rFonts w:hint="eastAsia" w:ascii="宋体" w:hAnsi="宋体" w:eastAsia="宋体" w:cs="微软雅黑"/>
          <w:bCs/>
          <w:color w:val="000000"/>
          <w:kern w:val="0"/>
          <w:sz w:val="30"/>
          <w:szCs w:val="30"/>
          <w:u w:val="single"/>
          <w:vertAlign w:val="baseline"/>
          <w:lang w:val="en-US" w:eastAsia="zh-CN" w:bidi="ar"/>
        </w:rPr>
        <w:t xml:space="preserve">    </w:t>
      </w:r>
    </w:p>
    <w:p w14:paraId="1AE5E4C1">
      <w:pPr>
        <w:keepNext w:val="0"/>
        <w:keepLines w:val="0"/>
        <w:widowControl/>
        <w:suppressLineNumbers w:val="0"/>
        <w:kinsoku w:val="0"/>
        <w:autoSpaceDE w:val="0"/>
        <w:autoSpaceDN w:val="0"/>
        <w:adjustRightInd w:val="0"/>
        <w:snapToGrid w:val="0"/>
        <w:spacing w:before="0" w:beforeAutospacing="0" w:after="0" w:afterAutospacing="0"/>
        <w:ind w:left="0" w:right="0" w:firstLine="2700" w:firstLineChars="900"/>
        <w:jc w:val="left"/>
        <w:textAlignment w:val="baseline"/>
        <w:rPr>
          <w:rFonts w:hint="eastAsia" w:ascii="宋体" w:hAnsi="宋体" w:eastAsia="宋体" w:cs="宋体"/>
          <w:b w:val="0"/>
          <w:bCs/>
          <w:kern w:val="0"/>
          <w:sz w:val="28"/>
          <w:szCs w:val="28"/>
          <w:u w:val="single"/>
          <w:vertAlign w:val="baseline"/>
        </w:rPr>
      </w:pPr>
      <w:r>
        <w:rPr>
          <w:rFonts w:hint="default" w:ascii="微软雅黑" w:hAnsi="微软雅黑" w:eastAsia="微软雅黑" w:cs="微软雅黑"/>
          <w:bCs/>
          <w:color w:val="000000"/>
          <w:kern w:val="0"/>
          <w:sz w:val="30"/>
          <w:szCs w:val="30"/>
          <w:u w:val="single"/>
          <w:vertAlign w:val="baseline"/>
          <w:lang w:val="en-US" w:eastAsia="zh-CN" w:bidi="ar"/>
        </w:rPr>
        <w:t xml:space="preserve">        </w:t>
      </w:r>
      <w:r>
        <w:rPr>
          <w:rFonts w:hint="default" w:ascii="微软雅黑" w:hAnsi="微软雅黑" w:eastAsia="微软雅黑" w:cs="微软雅黑"/>
          <w:bCs/>
          <w:color w:val="000000"/>
          <w:kern w:val="0"/>
          <w:sz w:val="30"/>
          <w:szCs w:val="30"/>
          <w:u w:val="single"/>
          <w:lang w:bidi="ar"/>
        </w:rPr>
        <w:t>肌电图机采购</w:t>
      </w:r>
      <w:r>
        <w:rPr>
          <w:rFonts w:hint="eastAsia" w:ascii="宋体" w:hAnsi="宋体" w:eastAsia="宋体" w:cs="宋体"/>
          <w:bCs/>
          <w:color w:val="000000"/>
          <w:kern w:val="0"/>
          <w:sz w:val="30"/>
          <w:szCs w:val="30"/>
          <w:u w:val="single"/>
          <w:vertAlign w:val="baseline"/>
          <w:lang w:val="en-US" w:eastAsia="zh-CN" w:bidi="ar"/>
        </w:rPr>
        <w:t>项目</w:t>
      </w:r>
      <w:r>
        <w:rPr>
          <w:rFonts w:hint="eastAsia" w:ascii="宋体" w:hAnsi="宋体" w:eastAsia="宋体" w:cs="微软雅黑"/>
          <w:bCs/>
          <w:color w:val="000000"/>
          <w:kern w:val="0"/>
          <w:sz w:val="30"/>
          <w:szCs w:val="30"/>
          <w:u w:val="single"/>
          <w:vertAlign w:val="baseline"/>
          <w:lang w:val="en-US" w:eastAsia="zh-CN" w:bidi="ar"/>
        </w:rPr>
        <w:t xml:space="preserve">           </w:t>
      </w:r>
    </w:p>
    <w:p w14:paraId="7235ACA8">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5EAC13C0">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1FAB154B">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179EE858">
      <w:pPr>
        <w:pStyle w:val="148"/>
        <w:widowControl/>
        <w:ind w:left="0" w:firstLine="1120" w:firstLineChars="400"/>
        <w:rPr>
          <w:rFonts w:hint="eastAsia" w:ascii="宋体" w:hAnsi="宋体" w:eastAsia="宋体" w:cs="微软雅黑"/>
          <w:bCs/>
          <w:color w:val="000000"/>
          <w:sz w:val="30"/>
          <w:szCs w:val="30"/>
          <w:u w:val="single"/>
        </w:rPr>
      </w:pPr>
      <w:r>
        <w:rPr>
          <w:rFonts w:hint="eastAsia" w:ascii="宋体" w:hAnsi="宋体" w:eastAsia="微软雅黑" w:cs="宋体"/>
          <w:b/>
          <w:bCs w:val="0"/>
          <w:color w:val="000000"/>
          <w:kern w:val="0"/>
          <w:sz w:val="28"/>
          <w:szCs w:val="28"/>
        </w:rPr>
        <w:t xml:space="preserve"> </w:t>
      </w:r>
      <w:r>
        <w:rPr>
          <w:rFonts w:hint="default" w:ascii="宋体" w:hAnsi="宋体" w:eastAsia="微软雅黑" w:cs="宋体"/>
          <w:b/>
          <w:bCs w:val="0"/>
          <w:color w:val="000000"/>
          <w:kern w:val="0"/>
          <w:sz w:val="28"/>
          <w:szCs w:val="28"/>
        </w:rPr>
        <w:t xml:space="preserve">    </w:t>
      </w:r>
      <w:r>
        <w:rPr>
          <w:rFonts w:hint="eastAsia" w:ascii="宋体" w:hAnsi="宋体" w:eastAsia="宋体" w:cs="宋体"/>
          <w:b/>
          <w:bCs w:val="0"/>
          <w:color w:val="000000"/>
          <w:sz w:val="30"/>
          <w:szCs w:val="30"/>
        </w:rPr>
        <w:t>甲方：</w:t>
      </w:r>
      <w:r>
        <w:rPr>
          <w:rFonts w:hint="eastAsia" w:ascii="宋体" w:hAnsi="宋体" w:eastAsia="宋体" w:cs="宋体"/>
          <w:bCs/>
          <w:color w:val="000000"/>
          <w:sz w:val="30"/>
          <w:szCs w:val="30"/>
          <w:u w:val="single"/>
        </w:rPr>
        <w:t>广州医科大学附属番禺中心医院</w:t>
      </w:r>
    </w:p>
    <w:p w14:paraId="244FFEE7">
      <w:pPr>
        <w:pStyle w:val="148"/>
        <w:widowControl/>
        <w:ind w:left="2636" w:leftChars="541" w:hanging="1500" w:hangingChars="500"/>
        <w:rPr>
          <w:rFonts w:hint="eastAsia" w:ascii="宋体" w:hAnsi="宋体" w:eastAsia="宋体" w:cs="微软雅黑"/>
          <w:b/>
          <w:bCs w:val="0"/>
          <w:color w:val="333333"/>
          <w:sz w:val="30"/>
          <w:szCs w:val="30"/>
          <w:u w:val="single"/>
          <w:shd w:val="clear" w:fill="FFFFFF"/>
        </w:rPr>
      </w:pPr>
      <w:r>
        <w:rPr>
          <w:rFonts w:hint="eastAsia" w:ascii="宋体" w:hAnsi="宋体" w:eastAsia="宋体" w:cs="微软雅黑"/>
          <w:b/>
          <w:bCs w:val="0"/>
          <w:color w:val="333333"/>
          <w:sz w:val="30"/>
          <w:szCs w:val="30"/>
          <w:u w:val="single"/>
          <w:shd w:val="clear" w:fill="FFFFFF"/>
        </w:rPr>
        <w:t xml:space="preserve"> </w:t>
      </w:r>
    </w:p>
    <w:p w14:paraId="4FC12056">
      <w:pPr>
        <w:keepNext w:val="0"/>
        <w:keepLines w:val="0"/>
        <w:widowControl/>
        <w:suppressLineNumbers w:val="0"/>
        <w:kinsoku w:val="0"/>
        <w:autoSpaceDE w:val="0"/>
        <w:autoSpaceDN w:val="0"/>
        <w:adjustRightInd w:val="0"/>
        <w:snapToGrid w:val="0"/>
        <w:spacing w:before="0" w:beforeAutospacing="0" w:after="0" w:afterAutospacing="0"/>
        <w:ind w:left="0" w:right="0" w:firstLine="1800" w:firstLineChars="600"/>
        <w:jc w:val="left"/>
        <w:textAlignment w:val="baseline"/>
        <w:rPr>
          <w:rFonts w:hint="eastAsia" w:ascii="宋体" w:hAnsi="宋体" w:eastAsia="宋体" w:cs="宋体"/>
          <w:b w:val="0"/>
          <w:bCs/>
          <w:i w:val="0"/>
          <w:iCs w:val="0"/>
          <w:kern w:val="0"/>
          <w:sz w:val="28"/>
          <w:szCs w:val="28"/>
          <w:u w:val="single"/>
          <w:vertAlign w:val="baseline"/>
        </w:rPr>
      </w:pPr>
      <w:r>
        <w:rPr>
          <w:rFonts w:hint="eastAsia" w:ascii="宋体" w:hAnsi="宋体" w:eastAsia="宋体" w:cs="宋体"/>
          <w:b/>
          <w:bCs w:val="0"/>
          <w:color w:val="333333"/>
          <w:kern w:val="2"/>
          <w:sz w:val="30"/>
          <w:szCs w:val="30"/>
          <w:shd w:val="clear" w:fill="FFFFFF"/>
          <w:vertAlign w:val="baseline"/>
          <w:lang w:val="en-US" w:eastAsia="zh-CN" w:bidi="ar"/>
        </w:rPr>
        <w:t>乙方：</w:t>
      </w:r>
      <w:r>
        <w:rPr>
          <w:rFonts w:hint="eastAsia" w:ascii="宋体" w:hAnsi="宋体" w:eastAsia="宋体" w:cs="微软雅黑"/>
          <w:bCs/>
          <w:color w:val="000000"/>
          <w:kern w:val="0"/>
          <w:sz w:val="30"/>
          <w:szCs w:val="30"/>
          <w:u w:val="single"/>
          <w:vertAlign w:val="baseline"/>
          <w:lang w:val="en-US" w:eastAsia="zh-CN" w:bidi="ar"/>
        </w:rPr>
        <w:t xml:space="preserve">                            </w:t>
      </w:r>
    </w:p>
    <w:p w14:paraId="73578B94">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55A4F69F">
      <w:pPr>
        <w:keepNext w:val="0"/>
        <w:keepLines w:val="0"/>
        <w:widowControl/>
        <w:suppressLineNumbers w:val="0"/>
        <w:kinsoku w:val="0"/>
        <w:autoSpaceDE w:val="0"/>
        <w:autoSpaceDN w:val="0"/>
        <w:adjustRightInd w:val="0"/>
        <w:snapToGrid w:val="0"/>
        <w:spacing w:before="0" w:beforeAutospacing="0" w:after="0" w:afterAutospacing="0"/>
        <w:ind w:left="0" w:right="0" w:firstLine="2604" w:firstLineChars="930"/>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06A0CBD1">
      <w:pPr>
        <w:keepNext w:val="0"/>
        <w:keepLines w:val="0"/>
        <w:widowControl/>
        <w:suppressLineNumbers w:val="0"/>
        <w:kinsoku w:val="0"/>
        <w:autoSpaceDE w:val="0"/>
        <w:autoSpaceDN w:val="0"/>
        <w:adjustRightInd w:val="0"/>
        <w:snapToGrid w:val="0"/>
        <w:spacing w:before="0" w:beforeAutospacing="0" w:after="0" w:afterAutospacing="0"/>
        <w:ind w:left="0" w:right="0" w:firstLine="2604" w:firstLineChars="930"/>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签 订 地 点：</w:t>
      </w:r>
      <w:r>
        <w:rPr>
          <w:rFonts w:hint="eastAsia" w:ascii="宋体" w:hAnsi="宋体" w:eastAsia="宋体" w:cs="宋体"/>
          <w:b w:val="0"/>
          <w:bCs/>
          <w:color w:val="000000"/>
          <w:kern w:val="0"/>
          <w:sz w:val="28"/>
          <w:szCs w:val="28"/>
          <w:u w:val="single"/>
          <w:vertAlign w:val="baseline"/>
          <w:lang w:val="en-US" w:eastAsia="zh-CN" w:bidi="ar"/>
        </w:rPr>
        <w:t xml:space="preserve">   广州番禺      </w:t>
      </w:r>
    </w:p>
    <w:p w14:paraId="4C7F6BEB">
      <w:pPr>
        <w:keepNext w:val="0"/>
        <w:keepLines w:val="0"/>
        <w:widowControl/>
        <w:suppressLineNumbers w:val="0"/>
        <w:kinsoku w:val="0"/>
        <w:autoSpaceDE w:val="0"/>
        <w:autoSpaceDN w:val="0"/>
        <w:adjustRightInd w:val="0"/>
        <w:snapToGrid w:val="0"/>
        <w:spacing w:before="0" w:beforeAutospacing="0" w:after="0" w:afterAutospacing="0"/>
        <w:ind w:left="0" w:right="0" w:firstLine="652" w:firstLineChars="233"/>
        <w:jc w:val="left"/>
        <w:textAlignment w:val="baseline"/>
        <w:rPr>
          <w:rFonts w:hint="eastAsia" w:ascii="宋体" w:hAnsi="宋体" w:eastAsia="宋体" w:cs="宋体"/>
          <w:b/>
          <w:bCs w:val="0"/>
          <w:color w:val="000000"/>
          <w:kern w:val="0"/>
          <w:sz w:val="28"/>
          <w:szCs w:val="28"/>
          <w:vertAlign w:val="baseline"/>
        </w:rPr>
      </w:pPr>
      <w:r>
        <w:rPr>
          <w:rFonts w:hint="eastAsia" w:ascii="宋体" w:hAnsi="宋体" w:eastAsia="宋体" w:cs="宋体"/>
          <w:b/>
          <w:bCs w:val="0"/>
          <w:color w:val="000000"/>
          <w:kern w:val="0"/>
          <w:sz w:val="28"/>
          <w:szCs w:val="28"/>
          <w:vertAlign w:val="baseline"/>
          <w:lang w:val="en-US" w:eastAsia="zh-CN" w:bidi="ar"/>
        </w:rPr>
        <w:t xml:space="preserve">         </w:t>
      </w:r>
    </w:p>
    <w:p w14:paraId="76EA2D42">
      <w:pPr>
        <w:keepNext w:val="0"/>
        <w:keepLines w:val="0"/>
        <w:widowControl/>
        <w:suppressLineNumbers w:val="0"/>
        <w:kinsoku w:val="0"/>
        <w:autoSpaceDE w:val="0"/>
        <w:autoSpaceDN w:val="0"/>
        <w:adjustRightInd w:val="0"/>
        <w:snapToGrid w:val="0"/>
        <w:spacing w:before="0" w:beforeAutospacing="0" w:after="0" w:afterAutospacing="0"/>
        <w:ind w:left="0" w:right="0" w:firstLine="2604" w:firstLineChars="930"/>
        <w:jc w:val="left"/>
        <w:textAlignment w:val="baseline"/>
        <w:rPr>
          <w:rFonts w:hint="eastAsia" w:ascii="宋体" w:hAnsi="宋体" w:eastAsia="宋体" w:cs="宋体"/>
          <w:b w:val="0"/>
          <w:bCs/>
          <w:color w:val="000000"/>
          <w:kern w:val="0"/>
          <w:sz w:val="28"/>
          <w:szCs w:val="28"/>
          <w:u w:val="single"/>
          <w:vertAlign w:val="baseline"/>
        </w:rPr>
      </w:pPr>
      <w:r>
        <w:rPr>
          <w:rFonts w:hint="eastAsia" w:ascii="宋体" w:hAnsi="宋体" w:eastAsia="宋体" w:cs="宋体"/>
          <w:b/>
          <w:bCs w:val="0"/>
          <w:color w:val="000000"/>
          <w:kern w:val="0"/>
          <w:sz w:val="28"/>
          <w:szCs w:val="28"/>
          <w:vertAlign w:val="baseline"/>
          <w:lang w:val="en-US" w:eastAsia="zh-CN" w:bidi="ar"/>
        </w:rPr>
        <w:t>签 订 时 间：</w:t>
      </w:r>
      <w:r>
        <w:rPr>
          <w:rFonts w:hint="eastAsia" w:ascii="宋体" w:hAnsi="宋体" w:eastAsia="宋体" w:cs="宋体"/>
          <w:b w:val="0"/>
          <w:bCs/>
          <w:color w:val="000000"/>
          <w:kern w:val="0"/>
          <w:sz w:val="28"/>
          <w:szCs w:val="28"/>
          <w:u w:val="single"/>
          <w:vertAlign w:val="baseline"/>
          <w:lang w:val="en-US" w:eastAsia="zh-CN" w:bidi="ar"/>
        </w:rPr>
        <w:t>2026年   月    日</w:t>
      </w:r>
    </w:p>
    <w:p w14:paraId="65E0690A">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Arial" w:hAnsi="Arial" w:eastAsia="宋体" w:cs="Arial"/>
          <w:color w:val="000000"/>
          <w:kern w:val="0"/>
          <w:sz w:val="21"/>
          <w:szCs w:val="21"/>
          <w:vertAlign w:val="baseline"/>
        </w:rPr>
      </w:pPr>
      <w:r>
        <w:rPr>
          <w:rFonts w:hint="default" w:ascii="Arial" w:hAnsi="Arial" w:eastAsia="宋体" w:cs="Arial"/>
          <w:color w:val="000000"/>
          <w:kern w:val="0"/>
          <w:sz w:val="21"/>
          <w:szCs w:val="21"/>
          <w:vertAlign w:val="baseline"/>
          <w:lang w:val="en-US" w:eastAsia="zh-CN" w:bidi="ar"/>
        </w:rPr>
        <w:t xml:space="preserve"> </w:t>
      </w:r>
    </w:p>
    <w:p w14:paraId="2CA9A6D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color w:val="000000"/>
          <w:kern w:val="0"/>
          <w:sz w:val="21"/>
          <w:szCs w:val="21"/>
          <w:vertAlign w:val="baseline"/>
        </w:rPr>
      </w:pPr>
      <w:r>
        <w:rPr>
          <w:rFonts w:hint="default" w:ascii="Arial" w:hAnsi="Arial" w:eastAsia="宋体" w:cs="Arial"/>
          <w:color w:val="000000"/>
          <w:kern w:val="0"/>
          <w:sz w:val="21"/>
          <w:szCs w:val="21"/>
          <w:vertAlign w:val="baseline"/>
          <w:lang w:val="en-US" w:eastAsia="zh-CN" w:bidi="ar"/>
        </w:rPr>
        <w:t xml:space="preserve"> </w:t>
      </w:r>
    </w:p>
    <w:p w14:paraId="7066C06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color w:val="000000"/>
          <w:kern w:val="0"/>
          <w:sz w:val="21"/>
          <w:szCs w:val="21"/>
          <w:vertAlign w:val="baseline"/>
        </w:rPr>
      </w:pPr>
      <w:r>
        <w:rPr>
          <w:rFonts w:hint="default" w:ascii="Arial" w:hAnsi="Arial" w:eastAsia="宋体" w:cs="Arial"/>
          <w:color w:val="000000"/>
          <w:kern w:val="0"/>
          <w:sz w:val="21"/>
          <w:szCs w:val="21"/>
          <w:vertAlign w:val="baseline"/>
          <w:lang w:val="en-US" w:eastAsia="zh-CN" w:bidi="ar"/>
        </w:rPr>
        <w:t xml:space="preserve"> </w:t>
      </w:r>
    </w:p>
    <w:p w14:paraId="4AE048A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b/>
          <w:bCs/>
          <w:color w:val="000000"/>
          <w:kern w:val="0"/>
          <w:sz w:val="21"/>
          <w:szCs w:val="21"/>
          <w:vertAlign w:val="baseline"/>
        </w:rPr>
      </w:pPr>
      <w:r>
        <w:rPr>
          <w:rFonts w:hint="default" w:ascii="Arial" w:hAnsi="Arial" w:eastAsia="宋体" w:cs="Arial"/>
          <w:b/>
          <w:bCs/>
          <w:color w:val="000000"/>
          <w:kern w:val="0"/>
          <w:sz w:val="21"/>
          <w:szCs w:val="21"/>
          <w:vertAlign w:val="baseline"/>
          <w:lang w:val="en-US" w:eastAsia="zh-CN" w:bidi="ar"/>
        </w:rPr>
        <w:t xml:space="preserve"> </w:t>
      </w:r>
    </w:p>
    <w:p w14:paraId="486B41D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Arial" w:hAnsi="Arial" w:eastAsia="宋体" w:cs="Arial"/>
          <w:b/>
          <w:bCs/>
          <w:color w:val="000000"/>
          <w:kern w:val="0"/>
          <w:sz w:val="21"/>
          <w:szCs w:val="21"/>
          <w:vertAlign w:val="baseline"/>
        </w:rPr>
      </w:pPr>
      <w:r>
        <w:rPr>
          <w:rFonts w:hint="default" w:ascii="Arial" w:hAnsi="Arial" w:eastAsia="宋体" w:cs="Arial"/>
          <w:b/>
          <w:bCs/>
          <w:color w:val="000000"/>
          <w:kern w:val="0"/>
          <w:sz w:val="21"/>
          <w:szCs w:val="21"/>
          <w:vertAlign w:val="baseline"/>
          <w:lang w:val="en-US" w:eastAsia="zh-CN" w:bidi="ar"/>
        </w:rPr>
        <w:t xml:space="preserve"> </w:t>
      </w:r>
    </w:p>
    <w:p w14:paraId="1436DA9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eastAsia" w:ascii="宋体" w:hAnsi="宋体" w:eastAsia="宋体" w:cs="宋体"/>
          <w:b/>
          <w:bCs/>
          <w:color w:val="000000"/>
          <w:kern w:val="0"/>
          <w:sz w:val="28"/>
          <w:szCs w:val="28"/>
          <w:vertAlign w:val="baseline"/>
        </w:rPr>
      </w:pPr>
      <w:r>
        <w:rPr>
          <w:rFonts w:hint="eastAsia" w:ascii="宋体" w:hAnsi="宋体" w:eastAsia="宋体" w:cs="宋体"/>
          <w:b/>
          <w:bCs/>
          <w:color w:val="000000"/>
          <w:kern w:val="0"/>
          <w:sz w:val="28"/>
          <w:szCs w:val="28"/>
          <w:vertAlign w:val="baseline"/>
          <w:lang w:val="en-US" w:eastAsia="zh-CN" w:bidi="ar"/>
        </w:rPr>
        <w:t xml:space="preserve"> </w:t>
      </w:r>
    </w:p>
    <w:p w14:paraId="10868F07">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宋体"/>
          <w:b/>
          <w:bCs/>
          <w:color w:val="000000"/>
          <w:kern w:val="0"/>
          <w:sz w:val="28"/>
          <w:szCs w:val="28"/>
        </w:rPr>
      </w:pPr>
      <w:r>
        <w:rPr>
          <w:rFonts w:hint="eastAsia" w:ascii="宋体" w:hAnsi="宋体" w:eastAsia="宋体" w:cs="宋体"/>
          <w:b/>
          <w:bCs/>
          <w:color w:val="000000"/>
          <w:kern w:val="0"/>
          <w:sz w:val="28"/>
          <w:szCs w:val="28"/>
          <w:lang w:val="en-US" w:eastAsia="zh-CN" w:bidi="ar"/>
        </w:rPr>
        <w:t>广州医科大学附属番禺中心医院</w:t>
      </w:r>
    </w:p>
    <w:p w14:paraId="10589F00">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b/>
          <w:bCs w:val="0"/>
          <w:kern w:val="2"/>
          <w:sz w:val="36"/>
          <w:szCs w:val="36"/>
        </w:rPr>
      </w:pPr>
      <w:r>
        <w:rPr>
          <w:rFonts w:hint="eastAsia" w:ascii="宋体" w:hAnsi="宋体" w:eastAsia="宋体" w:cs="宋体"/>
          <w:b/>
          <w:bCs w:val="0"/>
          <w:kern w:val="2"/>
          <w:sz w:val="32"/>
          <w:szCs w:val="32"/>
          <w:lang w:val="en-US" w:eastAsia="zh-CN" w:bidi="ar"/>
        </w:rPr>
        <w:t>采</w:t>
      </w:r>
      <w:r>
        <w:rPr>
          <w:rFonts w:hint="default" w:ascii="Times New Roman" w:hAnsi="Times New Roman" w:eastAsia="宋体" w:cs="Times New Roman"/>
          <w:b/>
          <w:bCs w:val="0"/>
          <w:kern w:val="2"/>
          <w:sz w:val="32"/>
          <w:szCs w:val="32"/>
          <w:lang w:val="en-US" w:eastAsia="zh-CN" w:bidi="ar"/>
        </w:rPr>
        <w:t xml:space="preserve"> </w:t>
      </w:r>
      <w:r>
        <w:rPr>
          <w:rFonts w:hint="eastAsia" w:ascii="宋体" w:hAnsi="宋体" w:eastAsia="宋体" w:cs="宋体"/>
          <w:b/>
          <w:bCs w:val="0"/>
          <w:kern w:val="2"/>
          <w:sz w:val="32"/>
          <w:szCs w:val="32"/>
          <w:lang w:val="en-US" w:eastAsia="zh-CN" w:bidi="ar"/>
        </w:rPr>
        <w:t>购</w:t>
      </w:r>
      <w:r>
        <w:rPr>
          <w:rFonts w:hint="default" w:ascii="Times New Roman" w:hAnsi="Times New Roman" w:eastAsia="宋体" w:cs="Times New Roman"/>
          <w:b/>
          <w:bCs w:val="0"/>
          <w:kern w:val="2"/>
          <w:sz w:val="32"/>
          <w:szCs w:val="32"/>
          <w:lang w:val="en-US" w:eastAsia="zh-CN" w:bidi="ar"/>
        </w:rPr>
        <w:t xml:space="preserve"> </w:t>
      </w:r>
      <w:r>
        <w:rPr>
          <w:rFonts w:hint="eastAsia" w:ascii="宋体" w:hAnsi="宋体" w:eastAsia="宋体" w:cs="宋体"/>
          <w:b/>
          <w:bCs w:val="0"/>
          <w:kern w:val="2"/>
          <w:sz w:val="32"/>
          <w:szCs w:val="32"/>
          <w:lang w:val="en-US" w:eastAsia="zh-CN" w:bidi="ar"/>
        </w:rPr>
        <w:t>合</w:t>
      </w:r>
      <w:r>
        <w:rPr>
          <w:rFonts w:hint="default" w:ascii="Times New Roman" w:hAnsi="Times New Roman" w:eastAsia="宋体" w:cs="Times New Roman"/>
          <w:b/>
          <w:bCs w:val="0"/>
          <w:kern w:val="2"/>
          <w:sz w:val="32"/>
          <w:szCs w:val="32"/>
          <w:lang w:val="en-US" w:eastAsia="zh-CN" w:bidi="ar"/>
        </w:rPr>
        <w:t xml:space="preserve"> </w:t>
      </w:r>
      <w:r>
        <w:rPr>
          <w:rFonts w:hint="eastAsia" w:ascii="宋体" w:hAnsi="宋体" w:eastAsia="宋体" w:cs="宋体"/>
          <w:b/>
          <w:bCs w:val="0"/>
          <w:kern w:val="2"/>
          <w:sz w:val="32"/>
          <w:szCs w:val="32"/>
          <w:lang w:val="en-US" w:eastAsia="zh-CN" w:bidi="ar"/>
        </w:rPr>
        <w:t>同</w:t>
      </w:r>
    </w:p>
    <w:p w14:paraId="4EF43261">
      <w:pPr>
        <w:keepNext w:val="0"/>
        <w:keepLines w:val="0"/>
        <w:widowControl w:val="0"/>
        <w:suppressLineNumbers w:val="0"/>
        <w:spacing w:before="0" w:beforeAutospacing="0" w:after="0" w:afterAutospacing="0"/>
        <w:ind w:left="0" w:right="0"/>
        <w:jc w:val="right"/>
        <w:rPr>
          <w:rFonts w:hint="eastAsia" w:ascii="Times New Roman" w:hAnsi="Times New Roman" w:eastAsia="宋体" w:cs="Times New Roman"/>
          <w:kern w:val="2"/>
          <w:sz w:val="28"/>
          <w:szCs w:val="28"/>
        </w:rPr>
      </w:pPr>
      <w:r>
        <w:rPr>
          <w:rFonts w:hint="eastAsia" w:ascii="Times New Roman" w:hAnsi="Times New Roman" w:eastAsia="宋体" w:cs="Times New Roman"/>
          <w:kern w:val="2"/>
          <w:sz w:val="28"/>
          <w:szCs w:val="28"/>
          <w:lang w:val="en-US" w:eastAsia="zh-CN" w:bidi="ar"/>
        </w:rPr>
        <w:t xml:space="preserve"> </w:t>
      </w:r>
    </w:p>
    <w:p w14:paraId="07651B42">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甲</w:t>
      </w:r>
      <w:r>
        <w:rPr>
          <w:rFonts w:hint="default" w:ascii="Times New Roman" w:hAnsi="Times New Roman"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方：广州医科大学附属番禺中心医院</w:t>
      </w:r>
    </w:p>
    <w:p w14:paraId="1858CD66">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乙</w:t>
      </w:r>
      <w:r>
        <w:rPr>
          <w:rFonts w:hint="default" w:ascii="Times New Roman" w:hAnsi="Times New Roman"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方：</w:t>
      </w:r>
      <w:r>
        <w:rPr>
          <w:rFonts w:hint="eastAsia" w:ascii="Times New Roman" w:hAnsi="Times New Roman"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有限公司</w:t>
      </w:r>
    </w:p>
    <w:p w14:paraId="69301D0B">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503239F2">
      <w:pPr>
        <w:keepNext w:val="0"/>
        <w:keepLines w:val="0"/>
        <w:widowControl w:val="0"/>
        <w:suppressLineNumbers w:val="0"/>
        <w:spacing w:before="0" w:beforeAutospacing="0" w:after="0" w:afterAutospacing="0" w:line="440" w:lineRule="exact"/>
        <w:ind w:left="0" w:right="0" w:firstLine="480" w:firstLineChars="20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根据《中华人民共和国民法典》</w:t>
      </w:r>
      <w:r>
        <w:rPr>
          <w:rFonts w:hint="default" w:ascii="宋体" w:hAnsi="宋体" w:cs="宋体"/>
          <w:kern w:val="2"/>
          <w:sz w:val="24"/>
          <w:szCs w:val="24"/>
          <w:lang w:eastAsia="zh-CN" w:bidi="ar"/>
        </w:rPr>
        <w:t>及</w:t>
      </w:r>
      <w:r>
        <w:rPr>
          <w:rFonts w:hint="eastAsia" w:ascii="宋体" w:hAnsi="宋体" w:eastAsia="宋体" w:cs="宋体"/>
          <w:kern w:val="2"/>
          <w:sz w:val="24"/>
          <w:szCs w:val="24"/>
          <w:lang w:val="en-US" w:eastAsia="zh-CN" w:bidi="ar"/>
        </w:rPr>
        <w:t>广州医科大学附属番禺中心医院医疗</w:t>
      </w:r>
      <w:r>
        <w:rPr>
          <w:rFonts w:hint="default" w:ascii="宋体" w:hAnsi="宋体" w:cs="宋体"/>
          <w:kern w:val="2"/>
          <w:sz w:val="24"/>
          <w:szCs w:val="24"/>
          <w:lang w:eastAsia="zh-CN" w:bidi="ar"/>
        </w:rPr>
        <w:t xml:space="preserve">  </w:t>
      </w:r>
      <w:r>
        <w:rPr>
          <w:rFonts w:hint="eastAsia" w:ascii="宋体" w:hAnsi="宋体" w:eastAsia="宋体" w:cs="宋体"/>
          <w:kern w:val="2"/>
          <w:sz w:val="24"/>
          <w:szCs w:val="24"/>
          <w:lang w:val="en-US" w:eastAsia="zh-CN" w:bidi="ar"/>
        </w:rPr>
        <w:t>项目的</w:t>
      </w:r>
      <w:r>
        <w:rPr>
          <w:rFonts w:hint="eastAsia" w:ascii="宋体" w:hAnsi="宋体" w:eastAsia="宋体" w:cs="宋体"/>
          <w:kern w:val="2"/>
          <w:sz w:val="24"/>
          <w:szCs w:val="24"/>
        </w:rPr>
        <w:t>价情况和谈判会议纪要</w:t>
      </w:r>
      <w:r>
        <w:rPr>
          <w:rFonts w:hint="eastAsia" w:ascii="宋体" w:hAnsi="宋体" w:eastAsia="宋体" w:cs="宋体"/>
          <w:kern w:val="2"/>
          <w:sz w:val="24"/>
          <w:szCs w:val="24"/>
          <w:lang w:val="en-US" w:eastAsia="zh-CN" w:bidi="ar"/>
        </w:rPr>
        <w:t>的要求，甲、乙双方经协商确定，甲方向乙方订购</w:t>
      </w:r>
      <w:r>
        <w:rPr>
          <w:rFonts w:hint="eastAsia" w:ascii="Times New Roman" w:hAnsi="Times New Roman" w:eastAsia="宋体" w:cs="Times New Roman"/>
          <w:b/>
          <w:bCs w:val="0"/>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及安装保修等服务，为明确双方权利和义务，特签订本合同，共同遵守。具体条款如下：</w:t>
      </w:r>
    </w:p>
    <w:p w14:paraId="23F384DE">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19AC59F7">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 xml:space="preserve">1. </w:t>
      </w:r>
      <w:r>
        <w:rPr>
          <w:rFonts w:hint="eastAsia" w:ascii="宋体" w:hAnsi="宋体" w:eastAsia="宋体" w:cs="宋体"/>
          <w:b/>
          <w:bCs w:val="0"/>
          <w:kern w:val="2"/>
          <w:sz w:val="24"/>
          <w:szCs w:val="24"/>
          <w:lang w:val="en-US" w:eastAsia="zh-CN" w:bidi="ar"/>
        </w:rPr>
        <w:t>合同设备</w:t>
      </w:r>
    </w:p>
    <w:p w14:paraId="1150C177">
      <w:pPr>
        <w:keepNext w:val="0"/>
        <w:keepLines w:val="0"/>
        <w:widowControl w:val="0"/>
        <w:suppressLineNumbers w:val="0"/>
        <w:spacing w:before="0" w:beforeAutospacing="0" w:after="0" w:afterAutospacing="0" w:line="440" w:lineRule="exact"/>
        <w:ind w:left="0" w:right="0" w:firstLine="240" w:firstLineChars="10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乙方负责向甲方供应下表中所列设备及负责安装调试</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01"/>
        <w:gridCol w:w="1226"/>
        <w:gridCol w:w="1090"/>
        <w:gridCol w:w="456"/>
        <w:gridCol w:w="501"/>
        <w:gridCol w:w="1396"/>
        <w:gridCol w:w="1360"/>
        <w:gridCol w:w="996"/>
        <w:gridCol w:w="996"/>
      </w:tblGrid>
      <w:tr w14:paraId="44E2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4" w:hRule="atLeast"/>
        </w:trPr>
        <w:tc>
          <w:tcPr>
            <w:tcW w:w="835" w:type="pct"/>
            <w:tcBorders>
              <w:top w:val="single" w:color="auto" w:sz="4" w:space="0"/>
              <w:left w:val="single" w:color="auto" w:sz="4" w:space="0"/>
              <w:bottom w:val="single" w:color="auto" w:sz="4" w:space="0"/>
              <w:right w:val="single" w:color="auto" w:sz="4" w:space="0"/>
            </w:tcBorders>
            <w:shd w:val="clear" w:color="auto" w:fill="auto"/>
            <w:vAlign w:val="center"/>
          </w:tcPr>
          <w:p w14:paraId="132F0378">
            <w:pPr>
              <w:keepNext w:val="0"/>
              <w:keepLines w:val="0"/>
              <w:widowControl w:val="0"/>
              <w:suppressLineNumbers w:val="0"/>
              <w:spacing w:before="0" w:beforeAutospacing="0" w:after="0" w:afterAutospacing="0"/>
              <w:ind w:left="-2" w:right="0" w:firstLine="2"/>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品名</w:t>
            </w:r>
          </w:p>
        </w:tc>
        <w:tc>
          <w:tcPr>
            <w:tcW w:w="640" w:type="pct"/>
            <w:tcBorders>
              <w:top w:val="single" w:color="auto" w:sz="4" w:space="0"/>
              <w:left w:val="nil"/>
              <w:bottom w:val="single" w:color="auto" w:sz="4" w:space="0"/>
              <w:right w:val="single" w:color="auto" w:sz="4" w:space="0"/>
            </w:tcBorders>
            <w:shd w:val="clear" w:color="auto" w:fill="auto"/>
            <w:vAlign w:val="center"/>
          </w:tcPr>
          <w:p w14:paraId="3C080F2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规格</w:t>
            </w:r>
          </w:p>
          <w:p w14:paraId="139826F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型号</w:t>
            </w:r>
          </w:p>
        </w:tc>
        <w:tc>
          <w:tcPr>
            <w:tcW w:w="569" w:type="pct"/>
            <w:tcBorders>
              <w:top w:val="single" w:color="auto" w:sz="4" w:space="0"/>
              <w:left w:val="nil"/>
              <w:bottom w:val="single" w:color="auto" w:sz="4" w:space="0"/>
              <w:right w:val="single" w:color="auto" w:sz="4" w:space="0"/>
            </w:tcBorders>
            <w:shd w:val="clear" w:color="auto" w:fill="auto"/>
            <w:vAlign w:val="center"/>
          </w:tcPr>
          <w:p w14:paraId="55DC165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产地</w:t>
            </w:r>
          </w:p>
          <w:p w14:paraId="6EBB407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厂家</w:t>
            </w:r>
          </w:p>
        </w:tc>
        <w:tc>
          <w:tcPr>
            <w:tcW w:w="212" w:type="pct"/>
            <w:tcBorders>
              <w:top w:val="single" w:color="auto" w:sz="4" w:space="0"/>
              <w:left w:val="nil"/>
              <w:bottom w:val="single" w:color="auto" w:sz="4" w:space="0"/>
              <w:right w:val="single" w:color="auto" w:sz="4" w:space="0"/>
            </w:tcBorders>
            <w:shd w:val="clear" w:color="auto" w:fill="auto"/>
            <w:vAlign w:val="center"/>
          </w:tcPr>
          <w:p w14:paraId="62D3B20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单位</w:t>
            </w:r>
          </w:p>
        </w:tc>
        <w:tc>
          <w:tcPr>
            <w:tcW w:w="263" w:type="pct"/>
            <w:tcBorders>
              <w:top w:val="single" w:color="auto" w:sz="4" w:space="0"/>
              <w:left w:val="nil"/>
              <w:bottom w:val="single" w:color="auto" w:sz="4" w:space="0"/>
              <w:right w:val="single" w:color="auto" w:sz="4" w:space="0"/>
            </w:tcBorders>
            <w:shd w:val="clear" w:color="auto" w:fill="auto"/>
            <w:vAlign w:val="center"/>
          </w:tcPr>
          <w:p w14:paraId="54AB1D4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数量</w:t>
            </w:r>
          </w:p>
        </w:tc>
        <w:tc>
          <w:tcPr>
            <w:tcW w:w="728" w:type="pct"/>
            <w:tcBorders>
              <w:top w:val="single" w:color="auto" w:sz="4" w:space="0"/>
              <w:left w:val="nil"/>
              <w:bottom w:val="single" w:color="auto" w:sz="4" w:space="0"/>
              <w:right w:val="single" w:color="auto" w:sz="4" w:space="0"/>
            </w:tcBorders>
            <w:shd w:val="clear" w:color="auto" w:fill="auto"/>
            <w:vAlign w:val="center"/>
          </w:tcPr>
          <w:p w14:paraId="5F11EF5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单价（元）</w:t>
            </w:r>
          </w:p>
        </w:tc>
        <w:tc>
          <w:tcPr>
            <w:tcW w:w="709" w:type="pct"/>
            <w:tcBorders>
              <w:top w:val="single" w:color="auto" w:sz="4" w:space="0"/>
              <w:left w:val="nil"/>
              <w:bottom w:val="single" w:color="auto" w:sz="4" w:space="0"/>
              <w:right w:val="single" w:color="auto" w:sz="4" w:space="0"/>
            </w:tcBorders>
            <w:shd w:val="clear" w:color="auto" w:fill="auto"/>
            <w:vAlign w:val="center"/>
          </w:tcPr>
          <w:p w14:paraId="4567D68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总价（元）</w:t>
            </w:r>
          </w:p>
        </w:tc>
        <w:tc>
          <w:tcPr>
            <w:tcW w:w="520" w:type="pct"/>
            <w:tcBorders>
              <w:top w:val="single" w:color="auto" w:sz="4" w:space="0"/>
              <w:left w:val="nil"/>
              <w:bottom w:val="single" w:color="auto" w:sz="4" w:space="0"/>
              <w:right w:val="single" w:color="auto" w:sz="4" w:space="0"/>
            </w:tcBorders>
            <w:shd w:val="clear" w:color="auto" w:fill="auto"/>
            <w:vAlign w:val="center"/>
          </w:tcPr>
          <w:p w14:paraId="2EE24E1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交货</w:t>
            </w:r>
          </w:p>
          <w:p w14:paraId="454EA16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时间</w:t>
            </w:r>
          </w:p>
        </w:tc>
        <w:tc>
          <w:tcPr>
            <w:tcW w:w="520" w:type="pct"/>
            <w:tcBorders>
              <w:top w:val="single" w:color="auto" w:sz="4" w:space="0"/>
              <w:left w:val="nil"/>
              <w:bottom w:val="single" w:color="auto" w:sz="4" w:space="0"/>
              <w:right w:val="single" w:color="auto" w:sz="4" w:space="0"/>
            </w:tcBorders>
            <w:shd w:val="clear" w:color="auto" w:fill="auto"/>
            <w:vAlign w:val="center"/>
          </w:tcPr>
          <w:p w14:paraId="3EB602C7">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备注</w:t>
            </w:r>
          </w:p>
        </w:tc>
      </w:tr>
      <w:tr w14:paraId="13CC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4" w:hRule="atLeast"/>
        </w:trPr>
        <w:tc>
          <w:tcPr>
            <w:tcW w:w="835" w:type="pct"/>
            <w:tcBorders>
              <w:top w:val="single" w:color="auto" w:sz="4" w:space="0"/>
              <w:left w:val="single" w:color="auto" w:sz="4" w:space="0"/>
              <w:bottom w:val="single" w:color="auto" w:sz="4" w:space="0"/>
              <w:right w:val="single" w:color="auto" w:sz="4" w:space="0"/>
            </w:tcBorders>
            <w:shd w:val="clear" w:color="auto" w:fill="auto"/>
            <w:vAlign w:val="center"/>
          </w:tcPr>
          <w:p w14:paraId="791DF972">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c>
          <w:tcPr>
            <w:tcW w:w="640" w:type="pct"/>
            <w:tcBorders>
              <w:top w:val="single" w:color="auto" w:sz="4" w:space="0"/>
              <w:left w:val="nil"/>
              <w:bottom w:val="single" w:color="auto" w:sz="4" w:space="0"/>
              <w:right w:val="single" w:color="auto" w:sz="4" w:space="0"/>
            </w:tcBorders>
            <w:shd w:val="clear" w:color="auto" w:fill="auto"/>
            <w:vAlign w:val="center"/>
          </w:tcPr>
          <w:p w14:paraId="296BFD5D">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c>
          <w:tcPr>
            <w:tcW w:w="569" w:type="pct"/>
            <w:tcBorders>
              <w:top w:val="single" w:color="auto" w:sz="4" w:space="0"/>
              <w:left w:val="nil"/>
              <w:bottom w:val="single" w:color="auto" w:sz="4" w:space="0"/>
              <w:right w:val="single" w:color="auto" w:sz="4" w:space="0"/>
            </w:tcBorders>
            <w:shd w:val="clear" w:color="auto" w:fill="auto"/>
            <w:vAlign w:val="center"/>
          </w:tcPr>
          <w:p w14:paraId="5B7ED4D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212" w:type="pct"/>
            <w:tcBorders>
              <w:top w:val="single" w:color="auto" w:sz="4" w:space="0"/>
              <w:left w:val="nil"/>
              <w:bottom w:val="single" w:color="auto" w:sz="4" w:space="0"/>
              <w:right w:val="single" w:color="auto" w:sz="4" w:space="0"/>
            </w:tcBorders>
            <w:shd w:val="clear" w:color="auto" w:fill="auto"/>
            <w:vAlign w:val="center"/>
          </w:tcPr>
          <w:p w14:paraId="5B6937C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p>
        </w:tc>
        <w:tc>
          <w:tcPr>
            <w:tcW w:w="263" w:type="pct"/>
            <w:tcBorders>
              <w:top w:val="single" w:color="auto" w:sz="4" w:space="0"/>
              <w:left w:val="nil"/>
              <w:bottom w:val="single" w:color="auto" w:sz="4" w:space="0"/>
              <w:right w:val="single" w:color="auto" w:sz="4" w:space="0"/>
            </w:tcBorders>
            <w:shd w:val="clear" w:color="auto" w:fill="auto"/>
            <w:vAlign w:val="center"/>
          </w:tcPr>
          <w:p w14:paraId="2BFF79E7">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c>
          <w:tcPr>
            <w:tcW w:w="728" w:type="pct"/>
            <w:tcBorders>
              <w:top w:val="single" w:color="auto" w:sz="4" w:space="0"/>
              <w:left w:val="nil"/>
              <w:bottom w:val="single" w:color="auto" w:sz="4" w:space="0"/>
              <w:right w:val="single" w:color="auto" w:sz="4" w:space="0"/>
            </w:tcBorders>
            <w:shd w:val="clear" w:color="auto" w:fill="auto"/>
            <w:vAlign w:val="center"/>
          </w:tcPr>
          <w:p w14:paraId="5CD3163D">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c>
          <w:tcPr>
            <w:tcW w:w="709" w:type="pct"/>
            <w:tcBorders>
              <w:top w:val="single" w:color="auto" w:sz="4" w:space="0"/>
              <w:left w:val="nil"/>
              <w:bottom w:val="single" w:color="auto" w:sz="4" w:space="0"/>
              <w:right w:val="single" w:color="auto" w:sz="4" w:space="0"/>
            </w:tcBorders>
            <w:shd w:val="clear" w:color="auto" w:fill="auto"/>
            <w:vAlign w:val="center"/>
          </w:tcPr>
          <w:p w14:paraId="689ABBA9">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c>
          <w:tcPr>
            <w:tcW w:w="520" w:type="pct"/>
            <w:tcBorders>
              <w:top w:val="single" w:color="auto" w:sz="4" w:space="0"/>
              <w:left w:val="nil"/>
              <w:bottom w:val="single" w:color="auto" w:sz="4" w:space="0"/>
              <w:right w:val="single" w:color="auto" w:sz="4" w:space="0"/>
            </w:tcBorders>
            <w:shd w:val="clear" w:color="auto" w:fill="auto"/>
            <w:vAlign w:val="center"/>
          </w:tcPr>
          <w:p w14:paraId="6034D764">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c>
          <w:tcPr>
            <w:tcW w:w="520" w:type="pct"/>
            <w:tcBorders>
              <w:top w:val="single" w:color="auto" w:sz="4" w:space="0"/>
              <w:left w:val="nil"/>
              <w:bottom w:val="single" w:color="auto" w:sz="4" w:space="0"/>
              <w:right w:val="single" w:color="auto" w:sz="4" w:space="0"/>
            </w:tcBorders>
            <w:shd w:val="clear" w:color="auto" w:fill="auto"/>
            <w:vAlign w:val="center"/>
          </w:tcPr>
          <w:p w14:paraId="70256865">
            <w:pPr>
              <w:keepNext w:val="0"/>
              <w:keepLines w:val="0"/>
              <w:widowControl w:val="0"/>
              <w:suppressLineNumbers w:val="0"/>
              <w:spacing w:before="0" w:beforeAutospacing="0" w:after="0" w:afterAutospacing="0"/>
              <w:ind w:left="0" w:right="0"/>
              <w:jc w:val="center"/>
              <w:rPr>
                <w:rFonts w:hint="eastAsia" w:ascii="Times New Roman" w:hAnsi="Times New Roman" w:eastAsia="宋体" w:cs="Times New Roman"/>
                <w:kern w:val="2"/>
                <w:sz w:val="21"/>
                <w:szCs w:val="21"/>
              </w:rPr>
            </w:pPr>
          </w:p>
        </w:tc>
      </w:tr>
    </w:tbl>
    <w:p w14:paraId="7633D751">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宋体" w:cs="Times New Roman"/>
          <w:b/>
          <w:bCs w:val="0"/>
          <w:kern w:val="2"/>
          <w:sz w:val="24"/>
          <w:szCs w:val="24"/>
        </w:rPr>
      </w:pPr>
      <w:r>
        <w:rPr>
          <w:rFonts w:hint="eastAsia" w:ascii="宋体" w:hAnsi="宋体" w:eastAsia="宋体" w:cs="Times New Roman"/>
          <w:kern w:val="2"/>
          <w:sz w:val="21"/>
          <w:szCs w:val="21"/>
          <w:lang w:val="en-US" w:eastAsia="zh-CN" w:bidi="ar"/>
        </w:rPr>
        <w:t xml:space="preserve">    </w:t>
      </w:r>
      <w:r>
        <w:rPr>
          <w:rFonts w:hint="default" w:ascii="Times New Roman" w:hAnsi="Times New Roman" w:eastAsia="宋体" w:cs="Times New Roman"/>
          <w:b/>
          <w:bCs w:val="0"/>
          <w:kern w:val="2"/>
          <w:sz w:val="24"/>
          <w:szCs w:val="24"/>
          <w:lang w:val="en-US" w:eastAsia="zh-CN" w:bidi="ar"/>
        </w:rPr>
        <w:t xml:space="preserve">  2. </w:t>
      </w:r>
      <w:r>
        <w:rPr>
          <w:rFonts w:hint="eastAsia" w:ascii="宋体" w:hAnsi="宋体" w:eastAsia="宋体" w:cs="宋体"/>
          <w:b/>
          <w:bCs w:val="0"/>
          <w:kern w:val="2"/>
          <w:sz w:val="24"/>
          <w:szCs w:val="24"/>
          <w:lang w:val="en-US" w:eastAsia="zh-CN" w:bidi="ar"/>
        </w:rPr>
        <w:t>合同总价</w:t>
      </w:r>
    </w:p>
    <w:p w14:paraId="0CB57EA7">
      <w:pPr>
        <w:keepNext w:val="0"/>
        <w:keepLines w:val="0"/>
        <w:widowControl w:val="0"/>
        <w:suppressLineNumbers w:val="0"/>
        <w:spacing w:before="0" w:beforeAutospacing="0" w:after="0" w:afterAutospacing="0" w:line="440" w:lineRule="exact"/>
        <w:ind w:left="0" w:right="0" w:firstLine="523" w:firstLineChars="218"/>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合同总价</w:t>
      </w:r>
      <w:r>
        <w:rPr>
          <w:rFonts w:hint="eastAsia" w:ascii="宋体" w:hAnsi="宋体" w:eastAsia="宋体" w:cs="宋体"/>
          <w:b/>
          <w:bCs w:val="0"/>
          <w:kern w:val="2"/>
          <w:sz w:val="24"/>
          <w:szCs w:val="24"/>
          <w:lang w:val="en-US" w:eastAsia="zh-CN" w:bidi="ar"/>
        </w:rPr>
        <w:t>（含税价）</w:t>
      </w:r>
      <w:r>
        <w:rPr>
          <w:rFonts w:hint="eastAsia" w:ascii="宋体" w:hAnsi="宋体" w:eastAsia="宋体" w:cs="宋体"/>
          <w:kern w:val="2"/>
          <w:sz w:val="24"/>
          <w:szCs w:val="24"/>
          <w:lang w:val="en-US" w:eastAsia="zh-CN" w:bidi="ar"/>
        </w:rPr>
        <w:t>为：</w:t>
      </w:r>
      <w:r>
        <w:rPr>
          <w:rFonts w:hint="eastAsia" w:ascii="宋体" w:hAnsi="宋体" w:eastAsia="宋体" w:cs="宋体"/>
          <w:b/>
          <w:bCs w:val="0"/>
          <w:kern w:val="2"/>
          <w:sz w:val="24"/>
          <w:szCs w:val="24"/>
          <w:lang w:val="en-US" w:eastAsia="zh-CN" w:bidi="ar"/>
        </w:rPr>
        <w:t>人民币</w:t>
      </w:r>
      <w:r>
        <w:rPr>
          <w:rFonts w:hint="eastAsia" w:ascii="Times New Roman" w:hAnsi="Times New Roman" w:eastAsia="宋体" w:cs="Times New Roman"/>
          <w:b/>
          <w:bCs w:val="0"/>
          <w:kern w:val="2"/>
          <w:sz w:val="24"/>
          <w:szCs w:val="24"/>
          <w:u w:val="single"/>
          <w:lang w:val="en-US" w:eastAsia="zh-CN" w:bidi="ar"/>
        </w:rPr>
        <w:t xml:space="preserve">      </w:t>
      </w:r>
      <w:r>
        <w:rPr>
          <w:rFonts w:hint="eastAsia" w:ascii="宋体" w:hAnsi="宋体" w:eastAsia="宋体" w:cs="宋体"/>
          <w:b/>
          <w:bCs w:val="0"/>
          <w:kern w:val="2"/>
          <w:sz w:val="24"/>
          <w:szCs w:val="24"/>
          <w:u w:val="single"/>
          <w:lang w:val="en-US" w:eastAsia="zh-CN" w:bidi="ar"/>
        </w:rPr>
        <w:t>元整</w:t>
      </w:r>
      <w:r>
        <w:rPr>
          <w:rFonts w:hint="eastAsia" w:ascii="宋体" w:hAnsi="宋体" w:eastAsia="宋体" w:cs="宋体"/>
          <w:b/>
          <w:bCs w:val="0"/>
          <w:kern w:val="2"/>
          <w:sz w:val="24"/>
          <w:szCs w:val="24"/>
          <w:lang w:val="en-US" w:eastAsia="zh-CN" w:bidi="ar"/>
        </w:rPr>
        <w:t>，即</w:t>
      </w:r>
      <w:r>
        <w:rPr>
          <w:rFonts w:hint="default" w:ascii="Times New Roman" w:hAnsi="Times New Roman" w:eastAsia="宋体" w:cs="Times New Roman"/>
          <w:b/>
          <w:bCs w:val="0"/>
          <w:kern w:val="2"/>
          <w:sz w:val="24"/>
          <w:szCs w:val="24"/>
          <w:u w:val="single"/>
          <w:lang w:val="en-US" w:eastAsia="zh-CN" w:bidi="ar"/>
        </w:rPr>
        <w:t>¥</w:t>
      </w:r>
      <w:r>
        <w:rPr>
          <w:rFonts w:hint="eastAsia" w:ascii="Times New Roman" w:hAnsi="Times New Roman" w:eastAsia="宋体" w:cs="Times New Roman"/>
          <w:b/>
          <w:bCs w:val="0"/>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，税率</w:t>
      </w:r>
      <w:r>
        <w:rPr>
          <w:rFonts w:hint="eastAsia" w:ascii="Times New Roman" w:hAnsi="Times New Roman" w:eastAsia="宋体" w:cs="Times New Roman"/>
          <w:kern w:val="2"/>
          <w:sz w:val="24"/>
          <w:szCs w:val="24"/>
          <w:u w:val="single"/>
          <w:lang w:val="en-US" w:eastAsia="zh-CN" w:bidi="ar"/>
        </w:rPr>
        <w:t xml:space="preserve">  </w:t>
      </w:r>
      <w:r>
        <w:rPr>
          <w:rFonts w:hint="default" w:ascii="Times New Roman" w:hAnsi="Times New Roman" w:eastAsia="宋体" w:cs="Times New Roman"/>
          <w:kern w:val="2"/>
          <w:sz w:val="24"/>
          <w:szCs w:val="24"/>
          <w:lang w:val="en-US" w:eastAsia="zh-CN" w:bidi="ar"/>
        </w:rPr>
        <w:t>%</w:t>
      </w:r>
      <w:r>
        <w:rPr>
          <w:rFonts w:hint="eastAsia" w:ascii="宋体" w:hAnsi="宋体" w:eastAsia="宋体" w:cs="宋体"/>
          <w:kern w:val="2"/>
          <w:sz w:val="24"/>
          <w:szCs w:val="24"/>
          <w:lang w:val="en-US" w:eastAsia="zh-CN" w:bidi="ar"/>
        </w:rPr>
        <w:t>，不含税价</w:t>
      </w:r>
      <w:r>
        <w:rPr>
          <w:rFonts w:hint="eastAsia" w:ascii="Times New Roman" w:hAnsi="Times New Roman" w:eastAsia="宋体" w:cs="Times New Roman"/>
          <w:b/>
          <w:bCs w:val="0"/>
          <w:kern w:val="2"/>
          <w:sz w:val="24"/>
          <w:szCs w:val="24"/>
          <w:u w:val="single"/>
          <w:lang w:val="en-US" w:eastAsia="zh-CN" w:bidi="ar"/>
        </w:rPr>
        <w:t xml:space="preserve">     </w:t>
      </w:r>
      <w:r>
        <w:rPr>
          <w:rFonts w:hint="eastAsia" w:ascii="宋体" w:hAnsi="宋体" w:eastAsia="宋体" w:cs="宋体"/>
          <w:b/>
          <w:bCs w:val="0"/>
          <w:kern w:val="2"/>
          <w:sz w:val="24"/>
          <w:szCs w:val="24"/>
          <w:u w:val="single"/>
          <w:lang w:val="en-US" w:eastAsia="zh-CN" w:bidi="ar"/>
        </w:rPr>
        <w:t>元</w:t>
      </w:r>
      <w:r>
        <w:rPr>
          <w:rFonts w:hint="eastAsia" w:ascii="宋体" w:hAnsi="宋体" w:eastAsia="宋体" w:cs="宋体"/>
          <w:kern w:val="2"/>
          <w:sz w:val="24"/>
          <w:szCs w:val="24"/>
          <w:lang w:val="en-US" w:eastAsia="zh-CN" w:bidi="ar"/>
        </w:rPr>
        <w:t>，该合同总金额是设计、设备制造、包装、仓储、运输、安装、培训及验收合格之前及保修期间包括备品备件及所有合同内设备配件和耗材发生的所有含税费用。本合同执行期间合同总金额不变。</w:t>
      </w:r>
    </w:p>
    <w:p w14:paraId="63800130">
      <w:pPr>
        <w:keepNext w:val="0"/>
        <w:keepLines w:val="0"/>
        <w:widowControl w:val="0"/>
        <w:suppressLineNumbers w:val="0"/>
        <w:spacing w:before="0" w:beforeAutospacing="0" w:after="0" w:afterAutospacing="0" w:line="440" w:lineRule="exact"/>
        <w:ind w:left="525" w:leftChars="25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1E297F38">
      <w:pPr>
        <w:keepNext w:val="0"/>
        <w:keepLines w:val="0"/>
        <w:widowControl w:val="0"/>
        <w:suppressLineNumbers w:val="0"/>
        <w:spacing w:before="0" w:beforeAutospacing="0" w:after="0" w:afterAutospacing="0" w:line="440" w:lineRule="exact"/>
        <w:ind w:left="924" w:right="0" w:hanging="668"/>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 xml:space="preserve">3. </w:t>
      </w:r>
      <w:r>
        <w:rPr>
          <w:rFonts w:hint="eastAsia" w:ascii="宋体" w:hAnsi="宋体" w:eastAsia="宋体" w:cs="宋体"/>
          <w:b/>
          <w:bCs w:val="0"/>
          <w:kern w:val="2"/>
          <w:sz w:val="24"/>
          <w:szCs w:val="24"/>
          <w:lang w:val="en-US" w:eastAsia="zh-CN" w:bidi="ar"/>
        </w:rPr>
        <w:t>合同组成</w:t>
      </w:r>
    </w:p>
    <w:p w14:paraId="02ECE9BE">
      <w:pPr>
        <w:keepNext w:val="0"/>
        <w:keepLines w:val="0"/>
        <w:widowControl w:val="0"/>
        <w:suppressLineNumbers w:val="0"/>
        <w:spacing w:before="0" w:beforeAutospacing="0" w:after="0" w:afterAutospacing="0" w:line="440" w:lineRule="exact"/>
        <w:ind w:left="0" w:right="0" w:firstLine="604" w:firstLineChars="252"/>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详细价格、技术说明及其它有关合同设备的特定信息由合同附件说明。采购项目的招标文件、中标通知、乙方投标文件、所有合同附件及本项目的会议纪要、协议、澄清等均为本合同不可分割之一部分。</w:t>
      </w:r>
    </w:p>
    <w:p w14:paraId="740CF2DC">
      <w:pPr>
        <w:keepNext w:val="0"/>
        <w:keepLines w:val="0"/>
        <w:widowControl w:val="0"/>
        <w:suppressLineNumbers w:val="0"/>
        <w:tabs>
          <w:tab w:val="left" w:pos="1215"/>
        </w:tabs>
        <w:spacing w:before="0" w:beforeAutospacing="0" w:after="0" w:afterAutospacing="0" w:line="440" w:lineRule="exact"/>
        <w:ind w:left="609" w:leftChars="29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ab/>
      </w:r>
    </w:p>
    <w:p w14:paraId="3A62AC26">
      <w:pPr>
        <w:keepNext w:val="0"/>
        <w:keepLines w:val="0"/>
        <w:widowControl w:val="0"/>
        <w:suppressLineNumbers w:val="0"/>
        <w:spacing w:before="0" w:beforeAutospacing="0" w:after="0" w:afterAutospacing="0" w:line="440" w:lineRule="exact"/>
        <w:ind w:left="0" w:right="0" w:firstLine="240"/>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 xml:space="preserve">4. </w:t>
      </w:r>
      <w:r>
        <w:rPr>
          <w:rFonts w:hint="eastAsia" w:ascii="宋体" w:hAnsi="宋体" w:eastAsia="宋体" w:cs="宋体"/>
          <w:b/>
          <w:bCs w:val="0"/>
          <w:kern w:val="2"/>
          <w:sz w:val="24"/>
          <w:szCs w:val="24"/>
          <w:lang w:val="en-US" w:eastAsia="zh-CN" w:bidi="ar"/>
        </w:rPr>
        <w:t>技术要求</w:t>
      </w:r>
    </w:p>
    <w:p w14:paraId="78E36A4E">
      <w:pPr>
        <w:keepNext w:val="0"/>
        <w:keepLines w:val="0"/>
        <w:widowControl w:val="0"/>
        <w:suppressLineNumbers w:val="0"/>
        <w:spacing w:before="0" w:beforeAutospacing="0" w:after="0" w:afterAutospacing="0" w:line="440" w:lineRule="exact"/>
        <w:ind w:left="0" w:right="0" w:firstLine="597" w:firstLineChars="249"/>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乙方所提供设备，必须符合国家有关规范和环保要求及甲方的技术要求，并提供设备的检测报告。</w:t>
      </w:r>
    </w:p>
    <w:p w14:paraId="2DD9814B">
      <w:pPr>
        <w:keepNext w:val="0"/>
        <w:keepLines w:val="0"/>
        <w:widowControl w:val="0"/>
        <w:suppressLineNumbers w:val="0"/>
        <w:spacing w:before="0" w:beforeAutospacing="0" w:after="0" w:afterAutospacing="0" w:line="440" w:lineRule="exact"/>
        <w:ind w:left="0" w:right="0" w:firstLine="600" w:firstLineChars="25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178950EB">
      <w:pPr>
        <w:keepNext w:val="0"/>
        <w:keepLines w:val="0"/>
        <w:widowControl w:val="0"/>
        <w:suppressLineNumbers w:val="0"/>
        <w:spacing w:before="0" w:beforeAutospacing="0" w:after="0" w:afterAutospacing="0" w:line="440" w:lineRule="exact"/>
        <w:ind w:left="0" w:right="0" w:firstLine="180"/>
        <w:jc w:val="both"/>
        <w:rPr>
          <w:rFonts w:hint="default" w:ascii="Times New Roman" w:hAnsi="Times New Roman" w:eastAsia="宋体" w:cs="Times New Roman"/>
          <w:kern w:val="2"/>
          <w:sz w:val="21"/>
          <w:szCs w:val="21"/>
        </w:rPr>
      </w:pPr>
      <w:r>
        <w:rPr>
          <w:rFonts w:hint="default" w:ascii="Times New Roman" w:hAnsi="Times New Roman" w:eastAsia="宋体" w:cs="Times New Roman"/>
          <w:b/>
          <w:bCs w:val="0"/>
          <w:kern w:val="2"/>
          <w:sz w:val="24"/>
          <w:szCs w:val="24"/>
          <w:lang w:val="en-US" w:eastAsia="zh-CN" w:bidi="ar"/>
        </w:rPr>
        <w:t>5.</w:t>
      </w:r>
      <w:r>
        <w:rPr>
          <w:rFonts w:hint="default" w:ascii="Times New Roman" w:hAnsi="Times New Roman" w:eastAsia="宋体" w:cs="Times New Roman"/>
          <w:b/>
          <w:bCs w:val="0"/>
          <w:kern w:val="2"/>
          <w:sz w:val="24"/>
          <w:szCs w:val="24"/>
          <w:lang w:val="en-US" w:eastAsia="zh-CN" w:bidi="ar"/>
        </w:rPr>
        <w:tab/>
      </w:r>
      <w:r>
        <w:rPr>
          <w:rFonts w:hint="default" w:ascii="Times New Roman" w:hAnsi="Times New Roman"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合同设备包装、交货、安装、培训及验收</w:t>
      </w:r>
    </w:p>
    <w:p w14:paraId="633F826C">
      <w:pPr>
        <w:keepNext w:val="0"/>
        <w:keepLines w:val="0"/>
        <w:widowControl w:val="0"/>
        <w:suppressLineNumbers w:val="0"/>
        <w:spacing w:before="0" w:beforeAutospacing="0" w:after="0" w:afterAutospacing="0" w:line="440" w:lineRule="exact"/>
        <w:ind w:left="0" w:right="0" w:firstLine="24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5.1</w:t>
      </w:r>
      <w:r>
        <w:rPr>
          <w:rFonts w:hint="eastAsia" w:ascii="宋体" w:hAnsi="宋体" w:eastAsia="宋体" w:cs="宋体"/>
          <w:kern w:val="2"/>
          <w:sz w:val="24"/>
          <w:szCs w:val="24"/>
          <w:lang w:val="en-US" w:eastAsia="zh-CN" w:bidi="ar"/>
        </w:rPr>
        <w:t>合同设备的包装</w:t>
      </w:r>
    </w:p>
    <w:p w14:paraId="461B15E8">
      <w:pPr>
        <w:keepNext w:val="0"/>
        <w:keepLines w:val="0"/>
        <w:widowControl w:val="0"/>
        <w:suppressLineNumbers w:val="0"/>
        <w:spacing w:before="0" w:beforeAutospacing="0" w:after="0" w:afterAutospacing="0" w:line="440" w:lineRule="exact"/>
        <w:ind w:left="0" w:right="0" w:firstLine="628" w:firstLineChars="262"/>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设备的包装均应有良好的防湿、防锈、防潮、防雨、防腐及防碰撞的措施。凡由于包装不良造成的损失和由此产生的费用均由乙方承担。</w:t>
      </w:r>
    </w:p>
    <w:p w14:paraId="55B86710">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5.2  </w:t>
      </w:r>
      <w:r>
        <w:rPr>
          <w:rFonts w:hint="eastAsia" w:ascii="宋体" w:hAnsi="宋体" w:eastAsia="宋体" w:cs="宋体"/>
          <w:kern w:val="2"/>
          <w:sz w:val="24"/>
          <w:szCs w:val="24"/>
          <w:lang w:val="en-US" w:eastAsia="zh-CN" w:bidi="ar"/>
        </w:rPr>
        <w:t>合同设备的交货</w:t>
      </w:r>
    </w:p>
    <w:p w14:paraId="5777E793">
      <w:pPr>
        <w:keepNext w:val="0"/>
        <w:keepLines w:val="0"/>
        <w:widowControl w:val="0"/>
        <w:suppressLineNumbers w:val="0"/>
        <w:spacing w:before="0" w:beforeAutospacing="0" w:after="0" w:afterAutospacing="0" w:line="440" w:lineRule="exact"/>
        <w:ind w:left="1259" w:right="0" w:hanging="1049"/>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kern w:val="2"/>
          <w:sz w:val="24"/>
          <w:szCs w:val="24"/>
          <w:lang w:val="en-US" w:eastAsia="zh-CN" w:bidi="ar"/>
        </w:rPr>
        <w:t>5.2.1</w:t>
      </w:r>
      <w:r>
        <w:rPr>
          <w:rFonts w:hint="eastAsia" w:ascii="宋体" w:hAnsi="宋体" w:eastAsia="宋体" w:cs="宋体"/>
          <w:kern w:val="2"/>
          <w:sz w:val="24"/>
          <w:szCs w:val="24"/>
          <w:lang w:val="en-US" w:eastAsia="zh-CN" w:bidi="ar"/>
        </w:rPr>
        <w:t>乙方交货时间：</w:t>
      </w:r>
      <w:r>
        <w:rPr>
          <w:rFonts w:hint="eastAsia" w:ascii="Times New Roman" w:hAnsi="Times New Roman" w:eastAsia="宋体" w:cs="Times New Roman"/>
          <w:b/>
          <w:bCs w:val="0"/>
          <w:kern w:val="2"/>
          <w:sz w:val="24"/>
          <w:szCs w:val="24"/>
          <w:u w:val="single"/>
          <w:lang w:val="en-US" w:eastAsia="zh-CN" w:bidi="ar"/>
        </w:rPr>
        <w:t xml:space="preserve">               </w:t>
      </w: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val="0"/>
          <w:kern w:val="2"/>
          <w:sz w:val="24"/>
          <w:szCs w:val="24"/>
          <w:lang w:val="en-US" w:eastAsia="zh-CN" w:bidi="ar"/>
        </w:rPr>
        <w:t xml:space="preserve"> </w:t>
      </w:r>
    </w:p>
    <w:p w14:paraId="2287D322">
      <w:pPr>
        <w:keepNext w:val="0"/>
        <w:keepLines w:val="0"/>
        <w:widowControl w:val="0"/>
        <w:suppressLineNumbers w:val="0"/>
        <w:spacing w:before="0" w:beforeAutospacing="0" w:after="0" w:afterAutospacing="0" w:line="440" w:lineRule="exact"/>
        <w:ind w:left="1259" w:right="0" w:hanging="1049"/>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5.2.2</w:t>
      </w:r>
      <w:r>
        <w:rPr>
          <w:rFonts w:hint="eastAsia" w:ascii="宋体" w:hAnsi="宋体" w:eastAsia="宋体" w:cs="宋体"/>
          <w:kern w:val="2"/>
          <w:sz w:val="24"/>
          <w:szCs w:val="24"/>
          <w:lang w:val="en-US" w:eastAsia="zh-CN" w:bidi="ar"/>
        </w:rPr>
        <w:t>乙方交货地点：</w:t>
      </w:r>
      <w:r>
        <w:rPr>
          <w:rFonts w:hint="eastAsia" w:ascii="宋体" w:hAnsi="宋体" w:eastAsia="宋体" w:cs="宋体"/>
          <w:b/>
          <w:bCs w:val="0"/>
          <w:kern w:val="2"/>
          <w:sz w:val="24"/>
          <w:szCs w:val="24"/>
          <w:lang w:val="en-US" w:eastAsia="zh-CN" w:bidi="ar"/>
        </w:rPr>
        <w:t>广州医科大学附属番禺中心医院</w:t>
      </w:r>
    </w:p>
    <w:p w14:paraId="0B52133A">
      <w:pPr>
        <w:keepNext w:val="0"/>
        <w:keepLines w:val="0"/>
        <w:widowControl w:val="0"/>
        <w:suppressLineNumbers w:val="0"/>
        <w:spacing w:before="0" w:beforeAutospacing="0" w:after="0" w:afterAutospacing="0" w:line="440" w:lineRule="exact"/>
        <w:ind w:left="0" w:right="0" w:firstLine="24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5.3  </w:t>
      </w:r>
      <w:r>
        <w:rPr>
          <w:rFonts w:hint="eastAsia" w:ascii="宋体" w:hAnsi="宋体" w:eastAsia="宋体" w:cs="宋体"/>
          <w:kern w:val="2"/>
          <w:sz w:val="24"/>
          <w:szCs w:val="24"/>
          <w:lang w:val="en-US" w:eastAsia="zh-CN" w:bidi="ar"/>
        </w:rPr>
        <w:t>合同设备的安装、培训</w:t>
      </w:r>
    </w:p>
    <w:p w14:paraId="1BAB5601">
      <w:pPr>
        <w:keepNext w:val="0"/>
        <w:keepLines w:val="0"/>
        <w:widowControl w:val="0"/>
        <w:suppressLineNumbers w:val="0"/>
        <w:spacing w:before="0" w:beforeAutospacing="0" w:after="0" w:afterAutospacing="0" w:line="440" w:lineRule="exact"/>
        <w:ind w:left="0" w:right="0" w:firstLine="24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kern w:val="2"/>
          <w:sz w:val="24"/>
          <w:szCs w:val="24"/>
          <w:lang w:val="en-US" w:eastAsia="zh-CN" w:bidi="ar"/>
        </w:rPr>
        <w:t>5.3.1</w:t>
      </w:r>
      <w:r>
        <w:rPr>
          <w:rFonts w:hint="eastAsia" w:ascii="宋体" w:hAnsi="宋体" w:eastAsia="宋体" w:cs="宋体"/>
          <w:kern w:val="2"/>
          <w:sz w:val="24"/>
          <w:szCs w:val="24"/>
          <w:lang w:val="en-US" w:eastAsia="zh-CN" w:bidi="ar"/>
        </w:rPr>
        <w:t>乙方负责合同</w:t>
      </w:r>
      <w:r>
        <w:rPr>
          <w:rFonts w:hint="eastAsia" w:ascii="宋体" w:hAnsi="宋体" w:eastAsia="宋体" w:cs="宋体"/>
          <w:color w:val="auto"/>
          <w:kern w:val="2"/>
          <w:sz w:val="24"/>
          <w:szCs w:val="24"/>
          <w:lang w:val="en-US" w:eastAsia="zh-CN" w:bidi="ar"/>
        </w:rPr>
        <w:t>项下的安装，提供数字输出端口格式文件并输出数字信息，配合甲方与信息管理系统连接，所产生的一切费用由乙方负责。</w:t>
      </w:r>
    </w:p>
    <w:p w14:paraId="69DCAF7D">
      <w:pPr>
        <w:keepNext w:val="0"/>
        <w:keepLines w:val="0"/>
        <w:widowControl w:val="0"/>
        <w:suppressLineNumbers w:val="0"/>
        <w:spacing w:before="0" w:beforeAutospacing="0" w:after="0" w:afterAutospacing="0" w:line="440" w:lineRule="exact"/>
        <w:ind w:left="0" w:right="0" w:firstLine="240"/>
        <w:jc w:val="both"/>
        <w:rPr>
          <w:rFonts w:hint="eastAsia" w:ascii="Times New Roman" w:hAnsi="Times New Roman" w:eastAsia="宋体" w:cs="Times New Roman"/>
          <w:kern w:val="2"/>
          <w:sz w:val="24"/>
          <w:szCs w:val="24"/>
        </w:rPr>
      </w:pPr>
      <w:r>
        <w:rPr>
          <w:rFonts w:hint="default" w:ascii="Times New Roman" w:hAnsi="Times New Roman" w:eastAsia="宋体" w:cs="Times New Roman"/>
          <w:color w:val="auto"/>
          <w:kern w:val="2"/>
          <w:sz w:val="24"/>
          <w:szCs w:val="24"/>
          <w:lang w:val="en-US" w:eastAsia="zh-CN" w:bidi="ar"/>
        </w:rPr>
        <w:t>5.3.2</w:t>
      </w:r>
      <w:r>
        <w:rPr>
          <w:rFonts w:hint="eastAsia" w:ascii="宋体" w:hAnsi="宋体" w:eastAsia="宋体" w:cs="宋体"/>
          <w:color w:val="auto"/>
          <w:kern w:val="2"/>
          <w:sz w:val="24"/>
          <w:szCs w:val="24"/>
          <w:lang w:val="en-US" w:eastAsia="zh-CN" w:bidi="ar"/>
        </w:rPr>
        <w:t>乙方安装时须对各安装场地内的其他设备、设施、货物、人员有良好保</w:t>
      </w:r>
      <w:r>
        <w:rPr>
          <w:rFonts w:hint="eastAsia" w:ascii="宋体" w:hAnsi="宋体" w:eastAsia="宋体" w:cs="宋体"/>
          <w:kern w:val="2"/>
          <w:sz w:val="24"/>
          <w:szCs w:val="24"/>
          <w:lang w:val="en-US" w:eastAsia="zh-CN" w:bidi="ar"/>
        </w:rPr>
        <w:t>护措施。</w:t>
      </w:r>
    </w:p>
    <w:p w14:paraId="6194871F">
      <w:pPr>
        <w:keepNext w:val="0"/>
        <w:keepLines w:val="0"/>
        <w:widowControl w:val="0"/>
        <w:suppressLineNumbers w:val="0"/>
        <w:spacing w:before="0" w:beforeAutospacing="0" w:after="0" w:afterAutospacing="0" w:line="440" w:lineRule="exact"/>
        <w:ind w:left="706" w:leftChars="113" w:right="0" w:hanging="469"/>
        <w:jc w:val="both"/>
        <w:rPr>
          <w:rFonts w:hint="default" w:ascii="Times New Roman" w:hAnsi="Times New Roman" w:eastAsia="宋体" w:cs="Times New Roman"/>
          <w:kern w:val="2"/>
          <w:sz w:val="24"/>
          <w:szCs w:val="24"/>
          <w:u w:val="wavyHeavy"/>
        </w:rPr>
      </w:pPr>
      <w:r>
        <w:rPr>
          <w:rFonts w:hint="default" w:ascii="Times New Roman" w:hAnsi="Times New Roman" w:eastAsia="宋体" w:cs="Times New Roman"/>
          <w:kern w:val="2"/>
          <w:sz w:val="24"/>
          <w:szCs w:val="24"/>
          <w:lang w:val="en-US" w:eastAsia="zh-CN" w:bidi="ar"/>
        </w:rPr>
        <w:t>5.3.3</w:t>
      </w:r>
      <w:r>
        <w:rPr>
          <w:rFonts w:hint="eastAsia" w:ascii="宋体" w:hAnsi="宋体" w:eastAsia="宋体" w:cs="宋体"/>
          <w:kern w:val="2"/>
          <w:sz w:val="24"/>
          <w:szCs w:val="24"/>
          <w:lang w:val="en-US" w:eastAsia="zh-CN" w:bidi="ar"/>
        </w:rPr>
        <w:t>设备安装过程中，甲方可提供必要的水、电设施等，相关费用由乙方承担。物品存放期间由乙方负责看护，丢失、损坏由乙方承担损失。</w:t>
      </w:r>
    </w:p>
    <w:p w14:paraId="24DF59AA">
      <w:pPr>
        <w:keepNext w:val="0"/>
        <w:keepLines w:val="0"/>
        <w:widowControl w:val="0"/>
        <w:suppressLineNumbers w:val="0"/>
        <w:spacing w:before="0" w:beforeAutospacing="0" w:after="0" w:afterAutospacing="0" w:line="440" w:lineRule="exact"/>
        <w:ind w:left="10" w:leftChars="0" w:right="0" w:firstLine="229" w:firstLineChars="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5.3.4</w:t>
      </w:r>
      <w:r>
        <w:rPr>
          <w:rFonts w:hint="eastAsia" w:ascii="宋体" w:hAnsi="宋体" w:eastAsia="宋体" w:cs="宋体"/>
          <w:kern w:val="2"/>
          <w:sz w:val="24"/>
          <w:szCs w:val="24"/>
          <w:lang w:val="en-US" w:eastAsia="zh-CN" w:bidi="ar"/>
        </w:rPr>
        <w:t>乙方每台设备提供现场安装调试和培训，应提供完整的培训计划和方案，列明培训人员数量、达到的水平等，培训内容包括设备的操作、日常维修、简单故障的识别及排除等。</w:t>
      </w:r>
    </w:p>
    <w:p w14:paraId="1FFCFF8E">
      <w:pPr>
        <w:keepNext w:val="0"/>
        <w:keepLines w:val="0"/>
        <w:widowControl w:val="0"/>
        <w:suppressLineNumbers w:val="0"/>
        <w:spacing w:before="0" w:beforeAutospacing="0" w:after="0" w:afterAutospacing="0" w:line="440" w:lineRule="exact"/>
        <w:ind w:left="0" w:right="0" w:firstLine="24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5.4  </w:t>
      </w:r>
      <w:r>
        <w:rPr>
          <w:rFonts w:hint="eastAsia" w:ascii="宋体" w:hAnsi="宋体" w:eastAsia="宋体" w:cs="宋体"/>
          <w:kern w:val="2"/>
          <w:sz w:val="24"/>
          <w:szCs w:val="24"/>
          <w:lang w:val="en-US" w:eastAsia="zh-CN" w:bidi="ar"/>
        </w:rPr>
        <w:t>设备的验收</w:t>
      </w:r>
    </w:p>
    <w:p w14:paraId="66FF2AC8">
      <w:pPr>
        <w:keepNext w:val="0"/>
        <w:keepLines w:val="0"/>
        <w:widowControl w:val="0"/>
        <w:suppressLineNumbers w:val="0"/>
        <w:spacing w:before="0" w:beforeAutospacing="0" w:after="0" w:afterAutospacing="0" w:line="440" w:lineRule="exact"/>
        <w:ind w:left="851" w:right="0" w:hanging="61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5.4.1</w:t>
      </w:r>
      <w:r>
        <w:rPr>
          <w:rFonts w:hint="eastAsia" w:ascii="宋体" w:hAnsi="宋体" w:eastAsia="宋体" w:cs="宋体"/>
          <w:color w:val="000000"/>
          <w:kern w:val="2"/>
          <w:sz w:val="24"/>
          <w:szCs w:val="24"/>
          <w:lang w:val="en-US" w:eastAsia="zh-CN" w:bidi="ar"/>
        </w:rPr>
        <w:t>合同设备安装完成并收到乙方项目验收建议</w:t>
      </w:r>
      <w:r>
        <w:rPr>
          <w:rFonts w:hint="default" w:ascii="宋体" w:hAnsi="宋体" w:cs="宋体"/>
          <w:b/>
          <w:bCs/>
          <w:color w:val="000000"/>
          <w:kern w:val="2"/>
          <w:sz w:val="24"/>
          <w:szCs w:val="24"/>
          <w:u w:val="single"/>
          <w:lang w:eastAsia="zh-CN" w:bidi="ar"/>
        </w:rPr>
        <w:t>10</w:t>
      </w:r>
      <w:r>
        <w:rPr>
          <w:rFonts w:hint="eastAsia" w:ascii="宋体" w:hAnsi="宋体" w:eastAsia="宋体" w:cs="宋体"/>
          <w:kern w:val="2"/>
          <w:sz w:val="24"/>
          <w:szCs w:val="24"/>
          <w:lang w:val="en-US" w:eastAsia="zh-CN" w:bidi="ar"/>
        </w:rPr>
        <w:t>日内验收，验收应在甲乙双方共同参加下进行。</w:t>
      </w:r>
    </w:p>
    <w:p w14:paraId="0DAC40A9">
      <w:pPr>
        <w:keepNext w:val="0"/>
        <w:keepLines w:val="0"/>
        <w:widowControl w:val="0"/>
        <w:suppressLineNumbers w:val="0"/>
        <w:spacing w:before="0" w:beforeAutospacing="0" w:after="0" w:afterAutospacing="0" w:line="440" w:lineRule="exact"/>
        <w:ind w:left="851" w:right="0" w:hanging="641"/>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5.4.2 </w:t>
      </w:r>
      <w:r>
        <w:rPr>
          <w:rFonts w:hint="eastAsia" w:ascii="宋体" w:hAnsi="宋体" w:eastAsia="宋体" w:cs="宋体"/>
          <w:kern w:val="2"/>
          <w:sz w:val="24"/>
          <w:szCs w:val="24"/>
          <w:lang w:val="en-US" w:eastAsia="zh-CN" w:bidi="ar"/>
        </w:rPr>
        <w:t>甲方按照采购合同规定的技术、服务、安全标准组织对乙方履约情况进行验收，并出具验收书。验收书应当包括每一项技术、服务、安全标准的履约情况。验收时如发现所交付的设备有短装、次品、损坏或其它不符合本合同规定之情形者，甲方应作出详尽的现场记录，或由甲乙双方签署备忘录，并且甲方有权要求乙方无条件补足、更换全新未使用产品和更换损坏部件。此现场记录或备忘录可用作补足、更换全新未使用产品和更换损坏部件的有效证据。因此造成乙方逾期交货的，按照本合同</w:t>
      </w:r>
      <w:r>
        <w:rPr>
          <w:rFonts w:hint="default" w:ascii="Times New Roman" w:hAnsi="Times New Roman" w:eastAsia="宋体" w:cs="Times New Roman"/>
          <w:kern w:val="2"/>
          <w:sz w:val="24"/>
          <w:szCs w:val="24"/>
          <w:lang w:val="en-US" w:eastAsia="zh-CN" w:bidi="ar"/>
        </w:rPr>
        <w:t>11.2</w:t>
      </w:r>
      <w:r>
        <w:rPr>
          <w:rFonts w:hint="eastAsia" w:ascii="宋体" w:hAnsi="宋体" w:eastAsia="宋体" w:cs="宋体"/>
          <w:kern w:val="2"/>
          <w:sz w:val="24"/>
          <w:szCs w:val="24"/>
          <w:lang w:val="en-US" w:eastAsia="zh-CN" w:bidi="ar"/>
        </w:rPr>
        <w:t>条承担违约责任。</w:t>
      </w:r>
    </w:p>
    <w:p w14:paraId="74A8CF90">
      <w:pPr>
        <w:keepNext w:val="0"/>
        <w:keepLines w:val="0"/>
        <w:widowControl w:val="0"/>
        <w:suppressLineNumbers w:val="0"/>
        <w:spacing w:before="0" w:beforeAutospacing="0" w:after="0" w:afterAutospacing="0" w:line="440" w:lineRule="exact"/>
        <w:ind w:left="851" w:right="0" w:hanging="641"/>
        <w:jc w:val="both"/>
        <w:rPr>
          <w:rFonts w:hint="default" w:ascii="Times New Roman" w:hAnsi="Times New Roman" w:eastAsia="宋体" w:cs="Times New Roman"/>
          <w:kern w:val="2"/>
          <w:sz w:val="24"/>
          <w:szCs w:val="24"/>
        </w:rPr>
      </w:pPr>
      <w:r>
        <w:rPr>
          <w:rFonts w:hint="default" w:ascii="Times New Roman" w:hAnsi="Times New Roman" w:eastAsia="宋体" w:cs="Times New Roman"/>
          <w:color w:val="000000"/>
          <w:kern w:val="2"/>
          <w:sz w:val="24"/>
          <w:szCs w:val="24"/>
          <w:lang w:val="en-US" w:eastAsia="zh-CN" w:bidi="ar"/>
        </w:rPr>
        <w:t>5.4.3</w:t>
      </w:r>
      <w:r>
        <w:rPr>
          <w:rFonts w:hint="eastAsia" w:ascii="宋体" w:hAnsi="宋体" w:eastAsia="宋体" w:cs="宋体"/>
          <w:color w:val="000000"/>
          <w:kern w:val="2"/>
          <w:sz w:val="24"/>
          <w:szCs w:val="24"/>
          <w:lang w:val="en-US" w:eastAsia="zh-CN" w:bidi="ar"/>
        </w:rPr>
        <w:t>交付验收标准依次序对照适用标准为：①符合中华人民共和国国家安全质量标准、环保标准或行业标准；②符合招标文件和投标承诺中甲方认可的合理最佳配置、参数及各项要求；③货物来源国官方标准。</w:t>
      </w:r>
    </w:p>
    <w:p w14:paraId="1ADC5484">
      <w:pPr>
        <w:keepNext w:val="0"/>
        <w:keepLines w:val="0"/>
        <w:widowControl w:val="0"/>
        <w:suppressLineNumbers w:val="0"/>
        <w:spacing w:before="0" w:beforeAutospacing="0" w:after="0" w:afterAutospacing="0" w:line="440" w:lineRule="exact"/>
        <w:ind w:left="720" w:right="0" w:hanging="510"/>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5.4.4</w:t>
      </w:r>
      <w:r>
        <w:rPr>
          <w:rFonts w:hint="eastAsia" w:ascii="宋体" w:hAnsi="宋体" w:eastAsia="宋体" w:cs="宋体"/>
          <w:kern w:val="2"/>
          <w:sz w:val="24"/>
          <w:szCs w:val="24"/>
          <w:lang w:val="en-US" w:eastAsia="zh-CN" w:bidi="ar"/>
        </w:rPr>
        <w:t>如果合同设备运输和安装过程中因事故造成货物短缺、损坏，乙方应及时安排换装，以保证合同设备安装的成功完成。换货的相关费用由乙方承担。</w:t>
      </w:r>
    </w:p>
    <w:p w14:paraId="15D807D5">
      <w:pPr>
        <w:keepNext w:val="0"/>
        <w:keepLines w:val="0"/>
        <w:widowControl w:val="0"/>
        <w:suppressLineNumbers w:val="0"/>
        <w:spacing w:before="0" w:beforeAutospacing="0" w:after="0" w:afterAutospacing="0" w:line="440" w:lineRule="exact"/>
        <w:ind w:left="720" w:right="0" w:hanging="51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5.4.5</w:t>
      </w:r>
      <w:r>
        <w:rPr>
          <w:rFonts w:hint="eastAsia" w:ascii="宋体" w:hAnsi="宋体" w:eastAsia="宋体" w:cs="宋体"/>
          <w:kern w:val="2"/>
          <w:sz w:val="24"/>
          <w:szCs w:val="24"/>
          <w:lang w:val="en-US" w:eastAsia="zh-CN" w:bidi="ar"/>
        </w:rPr>
        <w:t>乙方将货物的用户手册、保修手册、有关单证资料及备品备件、随机工具等交付给甲方，使用操作及安全须知等重要资料应附有中文说明。</w:t>
      </w:r>
    </w:p>
    <w:p w14:paraId="21A915DF">
      <w:pPr>
        <w:keepNext w:val="0"/>
        <w:keepLines w:val="0"/>
        <w:widowControl w:val="0"/>
        <w:suppressLineNumbers w:val="0"/>
        <w:spacing w:before="0" w:beforeAutospacing="0" w:after="0" w:afterAutospacing="0" w:line="440" w:lineRule="exact"/>
        <w:ind w:left="709" w:right="0" w:hanging="493"/>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5.5 </w:t>
      </w:r>
      <w:r>
        <w:rPr>
          <w:rFonts w:hint="eastAsia" w:ascii="宋体" w:hAnsi="宋体" w:eastAsia="宋体" w:cs="宋体"/>
          <w:kern w:val="2"/>
          <w:sz w:val="24"/>
          <w:szCs w:val="24"/>
          <w:lang w:val="en-US" w:eastAsia="zh-CN" w:bidi="ar"/>
        </w:rPr>
        <w:t>乙方保证合同项下提供的设备不侵犯任何第三方的专利、商标或版权。否则，乙方须承担对第三方的专利或版权的侵权责任并承担因此而发生的所有费用。</w:t>
      </w:r>
    </w:p>
    <w:p w14:paraId="12D6AF2B">
      <w:pPr>
        <w:keepNext w:val="0"/>
        <w:keepLines w:val="0"/>
        <w:widowControl/>
        <w:suppressLineNumbers w:val="0"/>
        <w:spacing w:before="0" w:beforeAutospacing="0" w:after="0" w:afterAutospacing="0" w:line="440" w:lineRule="exact"/>
        <w:ind w:left="565" w:leftChars="114" w:right="0" w:hanging="326" w:hangingChars="136"/>
        <w:jc w:val="left"/>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5.6</w:t>
      </w:r>
      <w:r>
        <w:rPr>
          <w:rFonts w:hint="eastAsia" w:ascii="宋体" w:hAnsi="宋体" w:eastAsia="宋体" w:cs="宋体"/>
          <w:kern w:val="2"/>
          <w:sz w:val="24"/>
          <w:szCs w:val="24"/>
          <w:lang w:val="en-US" w:eastAsia="zh-CN" w:bidi="ar"/>
        </w:rPr>
        <w:t>设备到货并经乙方技术人员安装后，甲方有权委托中国有资格的单位对上述设备进行校准或检验，设备校准或检定所需的费用由乙方负担。当出现不合格产品时，乙方要无条件接受退回不合格产品或更换合格产品。除甲方认可，否则不接受任何形式的降格处理。</w:t>
      </w:r>
    </w:p>
    <w:p w14:paraId="0DE92E3C">
      <w:pPr>
        <w:keepNext w:val="0"/>
        <w:keepLines w:val="0"/>
        <w:widowControl w:val="0"/>
        <w:suppressLineNumbers w:val="0"/>
        <w:spacing w:before="0" w:beforeAutospacing="0" w:after="0" w:afterAutospacing="0" w:line="440" w:lineRule="exact"/>
        <w:ind w:left="709" w:right="0" w:hanging="493"/>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2C436E23">
      <w:pPr>
        <w:keepNext w:val="0"/>
        <w:keepLines w:val="0"/>
        <w:widowControl w:val="0"/>
        <w:suppressLineNumbers w:val="0"/>
        <w:spacing w:before="0" w:beforeAutospacing="0" w:after="0" w:afterAutospacing="0" w:line="440" w:lineRule="exact"/>
        <w:ind w:left="-2" w:right="0" w:firstLine="182"/>
        <w:jc w:val="both"/>
        <w:rPr>
          <w:rFonts w:hint="default" w:ascii="Times New Roman" w:hAnsi="Times New Roman" w:eastAsia="宋体" w:cs="Times New Roman"/>
          <w:kern w:val="2"/>
          <w:sz w:val="21"/>
          <w:szCs w:val="21"/>
        </w:rPr>
      </w:pPr>
      <w:r>
        <w:rPr>
          <w:rFonts w:hint="default" w:ascii="Times New Roman" w:hAnsi="Times New Roman" w:eastAsia="宋体" w:cs="Times New Roman"/>
          <w:b/>
          <w:bCs w:val="0"/>
          <w:kern w:val="2"/>
          <w:sz w:val="24"/>
          <w:szCs w:val="24"/>
          <w:lang w:val="en-US" w:eastAsia="zh-CN" w:bidi="ar"/>
        </w:rPr>
        <w:t xml:space="preserve">6. </w:t>
      </w:r>
      <w:r>
        <w:rPr>
          <w:rFonts w:hint="eastAsia" w:ascii="宋体" w:hAnsi="宋体" w:eastAsia="宋体" w:cs="宋体"/>
          <w:b/>
          <w:bCs w:val="0"/>
          <w:kern w:val="2"/>
          <w:sz w:val="24"/>
          <w:szCs w:val="24"/>
          <w:lang w:val="en-US" w:eastAsia="zh-CN" w:bidi="ar"/>
        </w:rPr>
        <w:t>质量保证及售后服务</w:t>
      </w:r>
    </w:p>
    <w:p w14:paraId="027CC3BA">
      <w:pPr>
        <w:keepNext w:val="0"/>
        <w:keepLines w:val="0"/>
        <w:widowControl w:val="0"/>
        <w:suppressLineNumbers w:val="0"/>
        <w:spacing w:before="0" w:beforeAutospacing="0" w:after="0" w:afterAutospacing="0" w:line="440" w:lineRule="exact"/>
        <w:ind w:left="566" w:leftChars="68" w:right="0" w:hanging="424" w:hangingChars="177"/>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kern w:val="2"/>
          <w:sz w:val="24"/>
          <w:szCs w:val="24"/>
          <w:lang w:val="en-US" w:eastAsia="zh-CN" w:bidi="ar"/>
        </w:rPr>
        <w:t>6.1</w:t>
      </w:r>
      <w:r>
        <w:rPr>
          <w:rFonts w:hint="eastAsia" w:ascii="宋体" w:hAnsi="宋体" w:eastAsia="宋体" w:cs="宋体"/>
          <w:color w:val="auto"/>
          <w:kern w:val="2"/>
          <w:sz w:val="24"/>
          <w:szCs w:val="24"/>
          <w:lang w:val="en-US" w:eastAsia="zh-CN" w:bidi="ar"/>
        </w:rPr>
        <w:t>乙方保证合同设备是全新、未曾使用过的，其质量、规格及技术特征符合合同附件的要求，同时所提供的设备是制造日期距交货时间不能超过</w:t>
      </w: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年。并保证设备符合国家相关质量标准。设备必须提供出厂合格证</w:t>
      </w:r>
      <w:r>
        <w:rPr>
          <w:rFonts w:hint="default"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及根据医疗行业管理法规规定必须具备的其他证照（产品注册证、经营企业许可证、生产企业许可证等证件，复印件必须加盖经销单位公章）。</w:t>
      </w:r>
    </w:p>
    <w:p w14:paraId="1FACC617">
      <w:pPr>
        <w:keepNext w:val="0"/>
        <w:keepLines w:val="0"/>
        <w:widowControl w:val="0"/>
        <w:numPr>
          <w:ilvl w:val="1"/>
          <w:numId w:val="3"/>
        </w:numPr>
        <w:suppressLineNumbers w:val="0"/>
        <w:tabs>
          <w:tab w:val="left" w:pos="0"/>
        </w:tabs>
        <w:spacing w:before="0" w:beforeAutospacing="0" w:after="0" w:afterAutospacing="0" w:line="440" w:lineRule="exact"/>
        <w:ind w:left="540" w:right="0" w:hanging="398"/>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合同设备（详见配置清单）保质保用期为本项目有关部门验收并在《番禺中心医院医疗集团验收报告》完成全部签字之日起保修</w:t>
      </w:r>
      <w:r>
        <w:rPr>
          <w:rFonts w:hint="eastAsia" w:ascii="宋体" w:hAnsi="宋体" w:eastAsia="宋体" w:cs="Times New Roman"/>
          <w:b/>
          <w:bCs w:val="0"/>
          <w:color w:val="auto"/>
          <w:kern w:val="2"/>
          <w:sz w:val="24"/>
          <w:szCs w:val="24"/>
          <w:u w:val="single"/>
          <w:lang w:val="en-US" w:eastAsia="zh-CN" w:bidi="ar"/>
        </w:rPr>
        <w:t xml:space="preserve">  </w:t>
      </w:r>
      <w:r>
        <w:rPr>
          <w:rFonts w:hint="eastAsia" w:ascii="宋体" w:hAnsi="宋体" w:eastAsia="宋体" w:cs="宋体"/>
          <w:color w:val="auto"/>
          <w:kern w:val="2"/>
          <w:sz w:val="24"/>
          <w:szCs w:val="24"/>
          <w:lang w:val="en-US" w:eastAsia="zh-CN" w:bidi="ar"/>
        </w:rPr>
        <w:t>个月，</w:t>
      </w:r>
      <w:r>
        <w:rPr>
          <w:rFonts w:hint="eastAsia" w:ascii="宋体" w:hAnsi="宋体" w:eastAsia="宋体" w:cs="宋体"/>
          <w:bCs/>
          <w:color w:val="auto"/>
          <w:kern w:val="0"/>
          <w:sz w:val="24"/>
          <w:szCs w:val="24"/>
          <w:lang w:val="en-US" w:eastAsia="zh-CN" w:bidi="ar"/>
        </w:rPr>
        <w:t>乙方需</w:t>
      </w:r>
      <w:r>
        <w:rPr>
          <w:rFonts w:hint="eastAsia" w:ascii="宋体" w:hAnsi="宋体" w:eastAsia="宋体" w:cs="宋体"/>
          <w:color w:val="auto"/>
          <w:kern w:val="2"/>
          <w:sz w:val="24"/>
          <w:szCs w:val="24"/>
          <w:lang w:val="en-US" w:eastAsia="zh-CN" w:bidi="ar"/>
        </w:rPr>
        <w:t>提供</w:t>
      </w:r>
      <w:r>
        <w:rPr>
          <w:rFonts w:hint="eastAsia" w:ascii="宋体" w:hAnsi="宋体" w:eastAsia="宋体" w:cs="宋体"/>
          <w:bCs/>
          <w:color w:val="auto"/>
          <w:kern w:val="0"/>
          <w:sz w:val="24"/>
          <w:szCs w:val="24"/>
          <w:lang w:val="en-US" w:eastAsia="zh-CN" w:bidi="ar"/>
        </w:rPr>
        <w:t>每</w:t>
      </w:r>
      <w:r>
        <w:rPr>
          <w:rFonts w:hint="eastAsia" w:ascii="Times New Roman" w:hAnsi="宋体" w:eastAsia="宋体" w:cs="宋体"/>
          <w:bCs/>
          <w:color w:val="auto"/>
          <w:kern w:val="0"/>
          <w:sz w:val="24"/>
          <w:szCs w:val="24"/>
          <w:lang w:val="en-US" w:eastAsia="zh-CN" w:bidi="ar"/>
        </w:rPr>
        <w:t xml:space="preserve">  </w:t>
      </w:r>
      <w:r>
        <w:rPr>
          <w:rFonts w:hint="eastAsia" w:ascii="宋体" w:hAnsi="宋体" w:eastAsia="宋体" w:cs="宋体"/>
          <w:bCs/>
          <w:color w:val="auto"/>
          <w:kern w:val="0"/>
          <w:sz w:val="24"/>
          <w:szCs w:val="24"/>
          <w:lang w:val="en-US" w:eastAsia="zh-CN" w:bidi="ar"/>
        </w:rPr>
        <w:t>个月</w:t>
      </w:r>
      <w:r>
        <w:rPr>
          <w:rFonts w:hint="default" w:ascii="Times New Roman" w:hAnsi="Times New Roman" w:eastAsia="宋体" w:cs="Times New Roman"/>
          <w:bCs/>
          <w:color w:val="auto"/>
          <w:kern w:val="0"/>
          <w:sz w:val="24"/>
          <w:szCs w:val="24"/>
          <w:lang w:val="en-US" w:eastAsia="zh-CN" w:bidi="ar"/>
        </w:rPr>
        <w:t>1</w:t>
      </w:r>
      <w:r>
        <w:rPr>
          <w:rFonts w:hint="eastAsia" w:ascii="宋体" w:hAnsi="宋体" w:eastAsia="宋体" w:cs="宋体"/>
          <w:bCs/>
          <w:color w:val="auto"/>
          <w:kern w:val="0"/>
          <w:sz w:val="24"/>
          <w:szCs w:val="24"/>
          <w:lang w:val="en-US" w:eastAsia="zh-CN" w:bidi="ar"/>
        </w:rPr>
        <w:t>次</w:t>
      </w:r>
      <w:r>
        <w:rPr>
          <w:rFonts w:hint="eastAsia" w:ascii="宋体" w:hAnsi="宋体" w:eastAsia="宋体" w:cs="宋体"/>
          <w:color w:val="auto"/>
          <w:kern w:val="2"/>
          <w:sz w:val="24"/>
          <w:szCs w:val="24"/>
          <w:lang w:val="en-US" w:eastAsia="zh-CN" w:bidi="ar"/>
        </w:rPr>
        <w:t>的维护保养，首次维护时间为验收合格后的</w:t>
      </w:r>
      <w:r>
        <w:rPr>
          <w:rFonts w:hint="eastAsia"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个月内，每次维护保养需出具保养记录。</w:t>
      </w:r>
    </w:p>
    <w:p w14:paraId="04B6AB7F">
      <w:pPr>
        <w:keepNext w:val="0"/>
        <w:keepLines w:val="0"/>
        <w:widowControl w:val="0"/>
        <w:suppressLineNumbers w:val="0"/>
        <w:spacing w:before="0" w:beforeAutospacing="0" w:after="0" w:afterAutospacing="0" w:line="440" w:lineRule="exact"/>
        <w:ind w:left="565" w:leftChars="12" w:right="0" w:hanging="540" w:hangingChars="225"/>
        <w:jc w:val="both"/>
        <w:rPr>
          <w:rFonts w:hint="eastAsia"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6.2.1</w:t>
      </w:r>
      <w:r>
        <w:rPr>
          <w:rFonts w:hint="eastAsia" w:ascii="宋体" w:hAnsi="宋体" w:eastAsia="宋体" w:cs="宋体"/>
          <w:color w:val="auto"/>
          <w:kern w:val="2"/>
          <w:sz w:val="24"/>
          <w:szCs w:val="24"/>
          <w:lang w:val="en-US" w:eastAsia="zh-CN" w:bidi="ar"/>
        </w:rPr>
        <w:t>保质保用期内非因甲方的人为原因而出现产品质量及安装问题，由乙方负责包修、包换或包退，并承担因此而产生的一切费用。乙方应在收到甲方故障通知后  小时内响应；</w:t>
      </w:r>
      <w:r>
        <w:rPr>
          <w:rFonts w:hint="eastAsia" w:ascii="Times New Roman" w:hAnsi="Times New Roman" w:eastAsia="宋体" w:cs="Times New Roman"/>
          <w:b/>
          <w:bCs w:val="0"/>
          <w:color w:val="auto"/>
          <w:kern w:val="2"/>
          <w:sz w:val="24"/>
          <w:szCs w:val="24"/>
          <w:u w:val="single"/>
          <w:lang w:val="en-US" w:eastAsia="zh-CN" w:bidi="ar"/>
        </w:rPr>
        <w:t xml:space="preserve">  </w:t>
      </w:r>
      <w:r>
        <w:rPr>
          <w:rFonts w:hint="eastAsia" w:ascii="宋体" w:hAnsi="宋体" w:eastAsia="宋体" w:cs="宋体"/>
          <w:b/>
          <w:bCs w:val="0"/>
          <w:color w:val="auto"/>
          <w:kern w:val="2"/>
          <w:sz w:val="24"/>
          <w:szCs w:val="24"/>
          <w:u w:val="single"/>
          <w:lang w:val="en-US" w:eastAsia="zh-CN" w:bidi="ar"/>
        </w:rPr>
        <w:t>小时内到达维修现场</w:t>
      </w:r>
      <w:r>
        <w:rPr>
          <w:rFonts w:hint="eastAsia" w:ascii="宋体" w:hAnsi="宋体" w:eastAsia="宋体" w:cs="宋体"/>
          <w:color w:val="auto"/>
          <w:kern w:val="2"/>
          <w:sz w:val="24"/>
          <w:szCs w:val="24"/>
          <w:lang w:val="en-US" w:eastAsia="zh-CN" w:bidi="ar"/>
        </w:rPr>
        <w:t>，</w:t>
      </w:r>
      <w:r>
        <w:rPr>
          <w:rFonts w:hint="eastAsia"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小时内处理完毕。若在</w:t>
      </w:r>
      <w:r>
        <w:rPr>
          <w:rFonts w:hint="eastAsia" w:ascii="Times New Roman" w:hAnsi="Times New Roman"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小时内仍未能有效解决，乙方提供技术、性能指标不低于本合同要求的备用机型，提供维修替换使用。</w:t>
      </w:r>
    </w:p>
    <w:p w14:paraId="3D1A54D1">
      <w:pPr>
        <w:keepNext w:val="0"/>
        <w:keepLines w:val="0"/>
        <w:widowControl w:val="0"/>
        <w:suppressLineNumbers w:val="0"/>
        <w:spacing w:before="0" w:beforeAutospacing="0" w:after="0" w:afterAutospacing="0" w:line="440" w:lineRule="exact"/>
        <w:ind w:left="565" w:leftChars="12" w:right="0" w:hanging="540" w:hangingChars="225"/>
        <w:jc w:val="both"/>
        <w:rPr>
          <w:rFonts w:hint="eastAsia" w:ascii="Times New Roman" w:hAnsi="Times New Roman" w:eastAsia="宋体" w:cs="Times New Roman"/>
          <w:kern w:val="2"/>
          <w:sz w:val="24"/>
          <w:szCs w:val="24"/>
        </w:rPr>
      </w:pPr>
      <w:r>
        <w:rPr>
          <w:rFonts w:hint="default" w:ascii="Times New Roman" w:hAnsi="Times New Roman" w:eastAsia="宋体" w:cs="Times New Roman"/>
          <w:color w:val="auto"/>
          <w:kern w:val="2"/>
          <w:sz w:val="24"/>
          <w:szCs w:val="24"/>
          <w:lang w:val="en-US" w:eastAsia="zh-CN" w:bidi="ar"/>
        </w:rPr>
        <w:t>6.2.2</w:t>
      </w:r>
      <w:r>
        <w:rPr>
          <w:rFonts w:hint="eastAsia" w:ascii="宋体" w:hAnsi="宋体" w:eastAsia="宋体" w:cs="宋体"/>
          <w:color w:val="auto"/>
          <w:kern w:val="2"/>
          <w:sz w:val="24"/>
          <w:szCs w:val="24"/>
          <w:lang w:val="en-US" w:eastAsia="zh-CN" w:bidi="ar"/>
        </w:rPr>
        <w:t>保修期内必须保证</w:t>
      </w:r>
      <w:r>
        <w:rPr>
          <w:rFonts w:hint="default" w:ascii="Times New Roman" w:hAnsi="Times New Roman" w:eastAsia="宋体" w:cs="Times New Roman"/>
          <w:color w:val="auto"/>
          <w:kern w:val="2"/>
          <w:sz w:val="24"/>
          <w:szCs w:val="24"/>
          <w:lang w:val="en-US" w:eastAsia="zh-CN" w:bidi="ar"/>
        </w:rPr>
        <w:t>95%</w:t>
      </w:r>
      <w:r>
        <w:rPr>
          <w:rFonts w:hint="eastAsia" w:ascii="宋体" w:hAnsi="宋体" w:eastAsia="宋体" w:cs="宋体"/>
          <w:color w:val="auto"/>
          <w:kern w:val="2"/>
          <w:sz w:val="24"/>
          <w:szCs w:val="24"/>
          <w:lang w:val="en-US" w:eastAsia="zh-CN" w:bidi="ar"/>
        </w:rPr>
        <w:t>以上工作日正常工作（以每年</w:t>
      </w:r>
      <w:r>
        <w:rPr>
          <w:rFonts w:hint="default" w:ascii="Times New Roman" w:hAnsi="Times New Roman" w:eastAsia="宋体" w:cs="Times New Roman"/>
          <w:color w:val="auto"/>
          <w:kern w:val="2"/>
          <w:sz w:val="24"/>
          <w:szCs w:val="24"/>
          <w:lang w:val="en-US" w:eastAsia="zh-CN" w:bidi="ar"/>
        </w:rPr>
        <w:t>365</w:t>
      </w:r>
      <w:r>
        <w:rPr>
          <w:rFonts w:hint="eastAsia" w:ascii="宋体" w:hAnsi="宋体" w:eastAsia="宋体" w:cs="宋体"/>
          <w:color w:val="auto"/>
          <w:kern w:val="2"/>
          <w:sz w:val="24"/>
          <w:szCs w:val="24"/>
          <w:lang w:val="en-US" w:eastAsia="zh-CN" w:bidi="ar"/>
        </w:rPr>
        <w:t>天计算），如未达到，应按</w:t>
      </w: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倍时间相应延长保修期。如停用时间累计超过</w:t>
      </w:r>
      <w:r>
        <w:rPr>
          <w:rFonts w:hint="default" w:ascii="Times New Roman" w:hAnsi="Times New Roman" w:eastAsia="宋体" w:cs="Times New Roman"/>
          <w:color w:val="auto"/>
          <w:kern w:val="2"/>
          <w:sz w:val="24"/>
          <w:szCs w:val="24"/>
          <w:lang w:val="en-US" w:eastAsia="zh-CN" w:bidi="ar"/>
        </w:rPr>
        <w:t>60</w:t>
      </w:r>
      <w:r>
        <w:rPr>
          <w:rFonts w:hint="eastAsia" w:ascii="宋体" w:hAnsi="宋体" w:eastAsia="宋体" w:cs="宋体"/>
          <w:color w:val="auto"/>
          <w:kern w:val="2"/>
          <w:sz w:val="24"/>
          <w:szCs w:val="24"/>
          <w:lang w:val="en-US" w:eastAsia="zh-CN" w:bidi="ar"/>
        </w:rPr>
        <w:t>天则保修期重新计算。需</w:t>
      </w:r>
      <w:r>
        <w:rPr>
          <w:rFonts w:hint="eastAsia" w:ascii="宋体" w:hAnsi="宋体" w:eastAsia="宋体" w:cs="宋体"/>
          <w:kern w:val="2"/>
          <w:sz w:val="24"/>
          <w:szCs w:val="24"/>
          <w:lang w:val="en-US" w:eastAsia="zh-CN" w:bidi="ar"/>
        </w:rPr>
        <w:t>提供生产厂家售后服务机构提供售后服务承诺，提供免费咨询电话。</w:t>
      </w:r>
    </w:p>
    <w:p w14:paraId="6E761C48">
      <w:pPr>
        <w:keepNext w:val="0"/>
        <w:keepLines w:val="0"/>
        <w:widowControl w:val="0"/>
        <w:suppressLineNumbers w:val="0"/>
        <w:spacing w:before="0" w:beforeAutospacing="0" w:after="0" w:afterAutospacing="0" w:line="440" w:lineRule="exact"/>
        <w:ind w:left="565" w:leftChars="12" w:right="0" w:hanging="540" w:hangingChars="225"/>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6.2.3</w:t>
      </w:r>
      <w:r>
        <w:rPr>
          <w:rFonts w:hint="eastAsia" w:ascii="宋体" w:hAnsi="宋体" w:eastAsia="宋体" w:cs="宋体"/>
          <w:kern w:val="2"/>
          <w:sz w:val="24"/>
          <w:szCs w:val="24"/>
          <w:lang w:val="en-US" w:eastAsia="zh-CN" w:bidi="ar"/>
        </w:rPr>
        <w:t>乙方或厂家负责设备运输及到货或安装调试工作，整机由原厂技术人员提供设备免费应用、操作培训及售后服务。</w:t>
      </w:r>
    </w:p>
    <w:p w14:paraId="6FC5D88B">
      <w:pPr>
        <w:keepNext w:val="0"/>
        <w:keepLines w:val="0"/>
        <w:widowControl w:val="0"/>
        <w:suppressLineNumbers w:val="0"/>
        <w:spacing w:before="0" w:beforeAutospacing="0" w:after="0" w:afterAutospacing="0" w:line="440" w:lineRule="exact"/>
        <w:ind w:left="566" w:right="0" w:hanging="566" w:hangingChars="236"/>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6.2.4</w:t>
      </w:r>
      <w:r>
        <w:rPr>
          <w:rFonts w:hint="eastAsia" w:ascii="宋体" w:hAnsi="宋体" w:eastAsia="宋体" w:cs="宋体"/>
          <w:kern w:val="2"/>
          <w:sz w:val="24"/>
          <w:szCs w:val="24"/>
          <w:lang w:val="en-US" w:eastAsia="zh-CN" w:bidi="ar"/>
        </w:rPr>
        <w:t>保质保用期后对乙方合同货物提供终身保修服务，如需更换零配件，乙方只收取零配件费。在硬件无改变的情况下，软件终身维护、升级。</w:t>
      </w:r>
    </w:p>
    <w:p w14:paraId="2F96952C">
      <w:pPr>
        <w:keepNext w:val="0"/>
        <w:keepLines w:val="0"/>
        <w:widowControl w:val="0"/>
        <w:suppressLineNumbers w:val="0"/>
        <w:spacing w:before="0" w:beforeAutospacing="0" w:after="0" w:afterAutospacing="0" w:line="440" w:lineRule="exact"/>
        <w:ind w:left="566" w:right="0" w:hanging="566" w:hangingChars="236"/>
        <w:jc w:val="both"/>
        <w:rPr>
          <w:rFonts w:hint="eastAsia" w:ascii="Times New Roman" w:hAnsi="Times New Roman" w:eastAsia="宋体" w:cs="Times New Roman"/>
          <w:color w:val="00B050"/>
          <w:kern w:val="2"/>
          <w:sz w:val="24"/>
          <w:szCs w:val="24"/>
        </w:rPr>
      </w:pPr>
      <w:r>
        <w:rPr>
          <w:rFonts w:hint="default" w:ascii="Times New Roman" w:hAnsi="Times New Roman" w:eastAsia="宋体" w:cs="Times New Roman"/>
          <w:kern w:val="2"/>
          <w:sz w:val="24"/>
          <w:szCs w:val="24"/>
          <w:lang w:val="en-US" w:eastAsia="zh-CN" w:bidi="ar"/>
        </w:rPr>
        <w:t>6.2.5</w:t>
      </w:r>
      <w:r>
        <w:rPr>
          <w:rFonts w:hint="eastAsia" w:ascii="宋体" w:hAnsi="宋体" w:eastAsia="宋体" w:cs="宋体"/>
          <w:kern w:val="2"/>
          <w:sz w:val="24"/>
          <w:szCs w:val="24"/>
          <w:lang w:val="en-US" w:eastAsia="zh-CN" w:bidi="ar"/>
        </w:rPr>
        <w:t>保修期内，乙方负责对其提供的货物整机进行维修和系统维护，不再收取任何费用，但因甲方责任的人为因素、自然因素（如火灾、雷击等）造成的故障除外。</w:t>
      </w:r>
    </w:p>
    <w:p w14:paraId="5D9DF118">
      <w:pPr>
        <w:keepNext w:val="0"/>
        <w:keepLines w:val="0"/>
        <w:widowControl w:val="0"/>
        <w:suppressLineNumbers w:val="0"/>
        <w:spacing w:before="0" w:beforeAutospacing="0" w:after="0" w:afterAutospacing="0" w:line="440" w:lineRule="exact"/>
        <w:ind w:left="566" w:leftChars="68" w:right="0" w:hanging="424" w:hangingChars="177"/>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6.3</w:t>
      </w:r>
      <w:r>
        <w:rPr>
          <w:rFonts w:hint="eastAsia" w:ascii="宋体" w:hAnsi="宋体" w:eastAsia="宋体" w:cs="宋体"/>
          <w:kern w:val="2"/>
          <w:sz w:val="24"/>
          <w:szCs w:val="24"/>
          <w:lang w:val="en-US" w:eastAsia="zh-CN" w:bidi="ar"/>
        </w:rPr>
        <w:t>因设备的质量问题而发生争议，由甲方所在地质检部门进行质量鉴定。设备符合质量标准的，鉴定费用由甲方承担；设备不符合质量标准的，鉴定费用由乙方承担。</w:t>
      </w:r>
    </w:p>
    <w:p w14:paraId="67553CE0">
      <w:pPr>
        <w:keepNext w:val="0"/>
        <w:keepLines w:val="0"/>
        <w:widowControl w:val="0"/>
        <w:suppressLineNumbers w:val="0"/>
        <w:spacing w:before="0" w:beforeAutospacing="0" w:after="0" w:afterAutospacing="0" w:line="440" w:lineRule="exact"/>
        <w:ind w:left="586" w:leftChars="100" w:right="0" w:hanging="376" w:hangingChars="157"/>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6.4</w:t>
      </w:r>
      <w:r>
        <w:rPr>
          <w:rFonts w:hint="eastAsia" w:ascii="宋体" w:hAnsi="宋体" w:eastAsia="宋体" w:cs="宋体"/>
          <w:kern w:val="2"/>
          <w:sz w:val="24"/>
          <w:szCs w:val="24"/>
          <w:lang w:val="en-US" w:eastAsia="zh-CN" w:bidi="ar"/>
        </w:rPr>
        <w:t>乙方无偿培训甲方维修人员，主要内容为设备的基本结构、性能、主要部件的构造及修理，日常使用保养与管理，常见故障的排除，紧急情况的处理等，培训地点主要在设备安装现场或按甲方安排。</w:t>
      </w:r>
    </w:p>
    <w:p w14:paraId="39D32074">
      <w:pPr>
        <w:keepNext w:val="0"/>
        <w:keepLines w:val="0"/>
        <w:widowControl w:val="0"/>
        <w:suppressLineNumbers w:val="0"/>
        <w:spacing w:before="0" w:beforeAutospacing="0" w:after="0" w:afterAutospacing="0" w:line="440" w:lineRule="exact"/>
        <w:ind w:left="930" w:right="0" w:hanging="72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6.5</w:t>
      </w:r>
      <w:r>
        <w:rPr>
          <w:rFonts w:hint="eastAsia" w:ascii="宋体" w:hAnsi="宋体" w:eastAsia="宋体" w:cs="宋体"/>
          <w:kern w:val="2"/>
          <w:sz w:val="24"/>
          <w:szCs w:val="24"/>
          <w:lang w:val="en-US" w:eastAsia="zh-CN" w:bidi="ar"/>
        </w:rPr>
        <w:t>产品如属计量强制检定清单中，乙方需负责完成首次计量强制检定。</w:t>
      </w:r>
    </w:p>
    <w:p w14:paraId="6218DCC0">
      <w:pPr>
        <w:keepNext w:val="0"/>
        <w:keepLines w:val="0"/>
        <w:widowControl w:val="0"/>
        <w:suppressLineNumbers w:val="0"/>
        <w:spacing w:before="0" w:beforeAutospacing="0" w:after="0" w:afterAutospacing="0" w:line="440" w:lineRule="exact"/>
        <w:ind w:left="930" w:right="0" w:hanging="72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1BE3478D">
      <w:pPr>
        <w:keepNext w:val="0"/>
        <w:keepLines w:val="0"/>
        <w:widowControl w:val="0"/>
        <w:suppressLineNumbers w:val="0"/>
        <w:spacing w:before="0" w:beforeAutospacing="0" w:after="0" w:afterAutospacing="0" w:line="440" w:lineRule="exact"/>
        <w:ind w:left="0" w:right="0" w:firstLine="180"/>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7.</w:t>
      </w:r>
      <w:r>
        <w:rPr>
          <w:rFonts w:hint="default" w:ascii="Times New Roman" w:hAnsi="Times New Roman" w:eastAsia="宋体" w:cs="Times New Roman"/>
          <w:b/>
          <w:bCs w:val="0"/>
          <w:kern w:val="2"/>
          <w:sz w:val="24"/>
          <w:szCs w:val="24"/>
          <w:lang w:val="en-US" w:eastAsia="zh-CN" w:bidi="ar"/>
        </w:rPr>
        <w:tab/>
      </w:r>
      <w:r>
        <w:rPr>
          <w:rFonts w:hint="default" w:ascii="Times New Roman" w:hAnsi="Times New Roman"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付款办法</w:t>
      </w:r>
    </w:p>
    <w:p w14:paraId="3724A40A">
      <w:pPr>
        <w:keepNext w:val="0"/>
        <w:keepLines w:val="0"/>
        <w:widowControl w:val="0"/>
        <w:suppressLineNumbers w:val="0"/>
        <w:spacing w:before="0" w:beforeAutospacing="0" w:after="0" w:afterAutospacing="0" w:line="440" w:lineRule="exact"/>
        <w:ind w:left="21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7.1 </w:t>
      </w:r>
      <w:r>
        <w:rPr>
          <w:rFonts w:hint="eastAsia" w:ascii="宋体" w:hAnsi="宋体" w:eastAsia="宋体" w:cs="宋体"/>
          <w:kern w:val="2"/>
          <w:sz w:val="24"/>
          <w:szCs w:val="24"/>
          <w:lang w:val="en-US" w:eastAsia="zh-CN" w:bidi="ar"/>
        </w:rPr>
        <w:t>合同设备全部到指定地点交付并完成安装及验收合格后，乙方向甲方提供以下相应资料和合同全额发票，甲方自收到发票后</w:t>
      </w:r>
      <w:r>
        <w:rPr>
          <w:rFonts w:hint="default" w:ascii="Times New Roman" w:hAnsi="Times New Roman" w:eastAsia="宋体" w:cs="Times New Roman"/>
          <w:kern w:val="2"/>
          <w:sz w:val="24"/>
          <w:szCs w:val="24"/>
          <w:lang w:val="en-US" w:eastAsia="zh-CN" w:bidi="ar"/>
        </w:rPr>
        <w:t>5</w:t>
      </w:r>
      <w:r>
        <w:rPr>
          <w:rFonts w:hint="eastAsia" w:ascii="宋体" w:hAnsi="宋体" w:eastAsia="宋体" w:cs="宋体"/>
          <w:kern w:val="2"/>
          <w:sz w:val="24"/>
          <w:szCs w:val="24"/>
          <w:lang w:val="en-US" w:eastAsia="zh-CN" w:bidi="ar"/>
        </w:rPr>
        <w:t>个工作日内办理支付，支付合同金额的</w:t>
      </w:r>
      <w:r>
        <w:rPr>
          <w:rFonts w:hint="default" w:ascii="Times New Roman" w:hAnsi="Times New Roman" w:eastAsia="宋体" w:cs="Times New Roman"/>
          <w:kern w:val="2"/>
          <w:sz w:val="24"/>
          <w:szCs w:val="24"/>
          <w:lang w:val="en-US" w:eastAsia="zh-CN" w:bidi="ar"/>
        </w:rPr>
        <w:t>100%</w:t>
      </w:r>
      <w:r>
        <w:rPr>
          <w:rFonts w:hint="eastAsia" w:ascii="宋体" w:hAnsi="宋体" w:eastAsia="宋体" w:cs="宋体"/>
          <w:kern w:val="2"/>
          <w:sz w:val="24"/>
          <w:szCs w:val="24"/>
          <w:lang w:val="en-US" w:eastAsia="zh-CN" w:bidi="ar"/>
        </w:rPr>
        <w:t>，即</w:t>
      </w:r>
      <w:r>
        <w:rPr>
          <w:rFonts w:hint="default" w:ascii="Times New Roman" w:hAnsi="Times New Roman" w:eastAsia="宋体" w:cs="Times New Roman"/>
          <w:b/>
          <w:bCs w:val="0"/>
          <w:kern w:val="2"/>
          <w:sz w:val="24"/>
          <w:szCs w:val="24"/>
          <w:u w:val="single"/>
          <w:lang w:val="en-US" w:eastAsia="zh-CN" w:bidi="ar"/>
        </w:rPr>
        <w:t>¥</w:t>
      </w:r>
      <w:r>
        <w:rPr>
          <w:rFonts w:hint="eastAsia" w:ascii="Times New Roman" w:hAnsi="Times New Roman" w:eastAsia="宋体" w:cs="Times New Roman"/>
          <w:b/>
          <w:bCs w:val="0"/>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w:t>
      </w:r>
    </w:p>
    <w:p w14:paraId="4AA1FE84">
      <w:pPr>
        <w:keepNext w:val="0"/>
        <w:keepLines w:val="0"/>
        <w:widowControl w:val="0"/>
        <w:numPr>
          <w:ilvl w:val="0"/>
          <w:numId w:val="4"/>
        </w:numPr>
        <w:suppressLineNumbers w:val="0"/>
        <w:spacing w:before="0" w:beforeAutospacing="0" w:after="0" w:afterAutospacing="0" w:line="440" w:lineRule="exact"/>
        <w:ind w:left="1648" w:right="0" w:hanging="72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验收合格报告；</w:t>
      </w:r>
    </w:p>
    <w:p w14:paraId="3E4F32A3">
      <w:pPr>
        <w:keepNext w:val="0"/>
        <w:keepLines w:val="0"/>
        <w:widowControl w:val="0"/>
        <w:numPr>
          <w:ilvl w:val="0"/>
          <w:numId w:val="4"/>
        </w:numPr>
        <w:suppressLineNumbers w:val="0"/>
        <w:spacing w:before="0" w:beforeAutospacing="0" w:after="0" w:afterAutospacing="0" w:line="440" w:lineRule="exact"/>
        <w:ind w:left="1648" w:right="0" w:hanging="72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报关单或有效商检证明文件</w:t>
      </w:r>
      <w:r>
        <w:rPr>
          <w:rFonts w:hint="default" w:ascii="Times New Roman" w:hAnsi="Times New Roman" w:eastAsia="宋体" w:cs="Times New Roman"/>
          <w:kern w:val="2"/>
          <w:sz w:val="24"/>
          <w:szCs w:val="24"/>
          <w:lang w:val="en-US" w:eastAsia="zh-CN" w:bidi="ar"/>
        </w:rPr>
        <w:t>(</w:t>
      </w:r>
      <w:r>
        <w:rPr>
          <w:rFonts w:hint="eastAsia" w:ascii="宋体" w:hAnsi="宋体" w:eastAsia="宋体" w:cs="宋体"/>
          <w:kern w:val="2"/>
          <w:sz w:val="24"/>
          <w:szCs w:val="24"/>
          <w:lang w:val="en-US" w:eastAsia="zh-CN" w:bidi="ar"/>
        </w:rPr>
        <w:t>如果合同设备为进口货物的情况下要求提供</w:t>
      </w:r>
      <w:r>
        <w:rPr>
          <w:rFonts w:hint="default" w:ascii="Times New Roman" w:hAnsi="Times New Roman" w:eastAsia="宋体" w:cs="Times New Roman"/>
          <w:kern w:val="2"/>
          <w:sz w:val="24"/>
          <w:szCs w:val="24"/>
          <w:lang w:val="en-US" w:eastAsia="zh-CN" w:bidi="ar"/>
        </w:rPr>
        <w:t>)</w:t>
      </w:r>
      <w:r>
        <w:rPr>
          <w:rFonts w:hint="eastAsia" w:ascii="宋体" w:hAnsi="宋体" w:eastAsia="宋体" w:cs="宋体"/>
          <w:kern w:val="2"/>
          <w:sz w:val="24"/>
          <w:szCs w:val="24"/>
          <w:lang w:val="en-US" w:eastAsia="zh-CN" w:bidi="ar"/>
        </w:rPr>
        <w:t>。</w:t>
      </w:r>
    </w:p>
    <w:p w14:paraId="00BFD597">
      <w:pPr>
        <w:keepNext w:val="0"/>
        <w:keepLines w:val="0"/>
        <w:widowControl w:val="0"/>
        <w:suppressLineNumbers w:val="0"/>
        <w:spacing w:before="0" w:beforeAutospacing="0" w:after="0" w:afterAutospacing="0" w:line="440" w:lineRule="exact"/>
        <w:ind w:left="283" w:leftChars="135"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1F466E3C">
      <w:pPr>
        <w:keepNext w:val="0"/>
        <w:keepLines w:val="0"/>
        <w:widowControl w:val="0"/>
        <w:suppressLineNumbers w:val="0"/>
        <w:spacing w:before="0" w:beforeAutospacing="0" w:after="0" w:afterAutospacing="0" w:line="440" w:lineRule="exact"/>
        <w:ind w:left="-2" w:leftChars="-1" w:right="0" w:firstLine="280" w:firstLineChars="117"/>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 xml:space="preserve">8. </w:t>
      </w:r>
      <w:r>
        <w:rPr>
          <w:rFonts w:hint="eastAsia" w:ascii="宋体" w:hAnsi="宋体" w:eastAsia="宋体" w:cs="宋体"/>
          <w:b/>
          <w:bCs w:val="0"/>
          <w:kern w:val="2"/>
          <w:sz w:val="24"/>
          <w:szCs w:val="24"/>
          <w:lang w:val="en-US" w:eastAsia="zh-CN" w:bidi="ar"/>
        </w:rPr>
        <w:t>技术服务</w:t>
      </w:r>
    </w:p>
    <w:p w14:paraId="7E23CC4D">
      <w:pPr>
        <w:keepNext w:val="0"/>
        <w:keepLines w:val="0"/>
        <w:widowControl w:val="0"/>
        <w:suppressLineNumbers w:val="0"/>
        <w:spacing w:before="0" w:beforeAutospacing="0" w:after="0" w:afterAutospacing="0" w:line="440" w:lineRule="exact"/>
        <w:ind w:left="930" w:right="0" w:hanging="72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8.1</w:t>
      </w:r>
      <w:r>
        <w:rPr>
          <w:rFonts w:hint="default" w:ascii="Times New Roman" w:hAnsi="Times New Roman"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乙方应派员到甲方指定地点配合工作。</w:t>
      </w:r>
    </w:p>
    <w:p w14:paraId="1C07BFFD">
      <w:pPr>
        <w:keepNext w:val="0"/>
        <w:keepLines w:val="0"/>
        <w:widowControl w:val="0"/>
        <w:suppressLineNumbers w:val="0"/>
        <w:spacing w:before="0" w:beforeAutospacing="0" w:after="0" w:afterAutospacing="0" w:line="440" w:lineRule="exact"/>
        <w:ind w:left="981" w:leftChars="250" w:right="0" w:hanging="456" w:hangingChars="19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8.2</w:t>
      </w:r>
      <w:r>
        <w:rPr>
          <w:rFonts w:hint="eastAsia" w:ascii="宋体" w:hAnsi="宋体" w:eastAsia="宋体" w:cs="宋体"/>
          <w:kern w:val="2"/>
          <w:sz w:val="24"/>
          <w:szCs w:val="24"/>
          <w:lang w:val="en-US" w:eastAsia="zh-CN" w:bidi="ar"/>
        </w:rPr>
        <w:t>乙方按甲方提供的合同执行进度计划，再配合甲方及有关单位，以此做好合同执行进度上的配合工作。</w:t>
      </w:r>
    </w:p>
    <w:p w14:paraId="06B82D33">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73B4BA17">
      <w:pPr>
        <w:pStyle w:val="33"/>
        <w:keepNext w:val="0"/>
        <w:keepLines w:val="0"/>
        <w:widowControl w:val="0"/>
        <w:suppressLineNumbers w:val="0"/>
        <w:spacing w:before="0" w:beforeAutospacing="0" w:after="0" w:afterAutospacing="0" w:line="440" w:lineRule="exact"/>
        <w:ind w:left="931" w:right="0" w:hanging="721"/>
        <w:jc w:val="both"/>
        <w:rPr>
          <w:rFonts w:hint="default" w:ascii="Times New Roman" w:hAnsi="Times New Roman" w:eastAsia="宋体" w:cs="Times New Roman"/>
          <w:b w:val="0"/>
          <w:kern w:val="2"/>
          <w:sz w:val="21"/>
          <w:szCs w:val="21"/>
        </w:rPr>
      </w:pPr>
      <w:r>
        <w:rPr>
          <w:rFonts w:hint="default" w:ascii="Times New Roman" w:hAnsi="Times New Roman" w:eastAsia="宋体" w:cs="Times New Roman"/>
          <w:b/>
          <w:bCs w:val="0"/>
          <w:kern w:val="2"/>
          <w:sz w:val="24"/>
          <w:szCs w:val="24"/>
          <w:lang w:val="en-US" w:eastAsia="zh-CN" w:bidi="ar"/>
        </w:rPr>
        <w:t xml:space="preserve">9. </w:t>
      </w:r>
      <w:r>
        <w:rPr>
          <w:rFonts w:hint="eastAsia" w:ascii="宋体" w:hAnsi="宋体" w:eastAsia="宋体" w:cs="宋体"/>
          <w:b/>
          <w:bCs w:val="0"/>
          <w:kern w:val="2"/>
          <w:sz w:val="24"/>
          <w:szCs w:val="24"/>
          <w:lang w:val="en-US" w:eastAsia="zh-CN" w:bidi="ar"/>
        </w:rPr>
        <w:t>不可抗力</w:t>
      </w:r>
    </w:p>
    <w:p w14:paraId="360A2F6E">
      <w:pPr>
        <w:pStyle w:val="33"/>
        <w:keepNext w:val="0"/>
        <w:keepLines w:val="0"/>
        <w:widowControl w:val="0"/>
        <w:suppressLineNumbers w:val="0"/>
        <w:spacing w:before="0" w:beforeAutospacing="0" w:after="0" w:afterAutospacing="0" w:line="360" w:lineRule="auto"/>
        <w:ind w:left="844" w:right="0" w:hanging="626"/>
        <w:jc w:val="both"/>
        <w:rPr>
          <w:rFonts w:hint="default" w:ascii="Times New Roman" w:hAnsi="Times New Roman" w:eastAsia="宋体" w:cs="Times New Roman"/>
          <w:b w:val="0"/>
          <w:kern w:val="2"/>
          <w:sz w:val="24"/>
          <w:szCs w:val="24"/>
        </w:rPr>
      </w:pPr>
      <w:r>
        <w:rPr>
          <w:rFonts w:hint="default" w:ascii="Times New Roman" w:hAnsi="Times New Roman" w:eastAsia="宋体" w:cs="Times New Roman"/>
          <w:b w:val="0"/>
          <w:kern w:val="2"/>
          <w:sz w:val="24"/>
          <w:szCs w:val="24"/>
          <w:lang w:val="en-US" w:eastAsia="zh-CN" w:bidi="ar"/>
        </w:rPr>
        <w:t>9.1</w:t>
      </w:r>
      <w:r>
        <w:rPr>
          <w:rFonts w:hint="eastAsia" w:ascii="宋体" w:hAnsi="宋体" w:eastAsia="宋体" w:cs="宋体"/>
          <w:b w:val="0"/>
          <w:kern w:val="2"/>
          <w:sz w:val="24"/>
          <w:szCs w:val="24"/>
          <w:lang w:val="en-US" w:eastAsia="zh-CN" w:bidi="ar"/>
        </w:rPr>
        <w:t>不可抗力指战争、严重火灾、洪水、台风、地震等或其它双方认定的不可抗力事件。</w:t>
      </w:r>
    </w:p>
    <w:p w14:paraId="52E89E20">
      <w:pPr>
        <w:pStyle w:val="33"/>
        <w:keepNext w:val="0"/>
        <w:keepLines w:val="0"/>
        <w:widowControl w:val="0"/>
        <w:suppressLineNumbers w:val="0"/>
        <w:spacing w:before="0" w:beforeAutospacing="1" w:after="0" w:afterAutospacing="1" w:line="360" w:lineRule="auto"/>
        <w:ind w:left="540" w:right="0" w:hanging="330"/>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9.2</w:t>
      </w:r>
      <w:r>
        <w:rPr>
          <w:rFonts w:hint="eastAsia" w:ascii="宋体" w:hAnsi="宋体" w:eastAsia="宋体" w:cs="宋体"/>
          <w:kern w:val="2"/>
          <w:sz w:val="24"/>
          <w:szCs w:val="24"/>
          <w:lang w:val="en-US" w:eastAsia="zh-CN" w:bidi="ar"/>
        </w:rPr>
        <w:t>签约双方中任何一方由于不可抗力影响合同执行时，发生不可抗力一方应尽快将事故通知另一方。在此情况下，乙方仍然有责任采取必要的措施加速供货，双方应通过友好协商尽快解决本合同的执行问题。</w:t>
      </w:r>
    </w:p>
    <w:p w14:paraId="57D1A406">
      <w:pPr>
        <w:pStyle w:val="33"/>
        <w:keepNext w:val="0"/>
        <w:keepLines w:val="0"/>
        <w:widowControl w:val="0"/>
        <w:suppressLineNumbers w:val="0"/>
        <w:spacing w:before="0" w:beforeAutospacing="1" w:after="0" w:afterAutospacing="1" w:line="440" w:lineRule="exact"/>
        <w:ind w:left="540" w:right="0" w:hanging="33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 </w:t>
      </w:r>
    </w:p>
    <w:p w14:paraId="4EEC4F0E">
      <w:pPr>
        <w:keepNext w:val="0"/>
        <w:keepLines w:val="0"/>
        <w:widowControl w:val="0"/>
        <w:suppressLineNumbers w:val="0"/>
        <w:spacing w:before="0" w:beforeAutospacing="0" w:after="0" w:afterAutospacing="0" w:line="440" w:lineRule="exact"/>
        <w:ind w:left="931" w:right="0" w:hanging="751"/>
        <w:jc w:val="both"/>
        <w:rPr>
          <w:rFonts w:hint="default" w:ascii="Times New Roman" w:hAnsi="Times New Roman" w:eastAsia="宋体" w:cs="Times New Roman"/>
          <w:kern w:val="2"/>
          <w:sz w:val="21"/>
          <w:szCs w:val="21"/>
        </w:rPr>
      </w:pPr>
      <w:r>
        <w:rPr>
          <w:rFonts w:hint="default" w:ascii="Times New Roman" w:hAnsi="Times New Roman" w:eastAsia="宋体" w:cs="Times New Roman"/>
          <w:b/>
          <w:bCs w:val="0"/>
          <w:kern w:val="2"/>
          <w:sz w:val="24"/>
          <w:szCs w:val="24"/>
          <w:lang w:val="en-US" w:eastAsia="zh-CN" w:bidi="ar"/>
        </w:rPr>
        <w:t xml:space="preserve">10. </w:t>
      </w:r>
      <w:r>
        <w:rPr>
          <w:rFonts w:hint="eastAsia" w:ascii="宋体" w:hAnsi="宋体" w:eastAsia="宋体" w:cs="宋体"/>
          <w:b/>
          <w:bCs w:val="0"/>
          <w:kern w:val="2"/>
          <w:sz w:val="24"/>
          <w:szCs w:val="24"/>
          <w:lang w:val="en-US" w:eastAsia="zh-CN" w:bidi="ar"/>
        </w:rPr>
        <w:t>索赔</w:t>
      </w:r>
    </w:p>
    <w:p w14:paraId="32E54274">
      <w:pPr>
        <w:keepNext w:val="0"/>
        <w:keepLines w:val="0"/>
        <w:widowControl w:val="0"/>
        <w:suppressLineNumbers w:val="0"/>
        <w:spacing w:before="0" w:beforeAutospacing="0" w:after="0" w:afterAutospacing="0" w:line="440" w:lineRule="exact"/>
        <w:ind w:left="930" w:right="0" w:hanging="72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10.1</w:t>
      </w:r>
      <w:r>
        <w:rPr>
          <w:rFonts w:hint="eastAsia" w:ascii="宋体" w:hAnsi="宋体" w:eastAsia="宋体" w:cs="宋体"/>
          <w:kern w:val="2"/>
          <w:sz w:val="24"/>
          <w:szCs w:val="24"/>
          <w:lang w:val="en-US" w:eastAsia="zh-CN" w:bidi="ar"/>
        </w:rPr>
        <w:t>如有异议，甲方有权根据有关政府部门的检验结果向乙方提出索赔。</w:t>
      </w:r>
    </w:p>
    <w:p w14:paraId="6174375E">
      <w:pPr>
        <w:keepNext w:val="0"/>
        <w:keepLines w:val="0"/>
        <w:widowControl w:val="0"/>
        <w:suppressLineNumbers w:val="0"/>
        <w:spacing w:before="0" w:beforeAutospacing="0" w:after="0" w:afterAutospacing="0" w:line="440" w:lineRule="exact"/>
        <w:ind w:left="720" w:right="0" w:hanging="51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10.2</w:t>
      </w:r>
      <w:r>
        <w:rPr>
          <w:rFonts w:hint="eastAsia" w:ascii="宋体" w:hAnsi="宋体" w:eastAsia="宋体" w:cs="宋体"/>
          <w:kern w:val="2"/>
          <w:sz w:val="24"/>
          <w:szCs w:val="24"/>
          <w:lang w:val="en-US" w:eastAsia="zh-CN" w:bidi="ar"/>
        </w:rPr>
        <w:t>在合同执行期间，如果乙方对甲方提出的索赔和差异负有责任，乙方应按照甲方同意的下列一种或多种方式解决索赔事宜：</w:t>
      </w:r>
    </w:p>
    <w:p w14:paraId="79CC09AA">
      <w:pPr>
        <w:keepNext w:val="0"/>
        <w:keepLines w:val="0"/>
        <w:widowControl w:val="0"/>
        <w:numPr>
          <w:ilvl w:val="0"/>
          <w:numId w:val="5"/>
        </w:numPr>
        <w:suppressLineNumbers w:val="0"/>
        <w:tabs>
          <w:tab w:val="left" w:pos="1680"/>
        </w:tabs>
        <w:spacing w:before="0" w:beforeAutospacing="0" w:after="0" w:afterAutospacing="0" w:line="440" w:lineRule="exact"/>
        <w:ind w:left="1678" w:right="0" w:hanging="84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乙方同意退货，并按合同规定的同种货币将货款退还给甲方，并承担由此发生的一切损失和费用。</w:t>
      </w:r>
    </w:p>
    <w:p w14:paraId="1D75B1C6">
      <w:pPr>
        <w:keepNext w:val="0"/>
        <w:keepLines w:val="0"/>
        <w:widowControl w:val="0"/>
        <w:numPr>
          <w:ilvl w:val="0"/>
          <w:numId w:val="5"/>
        </w:numPr>
        <w:suppressLineNumbers w:val="0"/>
        <w:tabs>
          <w:tab w:val="left" w:pos="1680"/>
        </w:tabs>
        <w:spacing w:before="0" w:beforeAutospacing="0" w:after="0" w:afterAutospacing="0" w:line="440" w:lineRule="exact"/>
        <w:ind w:left="1678" w:right="0" w:hanging="84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根据货物低劣程度、损坏程度以及甲方所遭受损失的数额甲乙双方商定降低货物的价格。</w:t>
      </w:r>
    </w:p>
    <w:p w14:paraId="4D566801">
      <w:pPr>
        <w:keepNext w:val="0"/>
        <w:keepLines w:val="0"/>
        <w:widowControl w:val="0"/>
        <w:numPr>
          <w:ilvl w:val="0"/>
          <w:numId w:val="5"/>
        </w:numPr>
        <w:suppressLineNumbers w:val="0"/>
        <w:tabs>
          <w:tab w:val="left" w:pos="1680"/>
        </w:tabs>
        <w:spacing w:before="0" w:beforeAutospacing="0" w:after="0" w:afterAutospacing="0" w:line="440" w:lineRule="exact"/>
        <w:ind w:left="1678" w:right="0" w:hanging="840"/>
        <w:jc w:val="both"/>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用符合规格、质量和性能要求的新零件、部件或货物来更换有缺陷的部分或修补缺陷的部分，乙方应承担一切费用和风险并负担甲方所发生的一切直接费用。同时，相应延长质量保证期。</w:t>
      </w:r>
    </w:p>
    <w:p w14:paraId="1731787F">
      <w:pPr>
        <w:keepNext w:val="0"/>
        <w:keepLines w:val="0"/>
        <w:widowControl w:val="0"/>
        <w:suppressLineNumbers w:val="0"/>
        <w:spacing w:before="0" w:beforeAutospacing="0" w:after="0" w:afterAutospacing="0" w:line="440" w:lineRule="exact"/>
        <w:ind w:left="720" w:right="0" w:hanging="510"/>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10.3</w:t>
      </w:r>
      <w:r>
        <w:rPr>
          <w:rFonts w:hint="eastAsia" w:ascii="宋体" w:hAnsi="宋体" w:eastAsia="宋体" w:cs="宋体"/>
          <w:kern w:val="2"/>
          <w:sz w:val="24"/>
          <w:szCs w:val="24"/>
          <w:lang w:val="en-US" w:eastAsia="zh-CN" w:bidi="ar"/>
        </w:rPr>
        <w:t>如果在甲方发出索赔通知后</w:t>
      </w:r>
      <w:r>
        <w:rPr>
          <w:rFonts w:hint="default" w:ascii="Times New Roman" w:hAnsi="Times New Roman" w:eastAsia="宋体" w:cs="Times New Roman"/>
          <w:kern w:val="2"/>
          <w:sz w:val="24"/>
          <w:szCs w:val="24"/>
          <w:lang w:val="en-US" w:eastAsia="zh-CN" w:bidi="ar"/>
        </w:rPr>
        <w:t>30</w:t>
      </w:r>
      <w:r>
        <w:rPr>
          <w:rFonts w:hint="eastAsia" w:ascii="宋体" w:hAnsi="宋体" w:eastAsia="宋体" w:cs="宋体"/>
          <w:kern w:val="2"/>
          <w:sz w:val="24"/>
          <w:szCs w:val="24"/>
          <w:lang w:val="en-US" w:eastAsia="zh-CN" w:bidi="ar"/>
        </w:rPr>
        <w:t>天内，乙方未作答复，上述索赔应视为已被乙方接受。甲方将从合同款项中扣回索赔金额。如果这些金额不足以补偿索赔金额，甲方有权向乙方提出不足部分的补偿。</w:t>
      </w:r>
    </w:p>
    <w:p w14:paraId="773B0D92">
      <w:pPr>
        <w:keepNext w:val="0"/>
        <w:keepLines w:val="0"/>
        <w:widowControl w:val="0"/>
        <w:suppressLineNumbers w:val="0"/>
        <w:spacing w:before="0" w:beforeAutospacing="0" w:after="0" w:afterAutospacing="0" w:line="440" w:lineRule="exact"/>
        <w:ind w:left="720" w:right="0" w:hanging="510"/>
        <w:jc w:val="both"/>
        <w:rPr>
          <w:rFonts w:hint="eastAsia" w:ascii="Times New Roman" w:hAnsi="Times New Roman" w:eastAsia="宋体" w:cs="Times New Roman"/>
          <w:kern w:val="2"/>
          <w:sz w:val="24"/>
          <w:szCs w:val="24"/>
        </w:rPr>
      </w:pPr>
      <w:r>
        <w:rPr>
          <w:rFonts w:hint="eastAsia" w:ascii="Times New Roman" w:hAnsi="Times New Roman" w:eastAsia="宋体" w:cs="Times New Roman"/>
          <w:kern w:val="2"/>
          <w:sz w:val="24"/>
          <w:szCs w:val="24"/>
          <w:lang w:val="en-US" w:eastAsia="zh-CN" w:bidi="ar"/>
        </w:rPr>
        <w:t xml:space="preserve"> </w:t>
      </w:r>
    </w:p>
    <w:p w14:paraId="32CD308D">
      <w:pPr>
        <w:keepNext w:val="0"/>
        <w:keepLines w:val="0"/>
        <w:widowControl w:val="0"/>
        <w:suppressLineNumbers w:val="0"/>
        <w:spacing w:before="0" w:beforeAutospacing="0" w:after="0" w:afterAutospacing="0" w:line="440" w:lineRule="exact"/>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b/>
          <w:bCs w:val="0"/>
          <w:kern w:val="2"/>
          <w:sz w:val="24"/>
          <w:szCs w:val="24"/>
          <w:lang w:val="en-US" w:eastAsia="zh-CN" w:bidi="ar"/>
        </w:rPr>
        <w:t xml:space="preserve">11. </w:t>
      </w:r>
      <w:r>
        <w:rPr>
          <w:rFonts w:hint="eastAsia" w:ascii="宋体" w:hAnsi="宋体" w:eastAsia="宋体" w:cs="宋体"/>
          <w:b/>
          <w:bCs w:val="0"/>
          <w:kern w:val="2"/>
          <w:sz w:val="24"/>
          <w:szCs w:val="24"/>
          <w:lang w:val="en-US" w:eastAsia="zh-CN" w:bidi="ar"/>
        </w:rPr>
        <w:t>违约与处罚</w:t>
      </w:r>
    </w:p>
    <w:p w14:paraId="2B1718C9">
      <w:pPr>
        <w:keepNext w:val="0"/>
        <w:keepLines w:val="0"/>
        <w:widowControl w:val="0"/>
        <w:suppressLineNumbers w:val="0"/>
        <w:spacing w:before="0" w:beforeAutospacing="0" w:after="0" w:afterAutospacing="0" w:line="440" w:lineRule="exact"/>
        <w:ind w:left="709" w:right="0" w:hanging="499"/>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11.1</w:t>
      </w:r>
      <w:r>
        <w:rPr>
          <w:rFonts w:hint="eastAsia" w:ascii="宋体" w:hAnsi="宋体" w:eastAsia="宋体" w:cs="宋体"/>
          <w:kern w:val="2"/>
          <w:sz w:val="24"/>
          <w:szCs w:val="24"/>
          <w:lang w:val="en-US" w:eastAsia="zh-CN" w:bidi="ar"/>
        </w:rPr>
        <w:t>甲方逾期支付合同款项的，乙方可按有关法律规定追缴相应费用，但因乙方自身原因导致无法及时支付的除外。</w:t>
      </w:r>
    </w:p>
    <w:p w14:paraId="6889D4F0">
      <w:pPr>
        <w:keepNext w:val="0"/>
        <w:keepLines w:val="0"/>
        <w:widowControl w:val="0"/>
        <w:suppressLineNumbers w:val="0"/>
        <w:spacing w:before="0" w:beforeAutospacing="0" w:after="0" w:afterAutospacing="0" w:line="440" w:lineRule="exact"/>
        <w:ind w:left="709" w:right="0" w:hanging="499"/>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11.2</w:t>
      </w:r>
      <w:r>
        <w:rPr>
          <w:rFonts w:hint="eastAsia" w:ascii="宋体" w:hAnsi="宋体" w:eastAsia="宋体" w:cs="宋体"/>
          <w:color w:val="000000"/>
          <w:kern w:val="2"/>
          <w:sz w:val="24"/>
          <w:szCs w:val="24"/>
          <w:lang w:val="en-US" w:eastAsia="zh-CN" w:bidi="ar"/>
        </w:rPr>
        <w:t>乙方</w:t>
      </w:r>
      <w:r>
        <w:rPr>
          <w:rFonts w:hint="eastAsia" w:ascii="宋体" w:hAnsi="宋体" w:eastAsia="宋体" w:cs="宋体"/>
          <w:kern w:val="2"/>
          <w:sz w:val="24"/>
          <w:szCs w:val="24"/>
          <w:lang w:val="en-US" w:eastAsia="zh-CN" w:bidi="ar"/>
        </w:rPr>
        <w:t>未能按时交货或提供维护服务的，每拖延1天，须向甲方支付合同金额的5‰的违约金。逾期18日，须向甲方支付合同金额的20%的违约金，甲方有权单方解除合同，乙方应赔偿甲方因此产生的全部损失。</w:t>
      </w:r>
    </w:p>
    <w:p w14:paraId="76982F6A">
      <w:pPr>
        <w:keepNext w:val="0"/>
        <w:keepLines w:val="0"/>
        <w:widowControl w:val="0"/>
        <w:suppressLineNumbers w:val="0"/>
        <w:spacing w:before="0" w:beforeAutospacing="0" w:after="0" w:afterAutospacing="0" w:line="440" w:lineRule="exact"/>
        <w:ind w:left="709" w:leftChars="92" w:right="0" w:hanging="516" w:hangingChars="215"/>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11.3 </w:t>
      </w:r>
      <w:r>
        <w:rPr>
          <w:rFonts w:hint="eastAsia" w:ascii="宋体" w:hAnsi="宋体" w:eastAsia="宋体" w:cs="宋体"/>
          <w:kern w:val="2"/>
          <w:sz w:val="24"/>
          <w:szCs w:val="24"/>
          <w:lang w:val="en-US" w:eastAsia="zh-CN" w:bidi="ar"/>
        </w:rPr>
        <w:t>乙方交付的货物不符合合同规定质量标准的，甲方有权拒收，乙方向甲方支付合同金额的</w:t>
      </w:r>
      <w:r>
        <w:rPr>
          <w:rFonts w:hint="default" w:ascii="Times New Roman" w:hAnsi="Times New Roman" w:eastAsia="宋体" w:cs="Times New Roman"/>
          <w:kern w:val="2"/>
          <w:sz w:val="24"/>
          <w:szCs w:val="24"/>
          <w:lang w:val="en-US" w:eastAsia="zh-CN" w:bidi="ar"/>
        </w:rPr>
        <w:t>5%</w:t>
      </w:r>
      <w:r>
        <w:rPr>
          <w:rFonts w:hint="eastAsia" w:ascii="宋体" w:hAnsi="宋体" w:eastAsia="宋体" w:cs="宋体"/>
          <w:kern w:val="2"/>
          <w:sz w:val="24"/>
          <w:szCs w:val="24"/>
          <w:lang w:val="en-US" w:eastAsia="zh-CN" w:bidi="ar"/>
        </w:rPr>
        <w:t>的违约金</w:t>
      </w:r>
      <w:r>
        <w:rPr>
          <w:rFonts w:hint="eastAsia" w:ascii="宋体" w:hAnsi="宋体" w:eastAsia="宋体" w:cs="宋体"/>
          <w:color w:val="000000"/>
          <w:kern w:val="2"/>
          <w:sz w:val="24"/>
          <w:szCs w:val="24"/>
          <w:lang w:val="en-US" w:eastAsia="zh-CN" w:bidi="ar"/>
        </w:rPr>
        <w:t>，甲方有权单方解除合同，乙方应赔偿甲方因此产生的全部损失</w:t>
      </w:r>
      <w:r>
        <w:rPr>
          <w:rFonts w:hint="eastAsia" w:ascii="宋体" w:hAnsi="宋体" w:eastAsia="宋体" w:cs="宋体"/>
          <w:kern w:val="2"/>
          <w:sz w:val="24"/>
          <w:szCs w:val="24"/>
          <w:lang w:val="en-US" w:eastAsia="zh-CN" w:bidi="ar"/>
        </w:rPr>
        <w:t>。</w:t>
      </w:r>
    </w:p>
    <w:p w14:paraId="53E07F6D">
      <w:pPr>
        <w:keepNext w:val="0"/>
        <w:keepLines w:val="0"/>
        <w:widowControl w:val="0"/>
        <w:suppressLineNumbers w:val="0"/>
        <w:spacing w:before="0" w:beforeAutospacing="0" w:after="0" w:afterAutospacing="0" w:line="440" w:lineRule="exact"/>
        <w:ind w:left="944" w:right="0" w:hanging="734"/>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 xml:space="preserve">11.4 </w:t>
      </w:r>
      <w:r>
        <w:rPr>
          <w:rFonts w:hint="eastAsia" w:ascii="宋体" w:hAnsi="宋体" w:eastAsia="宋体" w:cs="宋体"/>
          <w:kern w:val="2"/>
          <w:sz w:val="24"/>
          <w:szCs w:val="24"/>
          <w:lang w:val="en-US" w:eastAsia="zh-CN" w:bidi="ar"/>
        </w:rPr>
        <w:t>甲方无正当理由拒收货物的，甲方向乙方支付合同金额的</w:t>
      </w:r>
      <w:r>
        <w:rPr>
          <w:rFonts w:hint="default" w:ascii="Times New Roman" w:hAnsi="Times New Roman" w:eastAsia="宋体" w:cs="Times New Roman"/>
          <w:kern w:val="2"/>
          <w:sz w:val="24"/>
          <w:szCs w:val="24"/>
          <w:lang w:val="en-US" w:eastAsia="zh-CN" w:bidi="ar"/>
        </w:rPr>
        <w:t>5%</w:t>
      </w:r>
      <w:r>
        <w:rPr>
          <w:rFonts w:hint="eastAsia" w:ascii="宋体" w:hAnsi="宋体" w:eastAsia="宋体" w:cs="宋体"/>
          <w:kern w:val="2"/>
          <w:sz w:val="24"/>
          <w:szCs w:val="24"/>
          <w:lang w:val="en-US" w:eastAsia="zh-CN" w:bidi="ar"/>
        </w:rPr>
        <w:t>的违约金。</w:t>
      </w:r>
    </w:p>
    <w:p w14:paraId="09BEC761">
      <w:pPr>
        <w:keepNext w:val="0"/>
        <w:keepLines w:val="0"/>
        <w:widowControl/>
        <w:suppressLineNumbers w:val="0"/>
        <w:spacing w:before="0" w:beforeAutospacing="0" w:after="0" w:afterAutospacing="0" w:line="440" w:lineRule="exact"/>
        <w:ind w:left="708" w:leftChars="86" w:right="0" w:hanging="528" w:hangingChars="220"/>
        <w:jc w:val="left"/>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11.</w:t>
      </w:r>
      <w:r>
        <w:rPr>
          <w:rFonts w:hint="default" w:cs="Times New Roman"/>
          <w:kern w:val="2"/>
          <w:sz w:val="24"/>
          <w:szCs w:val="24"/>
          <w:lang w:eastAsia="zh-CN" w:bidi="ar"/>
        </w:rPr>
        <w:t>5</w:t>
      </w:r>
      <w:r>
        <w:rPr>
          <w:rFonts w:hint="default" w:ascii="Times New Roman" w:hAnsi="Times New Roman"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因货物质量问题或维修、维护不及时造成甲方或第三方财产或人身损害的一切损失，由乙方承担赔偿责任</w:t>
      </w:r>
      <w:r>
        <w:rPr>
          <w:rFonts w:hint="eastAsia" w:ascii="宋体" w:hAnsi="宋体" w:eastAsia="宋体" w:cs="宋体"/>
          <w:color w:val="000000"/>
          <w:kern w:val="2"/>
          <w:sz w:val="24"/>
          <w:szCs w:val="24"/>
          <w:lang w:val="en-US" w:eastAsia="zh-CN" w:bidi="ar"/>
        </w:rPr>
        <w:t>，甲方有权单方解除合同</w:t>
      </w:r>
      <w:r>
        <w:rPr>
          <w:rFonts w:hint="eastAsia" w:ascii="宋体" w:hAnsi="宋体" w:eastAsia="宋体" w:cs="宋体"/>
          <w:kern w:val="2"/>
          <w:sz w:val="24"/>
          <w:szCs w:val="24"/>
          <w:lang w:val="en-US" w:eastAsia="zh-CN" w:bidi="ar"/>
        </w:rPr>
        <w:t>。</w:t>
      </w:r>
    </w:p>
    <w:p w14:paraId="400D873B">
      <w:pPr>
        <w:keepNext w:val="0"/>
        <w:keepLines w:val="0"/>
        <w:widowControl/>
        <w:suppressLineNumbers w:val="0"/>
        <w:spacing w:before="0" w:beforeAutospacing="0" w:after="0" w:afterAutospacing="0" w:line="440" w:lineRule="exact"/>
        <w:ind w:left="180" w:leftChars="86" w:right="0"/>
        <w:jc w:val="left"/>
        <w:rPr>
          <w:rFonts w:hint="eastAsia" w:ascii="Times New Roman" w:hAnsi="Times New Roman" w:eastAsia="宋体" w:cs="Times New Roman"/>
          <w:kern w:val="2"/>
          <w:sz w:val="24"/>
          <w:szCs w:val="24"/>
        </w:rPr>
      </w:pPr>
      <w:r>
        <w:rPr>
          <w:rFonts w:hint="eastAsia" w:ascii="Times New Roman" w:hAnsi="Times New Roman" w:eastAsia="宋体" w:cs="Times New Roman"/>
          <w:kern w:val="2"/>
          <w:sz w:val="24"/>
          <w:szCs w:val="24"/>
          <w:lang w:val="en-US" w:eastAsia="zh-CN" w:bidi="ar"/>
        </w:rPr>
        <w:t xml:space="preserve"> </w:t>
      </w:r>
    </w:p>
    <w:p w14:paraId="58210873">
      <w:pPr>
        <w:keepNext w:val="0"/>
        <w:keepLines w:val="0"/>
        <w:widowControl w:val="0"/>
        <w:suppressLineNumbers w:val="0"/>
        <w:spacing w:before="0" w:beforeAutospacing="0" w:after="0" w:afterAutospacing="0" w:line="440" w:lineRule="exact"/>
        <w:ind w:left="210" w:right="0"/>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 xml:space="preserve">12 </w:t>
      </w:r>
      <w:r>
        <w:rPr>
          <w:rFonts w:hint="eastAsia" w:ascii="宋体" w:hAnsi="宋体" w:eastAsia="宋体" w:cs="宋体"/>
          <w:b/>
          <w:bCs w:val="0"/>
          <w:kern w:val="2"/>
          <w:sz w:val="24"/>
          <w:szCs w:val="24"/>
          <w:lang w:val="en-US" w:eastAsia="zh-CN" w:bidi="ar"/>
        </w:rPr>
        <w:t>合同终止</w:t>
      </w:r>
    </w:p>
    <w:p w14:paraId="629C7B76">
      <w:pPr>
        <w:keepNext w:val="0"/>
        <w:keepLines w:val="0"/>
        <w:widowControl w:val="0"/>
        <w:suppressLineNumbers w:val="0"/>
        <w:spacing w:before="0" w:beforeAutospacing="0" w:after="0" w:afterAutospacing="0" w:line="440" w:lineRule="exact"/>
        <w:ind w:left="630" w:leftChars="300" w:right="0"/>
        <w:jc w:val="both"/>
        <w:rPr>
          <w:rFonts w:hint="eastAsia"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如果一方严重违反合同，并在另一方发出改正违约通知书之日起</w:t>
      </w:r>
      <w:r>
        <w:rPr>
          <w:rFonts w:hint="default" w:ascii="Times New Roman" w:hAnsi="Times New Roman" w:eastAsia="宋体" w:cs="Times New Roman"/>
          <w:kern w:val="2"/>
          <w:sz w:val="24"/>
          <w:szCs w:val="24"/>
          <w:lang w:val="en-US" w:eastAsia="zh-CN" w:bidi="ar"/>
        </w:rPr>
        <w:t>30</w:t>
      </w:r>
      <w:r>
        <w:rPr>
          <w:rFonts w:hint="eastAsia" w:ascii="宋体" w:hAnsi="宋体" w:eastAsia="宋体" w:cs="宋体"/>
          <w:kern w:val="2"/>
          <w:sz w:val="24"/>
          <w:szCs w:val="24"/>
          <w:lang w:val="en-US" w:eastAsia="zh-CN" w:bidi="ar"/>
        </w:rPr>
        <w:t>个日历天内仍未能改正违约行为的，可解除合同并要求违约方支付违约金。</w:t>
      </w:r>
    </w:p>
    <w:p w14:paraId="46E5BB7B">
      <w:pPr>
        <w:keepNext w:val="0"/>
        <w:keepLines w:val="0"/>
        <w:widowControl w:val="0"/>
        <w:suppressLineNumbers w:val="0"/>
        <w:spacing w:before="0" w:beforeAutospacing="0" w:after="0" w:afterAutospacing="0" w:line="440" w:lineRule="exact"/>
        <w:ind w:left="630" w:leftChars="300" w:right="0"/>
        <w:jc w:val="both"/>
        <w:rPr>
          <w:rFonts w:hint="eastAsia" w:ascii="Times New Roman" w:hAnsi="Times New Roman" w:eastAsia="宋体" w:cs="Times New Roman"/>
          <w:kern w:val="2"/>
          <w:sz w:val="24"/>
          <w:szCs w:val="24"/>
        </w:rPr>
      </w:pPr>
      <w:r>
        <w:rPr>
          <w:rFonts w:hint="eastAsia" w:ascii="Times New Roman" w:hAnsi="Times New Roman" w:eastAsia="宋体" w:cs="Times New Roman"/>
          <w:kern w:val="2"/>
          <w:sz w:val="24"/>
          <w:szCs w:val="24"/>
          <w:lang w:val="en-US" w:eastAsia="zh-CN" w:bidi="ar"/>
        </w:rPr>
        <w:t xml:space="preserve"> </w:t>
      </w:r>
    </w:p>
    <w:p w14:paraId="75E2FF24">
      <w:pPr>
        <w:keepNext w:val="0"/>
        <w:keepLines w:val="0"/>
        <w:widowControl w:val="0"/>
        <w:suppressLineNumbers w:val="0"/>
        <w:spacing w:before="0" w:beforeAutospacing="0" w:after="0" w:afterAutospacing="0" w:line="440" w:lineRule="exact"/>
        <w:ind w:left="0" w:right="0" w:firstLine="207"/>
        <w:jc w:val="both"/>
        <w:rPr>
          <w:rFonts w:hint="default"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4"/>
          <w:szCs w:val="24"/>
          <w:lang w:val="en-US" w:eastAsia="zh-CN" w:bidi="ar"/>
        </w:rPr>
        <w:t xml:space="preserve">13. </w:t>
      </w:r>
      <w:r>
        <w:rPr>
          <w:rFonts w:hint="eastAsia" w:ascii="宋体" w:hAnsi="宋体" w:eastAsia="宋体" w:cs="宋体"/>
          <w:b/>
          <w:bCs w:val="0"/>
          <w:kern w:val="2"/>
          <w:sz w:val="24"/>
          <w:szCs w:val="24"/>
          <w:lang w:val="en-US" w:eastAsia="zh-CN" w:bidi="ar"/>
        </w:rPr>
        <w:t>法律诉讼</w:t>
      </w:r>
    </w:p>
    <w:p w14:paraId="185E3B51">
      <w:pPr>
        <w:keepNext w:val="0"/>
        <w:keepLines w:val="0"/>
        <w:widowControl w:val="0"/>
        <w:suppressLineNumbers w:val="0"/>
        <w:spacing w:before="0" w:beforeAutospacing="0" w:after="0" w:afterAutospacing="0" w:line="440" w:lineRule="exact"/>
        <w:ind w:left="540" w:right="0"/>
        <w:jc w:val="both"/>
        <w:rPr>
          <w:rFonts w:hint="eastAsia"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签约双方在履约中发生争执和分歧，双方应通过友好协商解决，若经协商不能达成协议时，则可向甲方所在地人民法院提起诉讼。受理期间，双方应继续执行合同其余部分。</w:t>
      </w:r>
    </w:p>
    <w:p w14:paraId="1EA9B3E0">
      <w:pPr>
        <w:keepNext w:val="0"/>
        <w:keepLines w:val="0"/>
        <w:widowControl w:val="0"/>
        <w:suppressLineNumbers w:val="0"/>
        <w:spacing w:before="0" w:beforeAutospacing="0" w:after="0" w:afterAutospacing="0" w:line="440" w:lineRule="exact"/>
        <w:ind w:left="540" w:right="0"/>
        <w:jc w:val="both"/>
        <w:rPr>
          <w:rFonts w:hint="eastAsia" w:ascii="Times New Roman" w:hAnsi="Times New Roman" w:eastAsia="宋体" w:cs="Times New Roman"/>
          <w:kern w:val="2"/>
          <w:sz w:val="24"/>
          <w:szCs w:val="24"/>
        </w:rPr>
      </w:pPr>
      <w:r>
        <w:rPr>
          <w:rFonts w:hint="eastAsia" w:ascii="Times New Roman" w:hAnsi="Times New Roman" w:eastAsia="宋体" w:cs="Times New Roman"/>
          <w:kern w:val="2"/>
          <w:sz w:val="24"/>
          <w:szCs w:val="24"/>
          <w:lang w:val="en-US" w:eastAsia="zh-CN" w:bidi="ar"/>
        </w:rPr>
        <w:t xml:space="preserve"> </w:t>
      </w:r>
    </w:p>
    <w:p w14:paraId="30C3D7E2">
      <w:pPr>
        <w:keepNext w:val="0"/>
        <w:keepLines w:val="0"/>
        <w:widowControl w:val="0"/>
        <w:suppressLineNumbers w:val="0"/>
        <w:spacing w:before="0" w:beforeAutospacing="0" w:after="0" w:afterAutospacing="0" w:line="440" w:lineRule="exact"/>
        <w:ind w:left="0" w:right="0" w:firstLine="240"/>
        <w:jc w:val="both"/>
        <w:rPr>
          <w:rFonts w:hint="default" w:ascii="Times New Roman" w:hAnsi="Times New Roman" w:eastAsia="宋体" w:cs="Times New Roman"/>
          <w:kern w:val="2"/>
          <w:sz w:val="21"/>
          <w:szCs w:val="21"/>
        </w:rPr>
      </w:pPr>
      <w:r>
        <w:rPr>
          <w:rFonts w:hint="default" w:ascii="Times New Roman" w:hAnsi="Times New Roman" w:eastAsia="宋体" w:cs="Times New Roman"/>
          <w:b/>
          <w:bCs w:val="0"/>
          <w:kern w:val="2"/>
          <w:sz w:val="24"/>
          <w:szCs w:val="24"/>
          <w:lang w:val="en-US" w:eastAsia="zh-CN" w:bidi="ar"/>
        </w:rPr>
        <w:t xml:space="preserve">14. </w:t>
      </w:r>
      <w:r>
        <w:rPr>
          <w:rFonts w:hint="eastAsia" w:ascii="宋体" w:hAnsi="宋体" w:eastAsia="宋体" w:cs="宋体"/>
          <w:b/>
          <w:bCs w:val="0"/>
          <w:kern w:val="2"/>
          <w:sz w:val="24"/>
          <w:szCs w:val="24"/>
          <w:lang w:val="en-US" w:eastAsia="zh-CN" w:bidi="ar"/>
        </w:rPr>
        <w:t>其他</w:t>
      </w:r>
    </w:p>
    <w:p w14:paraId="52A9A7A1">
      <w:pPr>
        <w:keepNext w:val="0"/>
        <w:keepLines w:val="0"/>
        <w:widowControl w:val="0"/>
        <w:suppressLineNumbers w:val="0"/>
        <w:spacing w:before="0" w:beforeAutospacing="0" w:after="0" w:afterAutospacing="0" w:line="440" w:lineRule="exact"/>
        <w:ind w:left="857" w:right="0" w:hanging="63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1"/>
          <w:szCs w:val="21"/>
          <w:lang w:val="en-US" w:eastAsia="zh-CN" w:bidi="ar"/>
        </w:rPr>
        <w:t>14.1</w:t>
      </w:r>
      <w:r>
        <w:rPr>
          <w:rFonts w:hint="default" w:ascii="Times New Roman" w:hAnsi="Times New Roman" w:eastAsia="宋体" w:cs="Times New Roman"/>
          <w:kern w:val="2"/>
          <w:sz w:val="21"/>
          <w:szCs w:val="21"/>
          <w:lang w:val="en-US" w:eastAsia="zh-CN" w:bidi="ar"/>
        </w:rPr>
        <w:tab/>
      </w:r>
      <w:r>
        <w:rPr>
          <w:rFonts w:hint="eastAsia" w:ascii="宋体" w:hAnsi="宋体" w:eastAsia="宋体" w:cs="宋体"/>
          <w:kern w:val="2"/>
          <w:sz w:val="24"/>
          <w:szCs w:val="24"/>
          <w:lang w:val="en-US" w:eastAsia="zh-CN" w:bidi="ar"/>
        </w:rPr>
        <w:t>本合同正本</w:t>
      </w:r>
      <w:r>
        <w:rPr>
          <w:rFonts w:hint="default" w:ascii="宋体" w:hAnsi="宋体" w:cs="宋体"/>
          <w:kern w:val="2"/>
          <w:sz w:val="24"/>
          <w:szCs w:val="24"/>
          <w:lang w:eastAsia="zh-CN" w:bidi="ar"/>
        </w:rPr>
        <w:t>三</w:t>
      </w:r>
      <w:r>
        <w:rPr>
          <w:rFonts w:hint="eastAsia" w:ascii="宋体" w:hAnsi="宋体" w:eastAsia="宋体" w:cs="宋体"/>
          <w:kern w:val="2"/>
          <w:sz w:val="24"/>
          <w:szCs w:val="24"/>
          <w:lang w:val="en-US" w:eastAsia="zh-CN" w:bidi="ar"/>
        </w:rPr>
        <w:t>份，具有同等法律效力，甲方</w:t>
      </w:r>
      <w:r>
        <w:rPr>
          <w:rFonts w:hint="default" w:ascii="Times New Roman" w:hAnsi="Times New Roman" w:eastAsia="宋体" w:cs="Times New Roman"/>
          <w:kern w:val="2"/>
          <w:sz w:val="24"/>
          <w:szCs w:val="24"/>
          <w:lang w:val="en-US" w:eastAsia="zh-CN" w:bidi="ar"/>
        </w:rPr>
        <w:t>2</w:t>
      </w:r>
      <w:r>
        <w:rPr>
          <w:rFonts w:hint="eastAsia" w:ascii="宋体" w:hAnsi="宋体" w:eastAsia="宋体" w:cs="宋体"/>
          <w:kern w:val="2"/>
          <w:sz w:val="24"/>
          <w:szCs w:val="24"/>
          <w:lang w:val="en-US" w:eastAsia="zh-CN" w:bidi="ar"/>
        </w:rPr>
        <w:t>份、乙方</w:t>
      </w:r>
      <w:r>
        <w:rPr>
          <w:rFonts w:hint="default" w:ascii="Times New Roman" w:hAnsi="Times New Roman" w:eastAsia="宋体" w:cs="Times New Roman"/>
          <w:kern w:val="2"/>
          <w:sz w:val="24"/>
          <w:szCs w:val="24"/>
          <w:lang w:val="en-US" w:eastAsia="zh-CN" w:bidi="ar"/>
        </w:rPr>
        <w:t>1</w:t>
      </w:r>
      <w:r>
        <w:rPr>
          <w:rFonts w:hint="eastAsia" w:ascii="宋体" w:hAnsi="宋体" w:eastAsia="宋体" w:cs="宋体"/>
          <w:kern w:val="2"/>
          <w:sz w:val="24"/>
          <w:szCs w:val="24"/>
          <w:lang w:val="en-US" w:eastAsia="zh-CN" w:bidi="ar"/>
        </w:rPr>
        <w:t>份。合同自双方签字盖章之日起生效。</w:t>
      </w:r>
    </w:p>
    <w:p w14:paraId="4DC391B6">
      <w:pPr>
        <w:keepNext w:val="0"/>
        <w:keepLines w:val="0"/>
        <w:widowControl w:val="0"/>
        <w:suppressLineNumbers w:val="0"/>
        <w:spacing w:before="0" w:beforeAutospacing="0" w:after="0" w:afterAutospacing="0" w:line="440" w:lineRule="exact"/>
        <w:ind w:left="0" w:right="0" w:firstLine="227"/>
        <w:jc w:val="both"/>
        <w:rPr>
          <w:rFonts w:hint="eastAsia"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14.2</w:t>
      </w:r>
      <w:r>
        <w:rPr>
          <w:rFonts w:hint="default" w:ascii="Times New Roman" w:hAnsi="Times New Roman"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本合同未尽事宜，由双方协商处理，可达成书面补充协议。</w:t>
      </w:r>
    </w:p>
    <w:p w14:paraId="4C006319">
      <w:pPr>
        <w:keepNext w:val="0"/>
        <w:keepLines w:val="0"/>
        <w:widowControl w:val="0"/>
        <w:suppressLineNumbers w:val="0"/>
        <w:spacing w:before="0" w:beforeAutospacing="0" w:after="0" w:afterAutospacing="0" w:line="440" w:lineRule="exact"/>
        <w:ind w:left="0" w:right="0" w:firstLine="227"/>
        <w:jc w:val="both"/>
        <w:rPr>
          <w:rFonts w:hint="eastAsia" w:ascii="Times New Roman" w:hAnsi="Times New Roman" w:eastAsia="宋体" w:cs="Times New Roman"/>
          <w:kern w:val="2"/>
          <w:sz w:val="24"/>
          <w:szCs w:val="24"/>
        </w:rPr>
      </w:pPr>
      <w:r>
        <w:rPr>
          <w:rFonts w:hint="eastAsia" w:ascii="Times New Roman" w:hAnsi="Times New Roman" w:eastAsia="宋体" w:cs="Times New Roman"/>
          <w:kern w:val="2"/>
          <w:sz w:val="24"/>
          <w:szCs w:val="24"/>
          <w:lang w:val="en-US" w:eastAsia="zh-CN" w:bidi="ar"/>
        </w:rPr>
        <w:t xml:space="preserve"> </w:t>
      </w:r>
    </w:p>
    <w:p w14:paraId="0767C952">
      <w:pPr>
        <w:keepNext w:val="0"/>
        <w:keepLines w:val="0"/>
        <w:widowControl w:val="0"/>
        <w:suppressLineNumbers w:val="0"/>
        <w:spacing w:before="0" w:beforeAutospacing="0" w:after="0" w:afterAutospacing="0" w:line="360" w:lineRule="auto"/>
        <w:ind w:left="0" w:right="0"/>
        <w:jc w:val="center"/>
        <w:rPr>
          <w:rFonts w:hint="eastAsia" w:ascii="Times New Roman" w:hAnsi="Times New Roman" w:eastAsia="宋体" w:cs="Times New Roman"/>
          <w:b/>
          <w:bCs w:val="0"/>
          <w:kern w:val="2"/>
          <w:sz w:val="36"/>
          <w:szCs w:val="36"/>
        </w:rPr>
      </w:pPr>
      <w:r>
        <w:rPr>
          <w:rFonts w:hint="eastAsia" w:ascii="Times New Roman" w:hAnsi="Times New Roman" w:eastAsia="宋体" w:cs="Times New Roman"/>
          <w:b/>
          <w:bCs w:val="0"/>
          <w:kern w:val="2"/>
          <w:sz w:val="36"/>
          <w:szCs w:val="36"/>
          <w:lang w:val="en-US" w:eastAsia="zh-CN" w:bidi="ar"/>
        </w:rPr>
        <w:t xml:space="preserve"> </w:t>
      </w:r>
    </w:p>
    <w:p w14:paraId="70D53390">
      <w:pPr>
        <w:keepNext w:val="0"/>
        <w:keepLines w:val="0"/>
        <w:widowControl w:val="0"/>
        <w:suppressLineNumbers w:val="0"/>
        <w:spacing w:before="0" w:beforeAutospacing="0" w:after="0" w:afterAutospacing="0" w:line="300" w:lineRule="auto"/>
        <w:ind w:left="0" w:right="0"/>
        <w:jc w:val="both"/>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甲方：</w:t>
      </w:r>
      <w:r>
        <w:rPr>
          <w:rFonts w:hint="default" w:ascii="Times New Roman" w:hAnsi="Times New Roman" w:eastAsia="宋体" w:cs="Times New Roman"/>
          <w:b/>
          <w:bCs w:val="0"/>
          <w:kern w:val="2"/>
          <w:sz w:val="21"/>
          <w:szCs w:val="21"/>
          <w:lang w:val="en-US" w:eastAsia="zh-CN" w:bidi="ar"/>
        </w:rPr>
        <w:t xml:space="preserve">                               </w:t>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p>
    <w:p w14:paraId="41BDA685">
      <w:pPr>
        <w:keepNext w:val="0"/>
        <w:keepLines w:val="0"/>
        <w:widowControl w:val="0"/>
        <w:suppressLineNumbers w:val="0"/>
        <w:spacing w:before="0" w:beforeAutospacing="0" w:after="0" w:afterAutospacing="0" w:line="300" w:lineRule="auto"/>
        <w:ind w:left="0" w:right="0"/>
        <w:jc w:val="left"/>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广州医科大学附属番禺中心医院</w:t>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p>
    <w:p w14:paraId="3E9D00F5">
      <w:pPr>
        <w:keepNext w:val="0"/>
        <w:keepLines w:val="0"/>
        <w:widowControl w:val="0"/>
        <w:suppressLineNumbers w:val="0"/>
        <w:spacing w:before="0" w:beforeAutospacing="0" w:after="0" w:afterAutospacing="0" w:line="300" w:lineRule="auto"/>
        <w:ind w:left="0" w:right="0"/>
        <w:jc w:val="both"/>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法定代表人（经授权代表人）：</w:t>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r>
        <w:rPr>
          <w:rFonts w:hint="default" w:ascii="Times New Roman" w:hAnsi="Times New Roman" w:eastAsia="宋体" w:cs="Times New Roman"/>
          <w:b/>
          <w:bCs w:val="0"/>
          <w:kern w:val="2"/>
          <w:sz w:val="21"/>
          <w:szCs w:val="21"/>
          <w:lang w:val="en-US" w:eastAsia="zh-CN" w:bidi="ar"/>
        </w:rPr>
        <w:t xml:space="preserve">                          </w:t>
      </w:r>
    </w:p>
    <w:p w14:paraId="178FDC2B">
      <w:pPr>
        <w:keepNext w:val="0"/>
        <w:keepLines w:val="0"/>
        <w:widowControl w:val="0"/>
        <w:suppressLineNumbers w:val="0"/>
        <w:spacing w:before="0" w:beforeAutospacing="0" w:after="0" w:afterAutospacing="0" w:line="300" w:lineRule="auto"/>
        <w:ind w:left="5682" w:right="0" w:hanging="5659" w:hangingChars="2695"/>
        <w:jc w:val="both"/>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地址：广州市番禺区桥南街福愉东路</w:t>
      </w:r>
      <w:r>
        <w:rPr>
          <w:rFonts w:hint="default" w:ascii="Times New Roman" w:hAnsi="Times New Roman" w:eastAsia="宋体" w:cs="Times New Roman"/>
          <w:b/>
          <w:bCs w:val="0"/>
          <w:kern w:val="2"/>
          <w:sz w:val="21"/>
          <w:szCs w:val="21"/>
          <w:lang w:val="en-US" w:eastAsia="zh-CN" w:bidi="ar"/>
        </w:rPr>
        <w:t>8</w:t>
      </w:r>
      <w:r>
        <w:rPr>
          <w:rFonts w:hint="eastAsia" w:ascii="宋体" w:hAnsi="宋体" w:eastAsia="宋体" w:cs="宋体"/>
          <w:b/>
          <w:bCs w:val="0"/>
          <w:kern w:val="2"/>
          <w:sz w:val="21"/>
          <w:szCs w:val="21"/>
          <w:lang w:val="en-US" w:eastAsia="zh-CN" w:bidi="ar"/>
        </w:rPr>
        <w:t>号</w:t>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r>
        <w:rPr>
          <w:rFonts w:hint="default" w:ascii="Times New Roman" w:hAnsi="Times New Roman" w:eastAsia="宋体" w:cs="Times New Roman"/>
          <w:b/>
          <w:bCs w:val="0"/>
          <w:kern w:val="2"/>
          <w:sz w:val="21"/>
          <w:szCs w:val="21"/>
          <w:lang w:val="en-US" w:eastAsia="zh-CN" w:bidi="ar"/>
        </w:rPr>
        <w:t xml:space="preserve"> </w:t>
      </w:r>
    </w:p>
    <w:p w14:paraId="272F7CEF">
      <w:pPr>
        <w:keepNext w:val="0"/>
        <w:keepLines w:val="0"/>
        <w:widowControl w:val="0"/>
        <w:suppressLineNumbers w:val="0"/>
        <w:spacing w:before="0" w:beforeAutospacing="0" w:after="0" w:afterAutospacing="0" w:line="300" w:lineRule="auto"/>
        <w:ind w:left="0" w:right="0"/>
        <w:jc w:val="both"/>
        <w:rPr>
          <w:rFonts w:hint="eastAsia"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电话：</w:t>
      </w:r>
      <w:r>
        <w:rPr>
          <w:rFonts w:hint="default" w:ascii="Times New Roman" w:hAnsi="Times New Roman" w:eastAsia="宋体" w:cs="Times New Roman"/>
          <w:b/>
          <w:bCs w:val="0"/>
          <w:kern w:val="2"/>
          <w:sz w:val="21"/>
          <w:szCs w:val="21"/>
          <w:lang w:val="en-US" w:eastAsia="zh-CN" w:bidi="ar"/>
        </w:rPr>
        <w:t xml:space="preserve">020-34858223                          </w:t>
      </w:r>
      <w:r>
        <w:rPr>
          <w:rFonts w:hint="eastAsia" w:ascii="Times New Roman" w:hAnsi="Times New Roman" w:eastAsia="宋体" w:cs="Times New Roman"/>
          <w:b/>
          <w:bCs w:val="0"/>
          <w:kern w:val="2"/>
          <w:sz w:val="21"/>
          <w:szCs w:val="21"/>
          <w:lang w:val="en-US" w:eastAsia="zh-CN" w:bidi="ar"/>
        </w:rPr>
        <w:t xml:space="preserve"> </w:t>
      </w:r>
    </w:p>
    <w:p w14:paraId="5A856C99">
      <w:pPr>
        <w:keepNext w:val="0"/>
        <w:keepLines w:val="0"/>
        <w:widowControl w:val="0"/>
        <w:suppressLineNumbers w:val="0"/>
        <w:spacing w:before="0" w:beforeAutospacing="0" w:after="0" w:afterAutospacing="0" w:line="300" w:lineRule="auto"/>
        <w:ind w:left="0" w:right="0"/>
        <w:jc w:val="both"/>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签约日期：</w:t>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年</w:t>
      </w:r>
      <w:r>
        <w:rPr>
          <w:rFonts w:hint="default"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月</w:t>
      </w:r>
      <w:r>
        <w:rPr>
          <w:rFonts w:hint="default"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日</w:t>
      </w:r>
      <w:r>
        <w:rPr>
          <w:rFonts w:hint="default" w:ascii="Times New Roman" w:hAnsi="Times New Roman" w:eastAsia="宋体" w:cs="Times New Roman"/>
          <w:b/>
          <w:bCs w:val="0"/>
          <w:kern w:val="2"/>
          <w:sz w:val="21"/>
          <w:szCs w:val="21"/>
          <w:lang w:val="en-US" w:eastAsia="zh-CN" w:bidi="ar"/>
        </w:rPr>
        <w:t xml:space="preserve">     </w:t>
      </w:r>
      <w:r>
        <w:rPr>
          <w:rFonts w:hint="default" w:ascii="Times New Roman" w:hAnsi="Times New Roman" w:eastAsia="宋体" w:cs="Times New Roman"/>
          <w:b/>
          <w:bCs w:val="0"/>
          <w:kern w:val="2"/>
          <w:sz w:val="21"/>
          <w:szCs w:val="21"/>
          <w:lang w:val="en-US" w:eastAsia="zh-CN" w:bidi="ar"/>
        </w:rPr>
        <w:tab/>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p>
    <w:p w14:paraId="48C7B2ED">
      <w:pPr>
        <w:keepNext w:val="0"/>
        <w:keepLines w:val="0"/>
        <w:widowControl w:val="0"/>
        <w:suppressLineNumbers w:val="0"/>
        <w:spacing w:before="0" w:beforeAutospacing="0" w:after="0" w:afterAutospacing="0" w:line="300" w:lineRule="auto"/>
        <w:ind w:left="0" w:right="0"/>
        <w:jc w:val="both"/>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开户银行：</w:t>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r>
        <w:rPr>
          <w:rFonts w:hint="default" w:ascii="Times New Roman" w:hAnsi="Times New Roman" w:eastAsia="宋体" w:cs="Times New Roman"/>
          <w:b/>
          <w:bCs w:val="0"/>
          <w:kern w:val="2"/>
          <w:sz w:val="21"/>
          <w:szCs w:val="21"/>
          <w:lang w:val="en-US" w:eastAsia="zh-CN" w:bidi="ar"/>
        </w:rPr>
        <w:t xml:space="preserve"> </w:t>
      </w:r>
    </w:p>
    <w:p w14:paraId="5D5751B5">
      <w:pPr>
        <w:keepNext w:val="0"/>
        <w:keepLines w:val="0"/>
        <w:widowControl w:val="0"/>
        <w:suppressLineNumbers w:val="0"/>
        <w:spacing w:before="0" w:beforeAutospacing="0" w:after="0" w:afterAutospacing="0" w:line="300" w:lineRule="auto"/>
        <w:ind w:left="0" w:right="0"/>
        <w:jc w:val="both"/>
        <w:rPr>
          <w:rFonts w:hint="eastAsia"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账</w:t>
      </w:r>
      <w:r>
        <w:rPr>
          <w:rFonts w:hint="default"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号：</w:t>
      </w:r>
      <w:r>
        <w:rPr>
          <w:rFonts w:hint="default" w:ascii="Times New Roman" w:hAnsi="Times New Roman" w:eastAsia="宋体" w:cs="Times New Roman"/>
          <w:kern w:val="2"/>
          <w:sz w:val="21"/>
          <w:szCs w:val="21"/>
          <w:lang w:val="en-US" w:eastAsia="zh-CN" w:bidi="ar"/>
        </w:rPr>
        <w:t xml:space="preserve">                                </w:t>
      </w:r>
      <w:r>
        <w:rPr>
          <w:rFonts w:hint="eastAsia" w:ascii="Times New Roman" w:hAnsi="Times New Roman" w:eastAsia="宋体" w:cs="Times New Roman"/>
          <w:kern w:val="2"/>
          <w:sz w:val="21"/>
          <w:szCs w:val="21"/>
          <w:lang w:val="en-US" w:eastAsia="zh-CN" w:bidi="ar"/>
        </w:rPr>
        <w:t xml:space="preserve">  </w:t>
      </w:r>
      <w:r>
        <w:rPr>
          <w:rFonts w:hint="default" w:ascii="Times New Roman" w:hAnsi="Times New Roman" w:eastAsia="宋体" w:cs="Times New Roman"/>
          <w:kern w:val="2"/>
          <w:sz w:val="21"/>
          <w:szCs w:val="21"/>
          <w:lang w:val="en-US" w:eastAsia="zh-CN" w:bidi="ar"/>
        </w:rPr>
        <w:t xml:space="preserve"> </w:t>
      </w:r>
      <w:r>
        <w:rPr>
          <w:rFonts w:hint="eastAsia" w:ascii="Times New Roman" w:hAnsi="Times New Roman" w:eastAsia="宋体" w:cs="Times New Roman"/>
          <w:kern w:val="2"/>
          <w:sz w:val="21"/>
          <w:szCs w:val="21"/>
          <w:lang w:val="en-US" w:eastAsia="zh-CN" w:bidi="ar"/>
        </w:rPr>
        <w:t xml:space="preserve">  </w:t>
      </w:r>
    </w:p>
    <w:p w14:paraId="2BA1C7C9">
      <w:pPr>
        <w:keepNext w:val="0"/>
        <w:keepLines w:val="0"/>
        <w:widowControl w:val="0"/>
        <w:suppressLineNumbers w:val="0"/>
        <w:spacing w:before="0" w:beforeAutospacing="0" w:after="0" w:afterAutospacing="0" w:line="400" w:lineRule="exact"/>
        <w:ind w:left="0" w:right="0"/>
        <w:jc w:val="both"/>
        <w:rPr>
          <w:rFonts w:hint="eastAsia" w:ascii="Times New Roman" w:hAnsi="Times New Roman" w:eastAsia="宋体" w:cs="Times New Roman"/>
          <w:b/>
          <w:bCs w:val="0"/>
          <w:kern w:val="2"/>
          <w:sz w:val="21"/>
          <w:szCs w:val="21"/>
        </w:rPr>
      </w:pPr>
      <w:r>
        <w:rPr>
          <w:rFonts w:hint="eastAsia" w:ascii="Times New Roman" w:hAnsi="Times New Roman" w:eastAsia="宋体" w:cs="Times New Roman"/>
          <w:b/>
          <w:bCs w:val="0"/>
          <w:kern w:val="2"/>
          <w:sz w:val="21"/>
          <w:szCs w:val="21"/>
          <w:lang w:val="en-US" w:eastAsia="zh-CN" w:bidi="ar"/>
        </w:rPr>
        <w:t xml:space="preserve">                                             </w:t>
      </w:r>
    </w:p>
    <w:p w14:paraId="1F7AE361">
      <w:pPr>
        <w:keepNext w:val="0"/>
        <w:keepLines w:val="0"/>
        <w:widowControl w:val="0"/>
        <w:suppressLineNumbers w:val="0"/>
        <w:spacing w:before="0" w:beforeAutospacing="0" w:after="0" w:afterAutospacing="0" w:line="360" w:lineRule="auto"/>
        <w:ind w:left="0" w:right="0"/>
        <w:jc w:val="both"/>
        <w:rPr>
          <w:rFonts w:hint="eastAsia" w:ascii="Times New Roman" w:hAnsi="Times New Roman" w:eastAsia="宋体" w:cs="Times New Roman"/>
          <w:b/>
          <w:bCs w:val="0"/>
          <w:kern w:val="2"/>
          <w:sz w:val="36"/>
          <w:szCs w:val="36"/>
        </w:rPr>
      </w:pP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36"/>
          <w:szCs w:val="36"/>
          <w:lang w:val="en-US" w:eastAsia="zh-CN" w:bidi="ar"/>
        </w:rPr>
        <w:t xml:space="preserve"> </w:t>
      </w:r>
    </w:p>
    <w:p w14:paraId="08D1266C">
      <w:pPr>
        <w:keepNext w:val="0"/>
        <w:keepLines w:val="0"/>
        <w:widowControl w:val="0"/>
        <w:suppressLineNumbers w:val="0"/>
        <w:spacing w:before="0" w:beforeAutospacing="0" w:after="0" w:afterAutospacing="0" w:line="300" w:lineRule="auto"/>
        <w:ind w:left="0" w:right="0"/>
        <w:jc w:val="left"/>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乙方：</w:t>
      </w:r>
    </w:p>
    <w:p w14:paraId="75429DED">
      <w:pPr>
        <w:keepNext w:val="0"/>
        <w:keepLines w:val="0"/>
        <w:widowControl w:val="0"/>
        <w:suppressLineNumbers w:val="0"/>
        <w:spacing w:before="0" w:beforeAutospacing="0" w:after="0" w:afterAutospacing="0" w:line="300" w:lineRule="auto"/>
        <w:ind w:left="0" w:right="0"/>
        <w:jc w:val="left"/>
        <w:rPr>
          <w:rFonts w:hint="eastAsia" w:ascii="Times New Roman" w:hAnsi="Times New Roman" w:eastAsia="宋体" w:cs="Times New Roman"/>
          <w:b/>
          <w:bCs w:val="0"/>
          <w:kern w:val="2"/>
          <w:sz w:val="24"/>
          <w:szCs w:val="24"/>
        </w:rPr>
      </w:pP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有限公司</w:t>
      </w:r>
    </w:p>
    <w:p w14:paraId="21F6EF2D">
      <w:pPr>
        <w:keepNext w:val="0"/>
        <w:keepLines w:val="0"/>
        <w:widowControl w:val="0"/>
        <w:suppressLineNumbers w:val="0"/>
        <w:spacing w:before="0" w:beforeAutospacing="0" w:after="0" w:afterAutospacing="0" w:line="300" w:lineRule="auto"/>
        <w:ind w:left="0" w:right="0"/>
        <w:jc w:val="left"/>
        <w:rPr>
          <w:rFonts w:hint="eastAsia" w:ascii="Times New Roman" w:hAnsi="Times New Roman" w:eastAsia="宋体" w:cs="Times New Roman"/>
          <w:b/>
          <w:bCs w:val="0"/>
          <w:kern w:val="2"/>
          <w:sz w:val="24"/>
          <w:szCs w:val="24"/>
        </w:rPr>
      </w:pPr>
      <w:r>
        <w:rPr>
          <w:rFonts w:hint="eastAsia" w:ascii="宋体" w:hAnsi="宋体" w:eastAsia="宋体" w:cs="宋体"/>
          <w:b/>
          <w:bCs w:val="0"/>
          <w:kern w:val="2"/>
          <w:sz w:val="21"/>
          <w:szCs w:val="21"/>
          <w:lang w:val="en-US" w:eastAsia="zh-CN" w:bidi="ar"/>
        </w:rPr>
        <w:t>法定代表人（经授权代表人）：</w:t>
      </w:r>
    </w:p>
    <w:p w14:paraId="02EE9E85">
      <w:pPr>
        <w:keepNext w:val="0"/>
        <w:keepLines w:val="0"/>
        <w:widowControl w:val="0"/>
        <w:suppressLineNumbers w:val="0"/>
        <w:spacing w:before="0" w:beforeAutospacing="0" w:after="0" w:afterAutospacing="0" w:line="300" w:lineRule="auto"/>
        <w:ind w:left="0" w:right="0"/>
        <w:jc w:val="left"/>
        <w:rPr>
          <w:rFonts w:hint="eastAsia" w:ascii="Times New Roman" w:hAnsi="Times New Roman" w:eastAsia="宋体" w:cs="Times New Roman"/>
          <w:b/>
          <w:bCs w:val="0"/>
          <w:kern w:val="2"/>
          <w:sz w:val="24"/>
          <w:szCs w:val="24"/>
        </w:rPr>
      </w:pPr>
      <w:r>
        <w:rPr>
          <w:rFonts w:hint="eastAsia" w:ascii="宋体" w:hAnsi="宋体" w:eastAsia="宋体" w:cs="宋体"/>
          <w:b/>
          <w:bCs w:val="0"/>
          <w:kern w:val="2"/>
          <w:sz w:val="21"/>
          <w:szCs w:val="21"/>
          <w:lang w:val="en-US" w:eastAsia="zh-CN" w:bidi="ar"/>
        </w:rPr>
        <w:t>地址：</w:t>
      </w:r>
    </w:p>
    <w:p w14:paraId="31F96B3D">
      <w:pPr>
        <w:keepNext w:val="0"/>
        <w:keepLines w:val="0"/>
        <w:widowControl w:val="0"/>
        <w:suppressLineNumbers w:val="0"/>
        <w:spacing w:before="0" w:beforeAutospacing="0" w:after="0" w:afterAutospacing="0" w:line="300" w:lineRule="auto"/>
        <w:ind w:left="0" w:right="0"/>
        <w:jc w:val="left"/>
        <w:rPr>
          <w:rFonts w:hint="default" w:ascii="Times New Roman" w:hAnsi="Times New Roman" w:eastAsia="宋体" w:cs="Times New Roman"/>
          <w:b/>
          <w:bCs w:val="0"/>
          <w:kern w:val="2"/>
          <w:sz w:val="21"/>
          <w:szCs w:val="21"/>
        </w:rPr>
      </w:pPr>
      <w:r>
        <w:rPr>
          <w:rFonts w:hint="eastAsia" w:ascii="宋体" w:hAnsi="宋体" w:eastAsia="宋体" w:cs="宋体"/>
          <w:b/>
          <w:bCs w:val="0"/>
          <w:kern w:val="2"/>
          <w:sz w:val="21"/>
          <w:szCs w:val="21"/>
          <w:lang w:val="en-US" w:eastAsia="zh-CN" w:bidi="ar"/>
        </w:rPr>
        <w:t>电话：</w:t>
      </w:r>
    </w:p>
    <w:p w14:paraId="1CBB89F3">
      <w:pPr>
        <w:keepNext w:val="0"/>
        <w:keepLines w:val="0"/>
        <w:widowControl w:val="0"/>
        <w:suppressLineNumbers w:val="0"/>
        <w:spacing w:before="0" w:beforeAutospacing="0" w:after="0" w:afterAutospacing="0" w:line="300" w:lineRule="auto"/>
        <w:ind w:left="0" w:right="0"/>
        <w:jc w:val="left"/>
        <w:rPr>
          <w:rFonts w:hint="eastAsia" w:ascii="Times New Roman" w:hAnsi="Times New Roman" w:eastAsia="宋体" w:cs="Times New Roman"/>
          <w:b/>
          <w:bCs w:val="0"/>
          <w:kern w:val="2"/>
          <w:sz w:val="24"/>
          <w:szCs w:val="24"/>
        </w:rPr>
      </w:pPr>
      <w:r>
        <w:rPr>
          <w:rFonts w:hint="eastAsia" w:ascii="宋体" w:hAnsi="宋体" w:eastAsia="宋体" w:cs="宋体"/>
          <w:b/>
          <w:bCs w:val="0"/>
          <w:kern w:val="2"/>
          <w:sz w:val="21"/>
          <w:szCs w:val="21"/>
          <w:lang w:val="en-US" w:eastAsia="zh-CN" w:bidi="ar"/>
        </w:rPr>
        <w:t>签约日期：</w:t>
      </w:r>
      <w:r>
        <w:rPr>
          <w:rFonts w:hint="default" w:ascii="Times New Roman" w:hAnsi="Times New Roman" w:eastAsia="宋体" w:cs="Times New Roman"/>
          <w:b/>
          <w:bCs w:val="0"/>
          <w:kern w:val="2"/>
          <w:sz w:val="21"/>
          <w:szCs w:val="21"/>
          <w:lang w:val="en-US" w:eastAsia="zh-CN" w:bidi="ar"/>
        </w:rPr>
        <w:t xml:space="preserve">  </w:t>
      </w:r>
      <w:r>
        <w:rPr>
          <w:rFonts w:hint="eastAsia"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年</w:t>
      </w:r>
      <w:r>
        <w:rPr>
          <w:rFonts w:hint="default"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月</w:t>
      </w:r>
      <w:r>
        <w:rPr>
          <w:rFonts w:hint="default"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日</w:t>
      </w:r>
    </w:p>
    <w:p w14:paraId="53FBA9A9">
      <w:pPr>
        <w:keepNext w:val="0"/>
        <w:keepLines w:val="0"/>
        <w:widowControl w:val="0"/>
        <w:suppressLineNumbers w:val="0"/>
        <w:spacing w:before="0" w:beforeAutospacing="0" w:after="0" w:afterAutospacing="0" w:line="300" w:lineRule="auto"/>
        <w:ind w:left="0" w:right="0"/>
        <w:jc w:val="left"/>
        <w:rPr>
          <w:rFonts w:hint="eastAsia" w:ascii="Times New Roman" w:hAnsi="Times New Roman" w:eastAsia="宋体" w:cs="Times New Roman"/>
          <w:b/>
          <w:bCs w:val="0"/>
          <w:kern w:val="2"/>
          <w:sz w:val="24"/>
          <w:szCs w:val="24"/>
        </w:rPr>
      </w:pPr>
      <w:r>
        <w:rPr>
          <w:rFonts w:hint="eastAsia" w:ascii="宋体" w:hAnsi="宋体" w:eastAsia="宋体" w:cs="宋体"/>
          <w:b/>
          <w:bCs w:val="0"/>
          <w:kern w:val="2"/>
          <w:sz w:val="21"/>
          <w:szCs w:val="21"/>
          <w:lang w:val="en-US" w:eastAsia="zh-CN" w:bidi="ar"/>
        </w:rPr>
        <w:t>开户银行：</w:t>
      </w:r>
    </w:p>
    <w:p w14:paraId="5780D0D9">
      <w:pPr>
        <w:keepNext w:val="0"/>
        <w:keepLines w:val="0"/>
        <w:widowControl/>
        <w:suppressLineNumbers w:val="0"/>
        <w:jc w:val="left"/>
      </w:pPr>
      <w:r>
        <w:rPr>
          <w:rFonts w:hint="eastAsia" w:ascii="宋体" w:hAnsi="宋体" w:eastAsia="宋体" w:cs="宋体"/>
          <w:b/>
          <w:bCs w:val="0"/>
          <w:kern w:val="2"/>
          <w:sz w:val="21"/>
          <w:szCs w:val="21"/>
          <w:lang w:val="en-US" w:eastAsia="zh-CN" w:bidi="ar"/>
        </w:rPr>
        <w:t>账</w:t>
      </w:r>
      <w:r>
        <w:rPr>
          <w:rFonts w:hint="default" w:ascii="Times New Roman" w:hAnsi="Times New Roman" w:eastAsia="宋体" w:cs="Times New Roman"/>
          <w:b/>
          <w:bCs w:val="0"/>
          <w:kern w:val="2"/>
          <w:sz w:val="21"/>
          <w:szCs w:val="21"/>
          <w:lang w:val="en-US" w:eastAsia="zh-CN" w:bidi="ar"/>
        </w:rPr>
        <w:t xml:space="preserve"> </w:t>
      </w:r>
      <w:r>
        <w:rPr>
          <w:rFonts w:hint="eastAsia" w:ascii="宋体" w:hAnsi="宋体" w:eastAsia="宋体" w:cs="宋体"/>
          <w:b/>
          <w:bCs w:val="0"/>
          <w:kern w:val="2"/>
          <w:sz w:val="21"/>
          <w:szCs w:val="21"/>
          <w:lang w:val="en-US" w:eastAsia="zh-CN" w:bidi="ar"/>
        </w:rPr>
        <w:t>号：</w:t>
      </w:r>
    </w:p>
    <w:p w14:paraId="1673D725">
      <w:pPr>
        <w:spacing w:line="360" w:lineRule="auto"/>
      </w:pPr>
      <w:r>
        <w:rPr>
          <w:rFonts w:hint="eastAsia" w:ascii="宋体" w:hAnsi="宋体"/>
          <w:b/>
          <w:color w:val="000000"/>
          <w:sz w:val="24"/>
        </w:rPr>
        <w:t xml:space="preserve">                               </w:t>
      </w:r>
    </w:p>
    <w:p w14:paraId="2C4E097D">
      <w:pPr>
        <w:spacing w:line="360" w:lineRule="auto"/>
        <w:rPr>
          <w:rFonts w:ascii="宋体" w:hAnsi="宋体"/>
          <w:b/>
          <w:color w:val="000000"/>
          <w:sz w:val="24"/>
        </w:rPr>
      </w:pPr>
      <w:r>
        <w:rPr>
          <w:rFonts w:hint="eastAsia" w:ascii="宋体" w:hAnsi="宋体"/>
          <w:b/>
          <w:color w:val="000000"/>
          <w:sz w:val="24"/>
        </w:rPr>
        <w:t xml:space="preserve">          </w:t>
      </w:r>
    </w:p>
    <w:p w14:paraId="2D9D3FDE">
      <w:pPr>
        <w:pStyle w:val="2"/>
      </w:pPr>
    </w:p>
    <w:p w14:paraId="4592018C">
      <w:pPr>
        <w:pStyle w:val="2"/>
      </w:pPr>
    </w:p>
    <w:p w14:paraId="00BDB2D7">
      <w:pPr>
        <w:pStyle w:val="2"/>
      </w:pPr>
    </w:p>
    <w:p w14:paraId="292DF13E">
      <w:pPr>
        <w:pStyle w:val="2"/>
      </w:pPr>
    </w:p>
    <w:p w14:paraId="08605487">
      <w:pPr>
        <w:pStyle w:val="2"/>
      </w:pPr>
    </w:p>
    <w:p w14:paraId="10F98033">
      <w:pPr>
        <w:pStyle w:val="2"/>
      </w:pPr>
    </w:p>
    <w:p w14:paraId="3D0BA664">
      <w:pPr>
        <w:pStyle w:val="3"/>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14:paraId="5A11CA4E">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14:paraId="4691BE2A">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14:paraId="36230389">
      <w:pPr>
        <w:pStyle w:val="12"/>
        <w:spacing w:line="480" w:lineRule="auto"/>
        <w:ind w:firstLine="560" w:firstLineChars="200"/>
        <w:jc w:val="center"/>
        <w:rPr>
          <w:rFonts w:asciiTheme="minorEastAsia" w:hAnsiTheme="minorEastAsia" w:eastAsiaTheme="minorEastAsia"/>
          <w:b/>
          <w:sz w:val="28"/>
          <w:szCs w:val="24"/>
        </w:rPr>
      </w:pPr>
    </w:p>
    <w:p w14:paraId="29B7AE80">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rPr>
        <w:t>广州医科大学附属番禺中心医院肌电图机采购项目（询比编号：CG-XBLX-202609-01）</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14:paraId="0B8E44D6">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14:paraId="430DF8DB">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14:paraId="41DC2014">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14:paraId="5C21098A">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14:paraId="076EEF0B">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14:paraId="5C0AA5FD">
      <w:pPr>
        <w:pStyle w:val="64"/>
        <w:spacing w:line="360" w:lineRule="auto"/>
        <w:ind w:firstLine="480" w:firstLineChars="200"/>
        <w:rPr>
          <w:rFonts w:asciiTheme="minorEastAsia" w:hAnsiTheme="minorEastAsia" w:eastAsiaTheme="minorEastAsia"/>
          <w:sz w:val="24"/>
          <w:szCs w:val="24"/>
          <w:u w:val="single"/>
        </w:rPr>
      </w:pPr>
      <w:r>
        <w:rPr>
          <w:rFonts w:hint="eastAsia" w:cs="Courier New" w:asciiTheme="minorEastAsia" w:hAnsiTheme="minorEastAsia" w:eastAsiaTheme="minorEastAsia"/>
          <w:kern w:val="0"/>
          <w:sz w:val="24"/>
          <w:szCs w:val="24"/>
        </w:rPr>
        <w:t>　　　　　　　</w:t>
      </w:r>
      <w:r>
        <w:rPr>
          <w:rFonts w:hint="eastAsia" w:asciiTheme="minorEastAsia" w:hAnsiTheme="minorEastAsia" w:eastAsiaTheme="minorEastAsia"/>
          <w:sz w:val="24"/>
          <w:szCs w:val="24"/>
        </w:rPr>
        <w:t>　　　　　　　</w:t>
      </w:r>
    </w:p>
    <w:p w14:paraId="72C22981">
      <w:pPr>
        <w:pStyle w:val="17"/>
        <w:spacing w:line="360" w:lineRule="auto"/>
        <w:rPr>
          <w:rFonts w:asciiTheme="minorEastAsia" w:hAnsiTheme="minorEastAsia" w:eastAsiaTheme="minorEastAsia"/>
          <w:sz w:val="24"/>
          <w:szCs w:val="24"/>
          <w:u w:val="single"/>
        </w:rPr>
      </w:pPr>
    </w:p>
    <w:p w14:paraId="15D9DB4E">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14:paraId="35691E04">
      <w:pPr>
        <w:pStyle w:val="17"/>
        <w:spacing w:line="360" w:lineRule="auto"/>
        <w:ind w:left="3399" w:leftChars="1619"/>
        <w:rPr>
          <w:rFonts w:asciiTheme="minorEastAsia" w:hAnsiTheme="minorEastAsia" w:eastAsiaTheme="minorEastAsia"/>
          <w:sz w:val="24"/>
          <w:szCs w:val="24"/>
        </w:rPr>
      </w:pPr>
    </w:p>
    <w:p w14:paraId="1CD1B57A">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14:paraId="49C342F9">
      <w:pPr>
        <w:pStyle w:val="17"/>
        <w:spacing w:line="360" w:lineRule="auto"/>
        <w:ind w:right="480"/>
        <w:rPr>
          <w:rFonts w:asciiTheme="minorEastAsia" w:hAnsiTheme="minorEastAsia" w:eastAsiaTheme="minorEastAsia"/>
          <w:sz w:val="24"/>
          <w:szCs w:val="24"/>
        </w:rPr>
      </w:pPr>
    </w:p>
    <w:p w14:paraId="34EF6146">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14:paraId="588B8CA5">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14:paraId="28CD4279">
      <w:pPr>
        <w:pStyle w:val="17"/>
        <w:ind w:left="720" w:hanging="720" w:hangingChars="300"/>
        <w:rPr>
          <w:rFonts w:cs="仿宋_GB2312" w:asciiTheme="minorEastAsia" w:hAnsiTheme="minorEastAsia" w:eastAsiaTheme="minorEastAsia"/>
          <w:sz w:val="24"/>
          <w:szCs w:val="24"/>
        </w:rPr>
      </w:pPr>
    </w:p>
    <w:p w14:paraId="0A31EA4B">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14:paraId="600587EF">
      <w:pPr>
        <w:pStyle w:val="17"/>
        <w:widowControl/>
        <w:numPr>
          <w:ilvl w:val="0"/>
          <w:numId w:val="6"/>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14:paraId="75D70757">
      <w:pPr>
        <w:pStyle w:val="17"/>
        <w:widowControl/>
        <w:numPr>
          <w:ilvl w:val="0"/>
          <w:numId w:val="6"/>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14:paraId="744617C8">
      <w:pPr>
        <w:pStyle w:val="17"/>
        <w:widowControl/>
        <w:numPr>
          <w:ilvl w:val="0"/>
          <w:numId w:val="6"/>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14:paraId="35B94C56">
      <w:pPr>
        <w:pStyle w:val="12"/>
        <w:spacing w:line="480" w:lineRule="auto"/>
        <w:jc w:val="both"/>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14:paraId="6354177A">
      <w:pPr>
        <w:pStyle w:val="12"/>
        <w:ind w:firstLine="560" w:firstLineChars="200"/>
        <w:jc w:val="center"/>
        <w:rPr>
          <w:rFonts w:asciiTheme="minorEastAsia" w:hAnsiTheme="minorEastAsia" w:eastAsiaTheme="minorEastAsia"/>
          <w:b/>
          <w:sz w:val="28"/>
          <w:szCs w:val="28"/>
        </w:rPr>
      </w:pPr>
    </w:p>
    <w:p w14:paraId="5ABA3149">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14:paraId="5E4B7818">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14:paraId="7D371F6F">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14:paraId="73591DA5">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14:paraId="6D03AB2C">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14:paraId="504C8E3C">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14:paraId="4ECD5CE4">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14:paraId="2D033E01">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不得转让、出租、出借资持证书、人员岗位证书或以其他方式允许他人以本企业名义响应。</w:t>
      </w:r>
    </w:p>
    <w:p w14:paraId="5E2B8940">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14:paraId="48E61729">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14:paraId="619FE0CC">
      <w:pPr>
        <w:numPr>
          <w:ilvl w:val="0"/>
          <w:numId w:val="7"/>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14:paraId="48029A53">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14:paraId="07F6AEBB">
      <w:pPr>
        <w:tabs>
          <w:tab w:val="left" w:pos="5040"/>
        </w:tabs>
        <w:adjustRightInd w:val="0"/>
        <w:snapToGrid w:val="0"/>
        <w:spacing w:line="460" w:lineRule="exact"/>
        <w:rPr>
          <w:rFonts w:asciiTheme="minorEastAsia" w:hAnsiTheme="minorEastAsia" w:eastAsiaTheme="minorEastAsia"/>
          <w:b/>
          <w:sz w:val="24"/>
        </w:rPr>
      </w:pPr>
    </w:p>
    <w:p w14:paraId="267C00C5">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询比项目：广州医科大学附属番禺中心医院肌电图机采购项目（询比编号：CG-XBLX-202609-01）</w:t>
      </w:r>
    </w:p>
    <w:p w14:paraId="31A9322E">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14:paraId="6793041D">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14:paraId="0A6499A3">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14:paraId="117AD370">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14:paraId="42DCB3CB">
      <w:pPr>
        <w:pStyle w:val="12"/>
        <w:spacing w:line="480" w:lineRule="auto"/>
        <w:jc w:val="center"/>
        <w:outlineLvl w:val="1"/>
        <w:rPr>
          <w:rFonts w:asciiTheme="minorEastAsia" w:hAnsiTheme="minorEastAsia" w:eastAsiaTheme="minorEastAsia"/>
          <w:b/>
          <w:sz w:val="28"/>
          <w:szCs w:val="28"/>
        </w:rPr>
      </w:pPr>
      <w:r>
        <w:rPr>
          <w:rFonts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14:paraId="1C944E40">
      <w:pPr>
        <w:pStyle w:val="2"/>
      </w:pPr>
    </w:p>
    <w:p w14:paraId="30CDAAE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广州医科大学附属番禺中心医院肌电图机采购项目（询比编号：CG-XBLX-202609-01）</w:t>
      </w:r>
    </w:p>
    <w:p w14:paraId="2BE62021">
      <w:pPr>
        <w:spacing w:line="360" w:lineRule="auto"/>
        <w:ind w:firstLine="480" w:firstLineChars="200"/>
        <w:rPr>
          <w:rFonts w:asciiTheme="minorEastAsia" w:hAnsiTheme="minorEastAsia" w:eastAsiaTheme="minorEastAsia"/>
          <w:b/>
          <w:sz w:val="24"/>
        </w:rPr>
      </w:pPr>
      <w:r>
        <w:rPr>
          <w:rFonts w:hint="eastAsia" w:asciiTheme="minorEastAsia" w:hAnsiTheme="minorEastAsia" w:eastAsiaTheme="minorEastAsia"/>
          <w:sz w:val="24"/>
        </w:rPr>
        <w:t>响应供应商名称：</w:t>
      </w:r>
    </w:p>
    <w:p w14:paraId="5CCC2B35">
      <w:pPr>
        <w:pStyle w:val="17"/>
        <w:spacing w:line="360" w:lineRule="auto"/>
        <w:jc w:val="right"/>
        <w:rPr>
          <w:rFonts w:asciiTheme="minorEastAsia" w:hAnsiTheme="minorEastAsia" w:eastAsiaTheme="minorEastAsia"/>
          <w:sz w:val="24"/>
          <w:szCs w:val="24"/>
        </w:rPr>
      </w:pPr>
      <w:r>
        <w:rPr>
          <w:rFonts w:hint="eastAsia" w:asciiTheme="minorEastAsia" w:hAnsiTheme="minorEastAsia" w:eastAsiaTheme="minorEastAsia"/>
          <w:sz w:val="24"/>
          <w:szCs w:val="24"/>
        </w:rPr>
        <w:t>[货币单位：人民币元]</w:t>
      </w:r>
    </w:p>
    <w:tbl>
      <w:tblPr>
        <w:tblStyle w:val="37"/>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7"/>
        <w:gridCol w:w="813"/>
        <w:gridCol w:w="2086"/>
        <w:gridCol w:w="2086"/>
      </w:tblGrid>
      <w:tr w14:paraId="720A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7" w:type="dxa"/>
            <w:vAlign w:val="center"/>
          </w:tcPr>
          <w:p w14:paraId="0CEB028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名称</w:t>
            </w:r>
          </w:p>
        </w:tc>
        <w:tc>
          <w:tcPr>
            <w:tcW w:w="813" w:type="dxa"/>
            <w:vAlign w:val="center"/>
          </w:tcPr>
          <w:p w14:paraId="66155F0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数量</w:t>
            </w:r>
          </w:p>
        </w:tc>
        <w:tc>
          <w:tcPr>
            <w:tcW w:w="2086" w:type="dxa"/>
          </w:tcPr>
          <w:p w14:paraId="63BA5BF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响应报价单价（元）</w:t>
            </w:r>
          </w:p>
        </w:tc>
        <w:tc>
          <w:tcPr>
            <w:tcW w:w="2086" w:type="dxa"/>
          </w:tcPr>
          <w:p w14:paraId="4649CD4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响应</w:t>
            </w:r>
            <w:r>
              <w:rPr>
                <w:rFonts w:hint="default" w:asciiTheme="minorEastAsia" w:hAnsiTheme="minorEastAsia" w:eastAsiaTheme="minorEastAsia"/>
                <w:b/>
                <w:sz w:val="24"/>
              </w:rPr>
              <w:t>报价总价（</w:t>
            </w:r>
            <w:r>
              <w:rPr>
                <w:rFonts w:hint="eastAsia" w:asciiTheme="minorEastAsia" w:hAnsiTheme="minorEastAsia" w:eastAsiaTheme="minorEastAsia"/>
                <w:b/>
                <w:sz w:val="24"/>
              </w:rPr>
              <w:t>元</w:t>
            </w:r>
            <w:r>
              <w:rPr>
                <w:rFonts w:hint="default" w:asciiTheme="minorEastAsia" w:hAnsiTheme="minorEastAsia" w:eastAsiaTheme="minorEastAsia"/>
                <w:b/>
                <w:sz w:val="24"/>
              </w:rPr>
              <w:t>）</w:t>
            </w:r>
          </w:p>
        </w:tc>
      </w:tr>
      <w:tr w14:paraId="0BE0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7" w:type="dxa"/>
            <w:vAlign w:val="center"/>
          </w:tcPr>
          <w:p w14:paraId="0162F14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rPr>
              <w:t>肌电图机</w:t>
            </w:r>
          </w:p>
        </w:tc>
        <w:tc>
          <w:tcPr>
            <w:tcW w:w="813" w:type="dxa"/>
            <w:vAlign w:val="center"/>
          </w:tcPr>
          <w:p w14:paraId="52A5899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p>
        </w:tc>
        <w:tc>
          <w:tcPr>
            <w:tcW w:w="2086" w:type="dxa"/>
          </w:tcPr>
          <w:p w14:paraId="225A68D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p>
        </w:tc>
        <w:tc>
          <w:tcPr>
            <w:tcW w:w="2086" w:type="dxa"/>
          </w:tcPr>
          <w:p w14:paraId="1F268CA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p>
        </w:tc>
      </w:tr>
    </w:tbl>
    <w:p w14:paraId="0EE04F67">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注</w:t>
      </w:r>
      <w:r>
        <w:rPr>
          <w:rFonts w:asciiTheme="minorEastAsia" w:hAnsiTheme="minorEastAsia" w:eastAsiaTheme="minorEastAsia"/>
          <w:sz w:val="24"/>
        </w:rPr>
        <w:t>：</w:t>
      </w:r>
    </w:p>
    <w:p w14:paraId="085BDCA9">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1.响应供应商须按要求填写所有信息，不得随意更改本表格式。</w:t>
      </w:r>
    </w:p>
    <w:p w14:paraId="1D5F0AED">
      <w:pPr>
        <w:pStyle w:val="2"/>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2.响应报价包含的内容及要求见第三部分用户需求书的“报价范围的定义”。</w:t>
      </w:r>
    </w:p>
    <w:p w14:paraId="11C4C70B">
      <w:pPr>
        <w:pStyle w:val="2"/>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3.以人民币报价。</w:t>
      </w:r>
    </w:p>
    <w:p w14:paraId="7C6C9370">
      <w:pPr>
        <w:pStyle w:val="2"/>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4.请务必检查响应报价的单位、小数点位、数值与分项汇总是否一致。</w:t>
      </w:r>
    </w:p>
    <w:p w14:paraId="363A057E">
      <w:pPr>
        <w:spacing w:line="360" w:lineRule="auto"/>
        <w:rPr>
          <w:rFonts w:asciiTheme="minorEastAsia" w:hAnsiTheme="minorEastAsia" w:eastAsiaTheme="minorEastAsia"/>
          <w:sz w:val="24"/>
        </w:rPr>
      </w:pPr>
    </w:p>
    <w:p w14:paraId="320F87B9">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534000E4">
      <w:pPr>
        <w:spacing w:line="360" w:lineRule="auto"/>
        <w:ind w:left="4252" w:leftChars="2025"/>
        <w:jc w:val="right"/>
        <w:rPr>
          <w:rFonts w:asciiTheme="minorEastAsia" w:hAnsiTheme="minorEastAsia" w:eastAsiaTheme="minorEastAsia"/>
          <w:sz w:val="24"/>
        </w:rPr>
      </w:pPr>
    </w:p>
    <w:p w14:paraId="18637245">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7B33C8D8">
      <w:pPr>
        <w:pStyle w:val="17"/>
        <w:spacing w:line="360" w:lineRule="auto"/>
        <w:ind w:left="850" w:hanging="849" w:hangingChars="354"/>
        <w:rPr>
          <w:rFonts w:asciiTheme="minorEastAsia" w:hAnsiTheme="minorEastAsia" w:eastAsiaTheme="minorEastAsia"/>
          <w:sz w:val="24"/>
          <w:szCs w:val="24"/>
        </w:rPr>
      </w:pPr>
    </w:p>
    <w:p w14:paraId="095A721C">
      <w:pPr>
        <w:pStyle w:val="12"/>
        <w:spacing w:line="480" w:lineRule="auto"/>
        <w:jc w:val="center"/>
        <w:outlineLvl w:val="1"/>
        <w:rPr>
          <w:rFonts w:asciiTheme="minorEastAsia" w:hAnsiTheme="minorEastAsia" w:eastAsiaTheme="minorEastAsia"/>
          <w:b/>
          <w:sz w:val="28"/>
          <w:szCs w:val="28"/>
          <w:lang w:val="en-GB"/>
        </w:rPr>
      </w:pPr>
      <w:r>
        <w:rPr>
          <w:rFonts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 xml:space="preserve">格式4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响应分项报价</w:t>
      </w:r>
      <w:r>
        <w:rPr>
          <w:rFonts w:asciiTheme="minorEastAsia" w:hAnsiTheme="minorEastAsia" w:eastAsiaTheme="minorEastAsia"/>
          <w:b/>
          <w:sz w:val="28"/>
          <w:szCs w:val="28"/>
          <w:lang w:val="en-GB"/>
        </w:rPr>
        <w:t>表</w:t>
      </w:r>
    </w:p>
    <w:p w14:paraId="40E44B13">
      <w:pPr>
        <w:pStyle w:val="2"/>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 xml:space="preserve">                             </w:t>
      </w:r>
    </w:p>
    <w:p w14:paraId="060BD618">
      <w:pPr>
        <w:pStyle w:val="2"/>
        <w:spacing w:line="360" w:lineRule="auto"/>
        <w:ind w:firstLine="0"/>
        <w:rPr>
          <w:rFonts w:asciiTheme="minorEastAsia" w:hAnsiTheme="minorEastAsia" w:eastAsiaTheme="minorEastAsia"/>
          <w:sz w:val="24"/>
          <w:u w:val="single"/>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广州医科大学附属番禺中心医院肌电图机采购项目（询比编号：CG-XBLX-202609-01）</w:t>
      </w:r>
    </w:p>
    <w:p w14:paraId="7DF81050">
      <w:pPr>
        <w:pStyle w:val="2"/>
        <w:spacing w:line="360" w:lineRule="auto"/>
        <w:ind w:firstLine="0"/>
        <w:rPr>
          <w:rFonts w:asciiTheme="minorEastAsia" w:hAnsiTheme="minorEastAsia" w:eastAsiaTheme="minorEastAsia"/>
          <w:sz w:val="24"/>
          <w:szCs w:val="24"/>
          <w:lang w:val="en-GB"/>
        </w:rPr>
      </w:pPr>
    </w:p>
    <w:tbl>
      <w:tblPr>
        <w:tblStyle w:val="37"/>
        <w:tblW w:w="10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264"/>
        <w:gridCol w:w="736"/>
        <w:gridCol w:w="1202"/>
        <w:gridCol w:w="1614"/>
        <w:gridCol w:w="805"/>
        <w:gridCol w:w="886"/>
        <w:gridCol w:w="859"/>
        <w:gridCol w:w="1054"/>
      </w:tblGrid>
      <w:tr w14:paraId="2C27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jc w:val="center"/>
        </w:trPr>
        <w:tc>
          <w:tcPr>
            <w:tcW w:w="636" w:type="dxa"/>
            <w:vAlign w:val="center"/>
          </w:tcPr>
          <w:p w14:paraId="0F27CB1A">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序号</w:t>
            </w:r>
          </w:p>
        </w:tc>
        <w:tc>
          <w:tcPr>
            <w:tcW w:w="2264" w:type="dxa"/>
            <w:vAlign w:val="center"/>
          </w:tcPr>
          <w:p w14:paraId="503EE25F">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分项产品名称</w:t>
            </w:r>
          </w:p>
        </w:tc>
        <w:tc>
          <w:tcPr>
            <w:tcW w:w="736" w:type="dxa"/>
            <w:vAlign w:val="center"/>
          </w:tcPr>
          <w:p w14:paraId="7C68B6B0">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品牌</w:t>
            </w:r>
          </w:p>
        </w:tc>
        <w:tc>
          <w:tcPr>
            <w:tcW w:w="1202" w:type="dxa"/>
            <w:vAlign w:val="center"/>
          </w:tcPr>
          <w:p w14:paraId="4577A412">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规格型号</w:t>
            </w:r>
          </w:p>
        </w:tc>
        <w:tc>
          <w:tcPr>
            <w:tcW w:w="1614" w:type="dxa"/>
            <w:vAlign w:val="center"/>
          </w:tcPr>
          <w:p w14:paraId="0BCCBEB4">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制造商、产地</w:t>
            </w:r>
          </w:p>
        </w:tc>
        <w:tc>
          <w:tcPr>
            <w:tcW w:w="805" w:type="dxa"/>
            <w:vAlign w:val="center"/>
          </w:tcPr>
          <w:p w14:paraId="26A5069B">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数量</w:t>
            </w:r>
          </w:p>
        </w:tc>
        <w:tc>
          <w:tcPr>
            <w:tcW w:w="886" w:type="dxa"/>
            <w:vAlign w:val="center"/>
          </w:tcPr>
          <w:p w14:paraId="57FE1F0C">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单价（元）</w:t>
            </w:r>
          </w:p>
        </w:tc>
        <w:tc>
          <w:tcPr>
            <w:tcW w:w="859" w:type="dxa"/>
            <w:vAlign w:val="center"/>
          </w:tcPr>
          <w:p w14:paraId="014C90E7">
            <w:pPr>
              <w:keepNext w:val="0"/>
              <w:keepLines w:val="0"/>
              <w:suppressLineNumbers w:val="0"/>
              <w:spacing w:before="0" w:beforeAutospacing="0" w:after="0" w:afterAutospacing="0" w:line="360" w:lineRule="auto"/>
              <w:ind w:left="-92" w:leftChars="-44" w:right="0"/>
              <w:jc w:val="center"/>
              <w:rPr>
                <w:rFonts w:hint="default" w:cs="宋体"/>
                <w:color w:val="000000"/>
                <w:sz w:val="24"/>
              </w:rPr>
            </w:pPr>
            <w:r>
              <w:rPr>
                <w:rFonts w:hint="eastAsia" w:cs="宋体"/>
                <w:color w:val="000000"/>
                <w:sz w:val="24"/>
              </w:rPr>
              <w:t>合计</w:t>
            </w:r>
          </w:p>
          <w:p w14:paraId="10805D2A">
            <w:pPr>
              <w:keepNext w:val="0"/>
              <w:keepLines w:val="0"/>
              <w:suppressLineNumbers w:val="0"/>
              <w:spacing w:before="0" w:beforeAutospacing="0" w:after="0" w:afterAutospacing="0" w:line="360" w:lineRule="auto"/>
              <w:ind w:left="-92" w:leftChars="-44" w:right="0"/>
              <w:jc w:val="center"/>
              <w:rPr>
                <w:rFonts w:hint="default" w:cs="宋体"/>
                <w:color w:val="000000"/>
                <w:sz w:val="24"/>
              </w:rPr>
            </w:pPr>
            <w:r>
              <w:rPr>
                <w:rFonts w:hint="eastAsia" w:cs="宋体"/>
                <w:color w:val="000000"/>
                <w:sz w:val="24"/>
              </w:rPr>
              <w:t>（元）</w:t>
            </w:r>
          </w:p>
        </w:tc>
        <w:tc>
          <w:tcPr>
            <w:tcW w:w="1054" w:type="dxa"/>
            <w:vAlign w:val="center"/>
          </w:tcPr>
          <w:p w14:paraId="5546B5F8">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质量</w:t>
            </w:r>
          </w:p>
          <w:p w14:paraId="4F63C246">
            <w:pPr>
              <w:keepNext w:val="0"/>
              <w:keepLines w:val="0"/>
              <w:suppressLineNumbers w:val="0"/>
              <w:spacing w:before="0" w:beforeAutospacing="0" w:after="0" w:afterAutospacing="0" w:line="360" w:lineRule="auto"/>
              <w:ind w:left="0" w:right="0"/>
              <w:jc w:val="center"/>
              <w:rPr>
                <w:rFonts w:hint="default" w:cs="宋体"/>
                <w:color w:val="000000"/>
                <w:sz w:val="24"/>
              </w:rPr>
            </w:pPr>
            <w:r>
              <w:rPr>
                <w:rFonts w:hint="eastAsia" w:cs="宋体"/>
                <w:color w:val="000000"/>
                <w:sz w:val="24"/>
              </w:rPr>
              <w:t>保证期</w:t>
            </w:r>
          </w:p>
        </w:tc>
      </w:tr>
      <w:tr w14:paraId="0ED6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636" w:type="dxa"/>
            <w:vAlign w:val="center"/>
          </w:tcPr>
          <w:p w14:paraId="5A1548F8">
            <w:pPr>
              <w:keepNext w:val="0"/>
              <w:keepLines w:val="0"/>
              <w:suppressLineNumbers w:val="0"/>
              <w:spacing w:before="0" w:beforeAutospacing="0" w:after="0" w:afterAutospacing="0" w:line="360" w:lineRule="auto"/>
              <w:ind w:left="321" w:right="0"/>
              <w:rPr>
                <w:rFonts w:hint="default" w:cs="宋体"/>
                <w:color w:val="000000"/>
                <w:sz w:val="24"/>
              </w:rPr>
            </w:pPr>
          </w:p>
        </w:tc>
        <w:tc>
          <w:tcPr>
            <w:tcW w:w="2264" w:type="dxa"/>
            <w:vAlign w:val="center"/>
          </w:tcPr>
          <w:p w14:paraId="1EA68EC0">
            <w:pPr>
              <w:keepNext w:val="0"/>
              <w:keepLines w:val="0"/>
              <w:suppressLineNumbers w:val="0"/>
              <w:tabs>
                <w:tab w:val="right" w:leader="dot" w:pos="9628"/>
              </w:tabs>
              <w:autoSpaceDE w:val="0"/>
              <w:autoSpaceDN w:val="0"/>
              <w:adjustRightInd w:val="0"/>
              <w:spacing w:before="0" w:beforeAutospacing="0" w:after="0" w:afterAutospacing="0" w:line="360" w:lineRule="auto"/>
              <w:ind w:left="0" w:right="0"/>
              <w:jc w:val="center"/>
              <w:rPr>
                <w:rFonts w:hint="default" w:cs="宋体"/>
                <w:color w:val="000000"/>
                <w:sz w:val="24"/>
                <w:lang w:val="zh-CN"/>
              </w:rPr>
            </w:pPr>
          </w:p>
        </w:tc>
        <w:tc>
          <w:tcPr>
            <w:tcW w:w="736" w:type="dxa"/>
            <w:vAlign w:val="center"/>
          </w:tcPr>
          <w:p w14:paraId="7CAE9FAA">
            <w:pPr>
              <w:keepNext w:val="0"/>
              <w:keepLines w:val="0"/>
              <w:suppressLineNumbers w:val="0"/>
              <w:spacing w:before="0" w:beforeAutospacing="0" w:after="0" w:afterAutospacing="0" w:line="360" w:lineRule="auto"/>
              <w:ind w:left="0" w:right="0"/>
              <w:rPr>
                <w:rFonts w:hint="default" w:cs="宋体"/>
                <w:bCs/>
                <w:color w:val="000000"/>
                <w:sz w:val="24"/>
              </w:rPr>
            </w:pPr>
          </w:p>
        </w:tc>
        <w:tc>
          <w:tcPr>
            <w:tcW w:w="1202" w:type="dxa"/>
          </w:tcPr>
          <w:p w14:paraId="0BFB431E">
            <w:pPr>
              <w:keepNext w:val="0"/>
              <w:keepLines w:val="0"/>
              <w:suppressLineNumbers w:val="0"/>
              <w:spacing w:before="0" w:beforeAutospacing="0" w:after="0" w:afterAutospacing="0" w:line="360" w:lineRule="auto"/>
              <w:ind w:left="0" w:right="0"/>
              <w:jc w:val="center"/>
              <w:rPr>
                <w:rFonts w:hint="default" w:cs="宋体"/>
                <w:color w:val="000000"/>
                <w:sz w:val="24"/>
              </w:rPr>
            </w:pPr>
          </w:p>
        </w:tc>
        <w:tc>
          <w:tcPr>
            <w:tcW w:w="1614" w:type="dxa"/>
            <w:vAlign w:val="center"/>
          </w:tcPr>
          <w:p w14:paraId="74183F9F">
            <w:pPr>
              <w:keepNext w:val="0"/>
              <w:keepLines w:val="0"/>
              <w:suppressLineNumbers w:val="0"/>
              <w:spacing w:before="0" w:beforeAutospacing="0" w:after="0" w:afterAutospacing="0" w:line="360" w:lineRule="auto"/>
              <w:ind w:left="0" w:right="0"/>
              <w:jc w:val="center"/>
              <w:rPr>
                <w:rFonts w:hint="default" w:cs="宋体"/>
                <w:color w:val="000000"/>
                <w:sz w:val="24"/>
              </w:rPr>
            </w:pPr>
          </w:p>
        </w:tc>
        <w:tc>
          <w:tcPr>
            <w:tcW w:w="805" w:type="dxa"/>
            <w:vAlign w:val="center"/>
          </w:tcPr>
          <w:p w14:paraId="0D37D993">
            <w:pPr>
              <w:keepNext w:val="0"/>
              <w:keepLines w:val="0"/>
              <w:suppressLineNumbers w:val="0"/>
              <w:spacing w:before="0" w:beforeAutospacing="0" w:after="0" w:afterAutospacing="0" w:line="360" w:lineRule="auto"/>
              <w:ind w:left="0" w:right="0"/>
              <w:jc w:val="center"/>
              <w:rPr>
                <w:rFonts w:hint="default" w:cs="宋体"/>
                <w:bCs/>
                <w:color w:val="000000"/>
                <w:sz w:val="24"/>
              </w:rPr>
            </w:pPr>
          </w:p>
        </w:tc>
        <w:tc>
          <w:tcPr>
            <w:tcW w:w="886" w:type="dxa"/>
            <w:vAlign w:val="center"/>
          </w:tcPr>
          <w:p w14:paraId="7A839588">
            <w:pPr>
              <w:keepNext w:val="0"/>
              <w:keepLines w:val="0"/>
              <w:suppressLineNumbers w:val="0"/>
              <w:spacing w:before="0" w:beforeAutospacing="0" w:after="0" w:afterAutospacing="0" w:line="360" w:lineRule="auto"/>
              <w:ind w:left="0" w:right="0"/>
              <w:rPr>
                <w:rFonts w:hint="default" w:cs="宋体"/>
                <w:bCs/>
                <w:color w:val="000000"/>
                <w:sz w:val="24"/>
              </w:rPr>
            </w:pPr>
          </w:p>
        </w:tc>
        <w:tc>
          <w:tcPr>
            <w:tcW w:w="859" w:type="dxa"/>
            <w:vAlign w:val="center"/>
          </w:tcPr>
          <w:p w14:paraId="57EA70DE">
            <w:pPr>
              <w:keepNext w:val="0"/>
              <w:keepLines w:val="0"/>
              <w:suppressLineNumbers w:val="0"/>
              <w:spacing w:before="0" w:beforeAutospacing="0" w:after="0" w:afterAutospacing="0" w:line="360" w:lineRule="auto"/>
              <w:ind w:left="0" w:right="0"/>
              <w:rPr>
                <w:rFonts w:hint="default" w:cs="宋体"/>
                <w:bCs/>
                <w:color w:val="000000"/>
                <w:sz w:val="24"/>
              </w:rPr>
            </w:pPr>
          </w:p>
        </w:tc>
        <w:tc>
          <w:tcPr>
            <w:tcW w:w="1054" w:type="dxa"/>
            <w:vAlign w:val="center"/>
          </w:tcPr>
          <w:p w14:paraId="3A8130A3">
            <w:pPr>
              <w:keepNext w:val="0"/>
              <w:keepLines w:val="0"/>
              <w:suppressLineNumbers w:val="0"/>
              <w:spacing w:before="0" w:beforeAutospacing="0" w:after="0" w:afterAutospacing="0" w:line="360" w:lineRule="auto"/>
              <w:ind w:left="0" w:right="0"/>
              <w:rPr>
                <w:rFonts w:hint="default" w:cs="宋体"/>
                <w:bCs/>
                <w:color w:val="000000"/>
                <w:sz w:val="24"/>
              </w:rPr>
            </w:pPr>
          </w:p>
        </w:tc>
      </w:tr>
      <w:tr w14:paraId="6C6D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636" w:type="dxa"/>
            <w:vAlign w:val="center"/>
          </w:tcPr>
          <w:p w14:paraId="5574140A">
            <w:pPr>
              <w:keepNext w:val="0"/>
              <w:keepLines w:val="0"/>
              <w:suppressLineNumbers w:val="0"/>
              <w:spacing w:before="0" w:beforeAutospacing="0" w:after="0" w:afterAutospacing="0" w:line="360" w:lineRule="auto"/>
              <w:ind w:left="369" w:right="0" w:firstLine="1617" w:firstLineChars="674"/>
              <w:jc w:val="center"/>
              <w:rPr>
                <w:rFonts w:hint="default" w:cs="宋体"/>
                <w:color w:val="000000"/>
                <w:sz w:val="24"/>
              </w:rPr>
            </w:pPr>
          </w:p>
        </w:tc>
        <w:tc>
          <w:tcPr>
            <w:tcW w:w="2264" w:type="dxa"/>
            <w:vAlign w:val="center"/>
          </w:tcPr>
          <w:p w14:paraId="62183C24">
            <w:pPr>
              <w:keepNext w:val="0"/>
              <w:keepLines w:val="0"/>
              <w:suppressLineNumbers w:val="0"/>
              <w:tabs>
                <w:tab w:val="right" w:leader="dot" w:pos="9628"/>
              </w:tabs>
              <w:autoSpaceDE w:val="0"/>
              <w:autoSpaceDN w:val="0"/>
              <w:adjustRightInd w:val="0"/>
              <w:spacing w:before="0" w:beforeAutospacing="0" w:after="0" w:afterAutospacing="0" w:line="360" w:lineRule="auto"/>
              <w:ind w:left="0" w:right="0"/>
              <w:jc w:val="center"/>
              <w:rPr>
                <w:rFonts w:hint="default" w:cs="宋体"/>
                <w:color w:val="000000"/>
                <w:sz w:val="24"/>
                <w:lang w:val="zh-CN"/>
              </w:rPr>
            </w:pPr>
          </w:p>
        </w:tc>
        <w:tc>
          <w:tcPr>
            <w:tcW w:w="736" w:type="dxa"/>
            <w:vAlign w:val="center"/>
          </w:tcPr>
          <w:p w14:paraId="1B45245B">
            <w:pPr>
              <w:keepNext w:val="0"/>
              <w:keepLines w:val="0"/>
              <w:suppressLineNumbers w:val="0"/>
              <w:spacing w:before="0" w:beforeAutospacing="0" w:after="0" w:afterAutospacing="0" w:line="360" w:lineRule="auto"/>
              <w:ind w:left="0" w:right="0"/>
              <w:rPr>
                <w:rFonts w:hint="default" w:cs="宋体"/>
                <w:bCs/>
                <w:color w:val="000000"/>
                <w:sz w:val="24"/>
              </w:rPr>
            </w:pPr>
          </w:p>
        </w:tc>
        <w:tc>
          <w:tcPr>
            <w:tcW w:w="1202" w:type="dxa"/>
          </w:tcPr>
          <w:p w14:paraId="1CEA480C">
            <w:pPr>
              <w:keepNext w:val="0"/>
              <w:keepLines w:val="0"/>
              <w:suppressLineNumbers w:val="0"/>
              <w:spacing w:before="0" w:beforeAutospacing="0" w:after="0" w:afterAutospacing="0" w:line="360" w:lineRule="auto"/>
              <w:ind w:left="0" w:right="0"/>
              <w:jc w:val="center"/>
              <w:rPr>
                <w:rFonts w:hint="default" w:cs="宋体"/>
                <w:bCs/>
                <w:color w:val="000000"/>
                <w:sz w:val="24"/>
              </w:rPr>
            </w:pPr>
          </w:p>
        </w:tc>
        <w:tc>
          <w:tcPr>
            <w:tcW w:w="1614" w:type="dxa"/>
            <w:vAlign w:val="center"/>
          </w:tcPr>
          <w:p w14:paraId="052C8EF7">
            <w:pPr>
              <w:keepNext w:val="0"/>
              <w:keepLines w:val="0"/>
              <w:suppressLineNumbers w:val="0"/>
              <w:spacing w:before="0" w:beforeAutospacing="0" w:after="0" w:afterAutospacing="0" w:line="360" w:lineRule="auto"/>
              <w:ind w:left="0" w:right="0"/>
              <w:jc w:val="center"/>
              <w:rPr>
                <w:rFonts w:hint="default" w:cs="宋体"/>
                <w:bCs/>
                <w:color w:val="000000"/>
                <w:sz w:val="24"/>
              </w:rPr>
            </w:pPr>
          </w:p>
        </w:tc>
        <w:tc>
          <w:tcPr>
            <w:tcW w:w="805" w:type="dxa"/>
            <w:vAlign w:val="center"/>
          </w:tcPr>
          <w:p w14:paraId="417AF35E">
            <w:pPr>
              <w:keepNext w:val="0"/>
              <w:keepLines w:val="0"/>
              <w:suppressLineNumbers w:val="0"/>
              <w:spacing w:before="0" w:beforeAutospacing="0" w:after="0" w:afterAutospacing="0" w:line="360" w:lineRule="auto"/>
              <w:ind w:left="0" w:right="0"/>
              <w:jc w:val="center"/>
              <w:rPr>
                <w:rFonts w:hint="default" w:cs="宋体"/>
                <w:bCs/>
                <w:color w:val="000000"/>
                <w:sz w:val="24"/>
              </w:rPr>
            </w:pPr>
          </w:p>
        </w:tc>
        <w:tc>
          <w:tcPr>
            <w:tcW w:w="886" w:type="dxa"/>
            <w:vAlign w:val="center"/>
          </w:tcPr>
          <w:p w14:paraId="5F687340">
            <w:pPr>
              <w:keepNext w:val="0"/>
              <w:keepLines w:val="0"/>
              <w:suppressLineNumbers w:val="0"/>
              <w:spacing w:before="0" w:beforeAutospacing="0" w:after="0" w:afterAutospacing="0" w:line="360" w:lineRule="auto"/>
              <w:ind w:left="0" w:right="0"/>
              <w:rPr>
                <w:rFonts w:hint="default" w:cs="宋体"/>
                <w:bCs/>
                <w:color w:val="000000"/>
                <w:sz w:val="24"/>
              </w:rPr>
            </w:pPr>
          </w:p>
        </w:tc>
        <w:tc>
          <w:tcPr>
            <w:tcW w:w="859" w:type="dxa"/>
            <w:vAlign w:val="center"/>
          </w:tcPr>
          <w:p w14:paraId="58C3AC0A">
            <w:pPr>
              <w:keepNext w:val="0"/>
              <w:keepLines w:val="0"/>
              <w:suppressLineNumbers w:val="0"/>
              <w:spacing w:before="0" w:beforeAutospacing="0" w:after="0" w:afterAutospacing="0" w:line="360" w:lineRule="auto"/>
              <w:ind w:left="0" w:right="0"/>
              <w:rPr>
                <w:rFonts w:hint="default" w:cs="宋体"/>
                <w:bCs/>
                <w:color w:val="000000"/>
                <w:sz w:val="24"/>
              </w:rPr>
            </w:pPr>
          </w:p>
        </w:tc>
        <w:tc>
          <w:tcPr>
            <w:tcW w:w="1054" w:type="dxa"/>
            <w:vAlign w:val="center"/>
          </w:tcPr>
          <w:p w14:paraId="1A2E5F4C">
            <w:pPr>
              <w:keepNext w:val="0"/>
              <w:keepLines w:val="0"/>
              <w:suppressLineNumbers w:val="0"/>
              <w:spacing w:before="0" w:beforeAutospacing="0" w:after="0" w:afterAutospacing="0" w:line="360" w:lineRule="auto"/>
              <w:ind w:left="0" w:right="0"/>
              <w:rPr>
                <w:rFonts w:hint="default" w:cs="宋体"/>
                <w:bCs/>
                <w:color w:val="000000"/>
                <w:sz w:val="24"/>
              </w:rPr>
            </w:pPr>
          </w:p>
        </w:tc>
      </w:tr>
      <w:tr w14:paraId="5DA6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2900" w:type="dxa"/>
            <w:gridSpan w:val="2"/>
            <w:vAlign w:val="center"/>
          </w:tcPr>
          <w:p w14:paraId="358D93BE">
            <w:pPr>
              <w:keepNext w:val="0"/>
              <w:keepLines w:val="0"/>
              <w:suppressLineNumbers w:val="0"/>
              <w:tabs>
                <w:tab w:val="right" w:leader="dot" w:pos="9628"/>
              </w:tabs>
              <w:autoSpaceDE w:val="0"/>
              <w:autoSpaceDN w:val="0"/>
              <w:adjustRightInd w:val="0"/>
              <w:spacing w:before="0" w:beforeAutospacing="0" w:after="0" w:afterAutospacing="0" w:line="360" w:lineRule="auto"/>
              <w:ind w:left="0" w:right="0"/>
              <w:jc w:val="center"/>
              <w:rPr>
                <w:rFonts w:hint="default" w:cs="宋体"/>
                <w:color w:val="000000"/>
                <w:sz w:val="24"/>
                <w:lang w:val="zh-CN"/>
              </w:rPr>
            </w:pPr>
            <w:r>
              <w:rPr>
                <w:rFonts w:hint="eastAsia" w:cs="宋体"/>
                <w:color w:val="000000"/>
                <w:sz w:val="24"/>
                <w:lang w:val="zh-CN"/>
              </w:rPr>
              <w:t>数量</w:t>
            </w:r>
            <w:r>
              <w:rPr>
                <w:rFonts w:hint="default" w:cs="宋体"/>
                <w:color w:val="000000"/>
                <w:sz w:val="24"/>
                <w:lang w:val="zh-CN"/>
              </w:rPr>
              <w:t>合计</w:t>
            </w:r>
          </w:p>
        </w:tc>
        <w:tc>
          <w:tcPr>
            <w:tcW w:w="1938" w:type="dxa"/>
            <w:gridSpan w:val="2"/>
            <w:vAlign w:val="center"/>
          </w:tcPr>
          <w:p w14:paraId="7463E4EB">
            <w:pPr>
              <w:keepNext w:val="0"/>
              <w:keepLines w:val="0"/>
              <w:suppressLineNumbers w:val="0"/>
              <w:spacing w:before="0" w:beforeAutospacing="0" w:after="0" w:afterAutospacing="0" w:line="360" w:lineRule="auto"/>
              <w:ind w:left="0" w:right="0"/>
              <w:jc w:val="center"/>
              <w:rPr>
                <w:rFonts w:hint="default" w:cs="宋体"/>
                <w:bCs/>
                <w:color w:val="000000"/>
                <w:sz w:val="24"/>
              </w:rPr>
            </w:pPr>
          </w:p>
        </w:tc>
        <w:tc>
          <w:tcPr>
            <w:tcW w:w="2419" w:type="dxa"/>
            <w:gridSpan w:val="2"/>
            <w:vAlign w:val="center"/>
          </w:tcPr>
          <w:p w14:paraId="667A013A">
            <w:pPr>
              <w:keepNext w:val="0"/>
              <w:keepLines w:val="0"/>
              <w:suppressLineNumbers w:val="0"/>
              <w:spacing w:before="0" w:beforeAutospacing="0" w:after="0" w:afterAutospacing="0" w:line="360" w:lineRule="auto"/>
              <w:ind w:left="0" w:right="0"/>
              <w:jc w:val="center"/>
              <w:rPr>
                <w:rFonts w:hint="default" w:cs="宋体"/>
                <w:bCs/>
                <w:color w:val="000000"/>
                <w:sz w:val="24"/>
              </w:rPr>
            </w:pPr>
            <w:r>
              <w:rPr>
                <w:rFonts w:hint="eastAsia" w:cs="宋体"/>
                <w:bCs/>
                <w:color w:val="000000"/>
                <w:sz w:val="24"/>
              </w:rPr>
              <w:t>金额</w:t>
            </w:r>
            <w:r>
              <w:rPr>
                <w:rFonts w:hint="default" w:cs="宋体"/>
                <w:bCs/>
                <w:color w:val="000000"/>
                <w:sz w:val="24"/>
              </w:rPr>
              <w:t>合计</w:t>
            </w:r>
          </w:p>
        </w:tc>
        <w:tc>
          <w:tcPr>
            <w:tcW w:w="2799" w:type="dxa"/>
            <w:gridSpan w:val="3"/>
            <w:vAlign w:val="center"/>
          </w:tcPr>
          <w:p w14:paraId="0BFD56E5">
            <w:pPr>
              <w:keepNext w:val="0"/>
              <w:keepLines w:val="0"/>
              <w:suppressLineNumbers w:val="0"/>
              <w:spacing w:before="0" w:beforeAutospacing="0" w:after="0" w:afterAutospacing="0" w:line="360" w:lineRule="auto"/>
              <w:ind w:left="0" w:right="0"/>
              <w:rPr>
                <w:rFonts w:hint="default" w:cs="宋体"/>
                <w:bCs/>
                <w:color w:val="000000"/>
                <w:sz w:val="24"/>
              </w:rPr>
            </w:pPr>
          </w:p>
        </w:tc>
      </w:tr>
    </w:tbl>
    <w:p w14:paraId="70F04F69">
      <w:pPr>
        <w:pStyle w:val="2"/>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注</w:t>
      </w:r>
      <w:r>
        <w:rPr>
          <w:rFonts w:asciiTheme="minorEastAsia" w:hAnsiTheme="minorEastAsia" w:eastAsiaTheme="minorEastAsia"/>
          <w:sz w:val="24"/>
          <w:szCs w:val="24"/>
          <w:lang w:val="en-GB"/>
        </w:rPr>
        <w:t>：</w:t>
      </w:r>
    </w:p>
    <w:p w14:paraId="65516AE1">
      <w:pPr>
        <w:pStyle w:val="2"/>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 xml:space="preserve">    1.此表为《报价一览表》的报价明细表，表中各合计项与报价一览表中的对应项均一致相符，如不一致以报价一览表为准。此表如有缺项、漏项，视为响应报价中已包含相关费用，采购人无须另外支付任何费用。</w:t>
      </w:r>
    </w:p>
    <w:p w14:paraId="38D7FEAC">
      <w:pPr>
        <w:pStyle w:val="2"/>
        <w:spacing w:line="360" w:lineRule="auto"/>
        <w:ind w:firstLine="480"/>
        <w:rPr>
          <w:rFonts w:asciiTheme="minorEastAsia" w:hAnsiTheme="minorEastAsia" w:eastAsiaTheme="minorEastAsia"/>
          <w:sz w:val="24"/>
          <w:szCs w:val="24"/>
          <w:lang w:val="en-GB"/>
        </w:rPr>
      </w:pPr>
      <w:r>
        <w:rPr>
          <w:rFonts w:asciiTheme="minorEastAsia" w:hAnsiTheme="minorEastAsia" w:eastAsiaTheme="minorEastAsia"/>
          <w:sz w:val="24"/>
          <w:szCs w:val="24"/>
          <w:lang w:val="en-GB"/>
        </w:rPr>
        <w:t>2.</w:t>
      </w:r>
      <w:r>
        <w:rPr>
          <w:rFonts w:hint="eastAsia" w:asciiTheme="minorEastAsia" w:hAnsiTheme="minorEastAsia" w:eastAsiaTheme="minorEastAsia"/>
          <w:sz w:val="24"/>
          <w:szCs w:val="24"/>
          <w:lang w:val="en-GB"/>
        </w:rPr>
        <w:t>该表格式仅作参考，响应供应商的详细报价表格式可自定。</w:t>
      </w:r>
    </w:p>
    <w:p w14:paraId="30649AB1">
      <w:pPr>
        <w:pStyle w:val="2"/>
        <w:spacing w:line="360" w:lineRule="auto"/>
        <w:ind w:firstLine="48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3.评审小组认为响应供应商的报价明显低于其他通过资格审查响应供应商的报价，有可能影响产品质量或者不能诚信履约的，应当要求其在评审现场合理的时间内提供书面说明，必要时提交相关证明材料；响应供应商不能证明其报价合理性的，评审小组应当将其作为无效响应处理。</w:t>
      </w:r>
    </w:p>
    <w:p w14:paraId="22ACF0B4">
      <w:pPr>
        <w:pStyle w:val="2"/>
        <w:spacing w:line="360" w:lineRule="auto"/>
        <w:ind w:firstLine="480"/>
        <w:rPr>
          <w:rFonts w:asciiTheme="minorEastAsia" w:hAnsiTheme="minorEastAsia" w:eastAsiaTheme="minorEastAsia"/>
          <w:sz w:val="24"/>
          <w:szCs w:val="24"/>
        </w:rPr>
      </w:pPr>
      <w:r>
        <w:rPr>
          <w:rFonts w:hint="eastAsia" w:asciiTheme="minorEastAsia" w:hAnsiTheme="minorEastAsia" w:eastAsiaTheme="minorEastAsia"/>
          <w:sz w:val="24"/>
          <w:szCs w:val="24"/>
          <w:lang w:val="en-GB"/>
        </w:rPr>
        <w:t>4.</w:t>
      </w:r>
      <w:r>
        <w:rPr>
          <w:rFonts w:hint="eastAsia" w:asciiTheme="minorEastAsia" w:hAnsiTheme="minorEastAsia" w:eastAsiaTheme="minorEastAsia"/>
          <w:sz w:val="24"/>
          <w:szCs w:val="24"/>
        </w:rPr>
        <w:t xml:space="preserve"> 以人民币报价。</w:t>
      </w:r>
    </w:p>
    <w:p w14:paraId="637A0EE5">
      <w:pPr>
        <w:spacing w:line="360" w:lineRule="auto"/>
        <w:rPr>
          <w:rFonts w:asciiTheme="minorEastAsia" w:hAnsiTheme="minorEastAsia" w:eastAsiaTheme="minorEastAsia"/>
          <w:sz w:val="24"/>
        </w:rPr>
      </w:pPr>
    </w:p>
    <w:p w14:paraId="3C6FE45A">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078F43E2">
      <w:pPr>
        <w:spacing w:line="360" w:lineRule="auto"/>
        <w:ind w:left="4252" w:leftChars="2025"/>
        <w:jc w:val="right"/>
        <w:rPr>
          <w:rFonts w:asciiTheme="minorEastAsia" w:hAnsiTheme="minorEastAsia" w:eastAsiaTheme="minorEastAsia"/>
          <w:sz w:val="24"/>
        </w:rPr>
      </w:pPr>
    </w:p>
    <w:p w14:paraId="7E1D1801">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128D9144">
      <w:pPr>
        <w:pStyle w:val="17"/>
        <w:spacing w:line="360" w:lineRule="auto"/>
        <w:ind w:left="850" w:hanging="849" w:hangingChars="354"/>
        <w:rPr>
          <w:rFonts w:asciiTheme="minorEastAsia" w:hAnsiTheme="minorEastAsia" w:eastAsiaTheme="minorEastAsia"/>
          <w:sz w:val="24"/>
          <w:szCs w:val="24"/>
        </w:rPr>
      </w:pPr>
    </w:p>
    <w:p w14:paraId="010DA079">
      <w:pPr>
        <w:pStyle w:val="12"/>
        <w:spacing w:line="480" w:lineRule="auto"/>
        <w:jc w:val="center"/>
        <w:outlineLvl w:val="1"/>
        <w:rPr>
          <w:rFonts w:asciiTheme="minorEastAsia" w:hAnsiTheme="minorEastAsia" w:eastAsiaTheme="minorEastAsia"/>
          <w:b/>
          <w:sz w:val="28"/>
          <w:szCs w:val="28"/>
          <w:lang w:val="en-GB"/>
        </w:rPr>
      </w:pPr>
      <w:r>
        <w:rPr>
          <w:rFonts w:asciiTheme="minorEastAsia" w:hAnsiTheme="minorEastAsia" w:eastAsiaTheme="minorEastAsia"/>
          <w:sz w:val="24"/>
          <w:szCs w:val="24"/>
        </w:rPr>
        <w:br w:type="page"/>
      </w: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 xml:space="preserve">5  </w:t>
      </w:r>
      <w:r>
        <w:rPr>
          <w:rFonts w:hint="eastAsia" w:asciiTheme="minorEastAsia" w:hAnsiTheme="minorEastAsia" w:eastAsiaTheme="minorEastAsia"/>
          <w:b/>
          <w:sz w:val="28"/>
          <w:szCs w:val="28"/>
          <w:lang w:val="en-GB"/>
        </w:rPr>
        <w:t>法人营业执照副本复印件</w:t>
      </w:r>
    </w:p>
    <w:p w14:paraId="65909A0A">
      <w:pPr>
        <w:jc w:val="center"/>
        <w:rPr>
          <w:rFonts w:asciiTheme="minorEastAsia" w:hAnsiTheme="minorEastAsia" w:eastAsiaTheme="minorEastAsia"/>
          <w:b/>
          <w:sz w:val="28"/>
          <w:szCs w:val="28"/>
          <w:lang w:val="en-GB"/>
        </w:rPr>
      </w:pPr>
    </w:p>
    <w:p w14:paraId="7E850401">
      <w:pPr>
        <w:pStyle w:val="13"/>
        <w:spacing w:line="360" w:lineRule="auto"/>
        <w:rPr>
          <w:rFonts w:asciiTheme="minorEastAsia" w:hAnsiTheme="minorEastAsia" w:eastAsiaTheme="minorEastAsia"/>
          <w:b/>
          <w:sz w:val="28"/>
          <w:szCs w:val="28"/>
          <w:lang w:val="en-GB"/>
        </w:rPr>
      </w:pPr>
    </w:p>
    <w:p w14:paraId="35307634">
      <w:pPr>
        <w:pStyle w:val="13"/>
        <w:spacing w:line="360" w:lineRule="auto"/>
        <w:rPr>
          <w:rFonts w:asciiTheme="minorEastAsia" w:hAnsiTheme="minorEastAsia" w:eastAsiaTheme="minorEastAsia"/>
          <w:b/>
          <w:sz w:val="28"/>
          <w:szCs w:val="28"/>
          <w:lang w:val="en-GB"/>
        </w:rPr>
      </w:pPr>
    </w:p>
    <w:p w14:paraId="575D773E">
      <w:pPr>
        <w:pStyle w:val="13"/>
        <w:spacing w:line="360" w:lineRule="auto"/>
        <w:rPr>
          <w:rFonts w:asciiTheme="minorEastAsia" w:hAnsiTheme="minorEastAsia" w:eastAsiaTheme="minorEastAsia"/>
          <w:b/>
          <w:sz w:val="28"/>
          <w:szCs w:val="28"/>
          <w:lang w:val="en-GB"/>
        </w:rPr>
      </w:pPr>
    </w:p>
    <w:p w14:paraId="19AF23AA">
      <w:pPr>
        <w:pStyle w:val="13"/>
        <w:spacing w:line="360" w:lineRule="auto"/>
        <w:rPr>
          <w:rFonts w:asciiTheme="minorEastAsia" w:hAnsiTheme="minorEastAsia" w:eastAsiaTheme="minorEastAsia"/>
          <w:b/>
          <w:sz w:val="28"/>
          <w:szCs w:val="28"/>
          <w:lang w:val="en-GB"/>
        </w:rPr>
      </w:pPr>
    </w:p>
    <w:p w14:paraId="545B8906">
      <w:pPr>
        <w:pStyle w:val="13"/>
        <w:spacing w:line="360" w:lineRule="auto"/>
        <w:rPr>
          <w:rFonts w:asciiTheme="minorEastAsia" w:hAnsiTheme="minorEastAsia" w:eastAsiaTheme="minorEastAsia"/>
          <w:b/>
          <w:sz w:val="28"/>
          <w:szCs w:val="28"/>
          <w:lang w:val="en-GB"/>
        </w:rPr>
      </w:pPr>
    </w:p>
    <w:p w14:paraId="7D513840">
      <w:pPr>
        <w:pStyle w:val="13"/>
        <w:spacing w:line="360" w:lineRule="auto"/>
        <w:rPr>
          <w:rFonts w:asciiTheme="minorEastAsia" w:hAnsiTheme="minorEastAsia" w:eastAsiaTheme="minorEastAsia"/>
          <w:b/>
          <w:sz w:val="28"/>
          <w:szCs w:val="28"/>
          <w:lang w:val="en-GB"/>
        </w:rPr>
      </w:pPr>
    </w:p>
    <w:p w14:paraId="0DC1114E">
      <w:pPr>
        <w:pStyle w:val="13"/>
        <w:spacing w:line="360" w:lineRule="auto"/>
        <w:rPr>
          <w:rFonts w:asciiTheme="minorEastAsia" w:hAnsiTheme="minorEastAsia" w:eastAsiaTheme="minorEastAsia"/>
          <w:b/>
          <w:sz w:val="28"/>
          <w:szCs w:val="28"/>
          <w:lang w:val="en-GB"/>
        </w:rPr>
      </w:pPr>
    </w:p>
    <w:p w14:paraId="214D9DDE">
      <w:pPr>
        <w:pStyle w:val="13"/>
        <w:spacing w:line="360" w:lineRule="auto"/>
        <w:rPr>
          <w:rFonts w:asciiTheme="minorEastAsia" w:hAnsiTheme="minorEastAsia" w:eastAsiaTheme="minorEastAsia"/>
          <w:b/>
          <w:sz w:val="28"/>
          <w:szCs w:val="28"/>
          <w:lang w:val="en-GB"/>
        </w:rPr>
      </w:pPr>
    </w:p>
    <w:p w14:paraId="10ED2061">
      <w:pPr>
        <w:pStyle w:val="13"/>
        <w:spacing w:line="360" w:lineRule="auto"/>
        <w:rPr>
          <w:rFonts w:asciiTheme="minorEastAsia" w:hAnsiTheme="minorEastAsia" w:eastAsiaTheme="minorEastAsia"/>
          <w:b/>
          <w:sz w:val="28"/>
          <w:szCs w:val="28"/>
          <w:lang w:val="en-GB"/>
        </w:rPr>
      </w:pPr>
    </w:p>
    <w:p w14:paraId="6BF18167">
      <w:pPr>
        <w:pStyle w:val="13"/>
        <w:spacing w:line="360" w:lineRule="auto"/>
        <w:rPr>
          <w:rFonts w:asciiTheme="minorEastAsia" w:hAnsiTheme="minorEastAsia" w:eastAsiaTheme="minorEastAsia"/>
          <w:b/>
          <w:sz w:val="28"/>
          <w:szCs w:val="28"/>
          <w:lang w:val="en-GB"/>
        </w:rPr>
      </w:pPr>
    </w:p>
    <w:p w14:paraId="687A429D">
      <w:pPr>
        <w:pStyle w:val="13"/>
        <w:spacing w:line="360" w:lineRule="auto"/>
        <w:rPr>
          <w:rFonts w:asciiTheme="minorEastAsia" w:hAnsiTheme="minorEastAsia" w:eastAsiaTheme="minorEastAsia"/>
          <w:b/>
          <w:sz w:val="28"/>
          <w:szCs w:val="28"/>
          <w:lang w:val="en-GB"/>
        </w:rPr>
      </w:pPr>
    </w:p>
    <w:p w14:paraId="7684BB9C">
      <w:pPr>
        <w:pStyle w:val="13"/>
        <w:spacing w:line="360" w:lineRule="auto"/>
        <w:rPr>
          <w:rFonts w:asciiTheme="minorEastAsia" w:hAnsiTheme="minorEastAsia" w:eastAsiaTheme="minorEastAsia"/>
          <w:b/>
          <w:sz w:val="28"/>
          <w:szCs w:val="28"/>
          <w:lang w:val="en-GB"/>
        </w:rPr>
      </w:pPr>
    </w:p>
    <w:p w14:paraId="229D9779">
      <w:pPr>
        <w:pStyle w:val="13"/>
        <w:spacing w:line="360" w:lineRule="auto"/>
        <w:rPr>
          <w:rFonts w:asciiTheme="minorEastAsia" w:hAnsiTheme="minorEastAsia" w:eastAsiaTheme="minorEastAsia"/>
          <w:b/>
          <w:sz w:val="28"/>
          <w:szCs w:val="28"/>
          <w:lang w:val="en-GB"/>
        </w:rPr>
      </w:pPr>
    </w:p>
    <w:p w14:paraId="44D771BC">
      <w:pPr>
        <w:pStyle w:val="13"/>
        <w:spacing w:line="360" w:lineRule="auto"/>
        <w:rPr>
          <w:rFonts w:asciiTheme="minorEastAsia" w:hAnsiTheme="minorEastAsia" w:eastAsiaTheme="minorEastAsia"/>
          <w:b/>
          <w:sz w:val="28"/>
          <w:szCs w:val="28"/>
          <w:lang w:val="en-GB"/>
        </w:rPr>
      </w:pPr>
    </w:p>
    <w:p w14:paraId="29FAA3B4">
      <w:pPr>
        <w:pStyle w:val="13"/>
        <w:spacing w:line="360" w:lineRule="auto"/>
        <w:rPr>
          <w:rFonts w:asciiTheme="minorEastAsia" w:hAnsiTheme="minorEastAsia" w:eastAsiaTheme="minorEastAsia"/>
          <w:b/>
          <w:sz w:val="28"/>
          <w:szCs w:val="28"/>
          <w:lang w:val="en-GB"/>
        </w:rPr>
      </w:pPr>
    </w:p>
    <w:p w14:paraId="73D2F9E8">
      <w:pPr>
        <w:pStyle w:val="13"/>
        <w:spacing w:line="360" w:lineRule="auto"/>
        <w:rPr>
          <w:rFonts w:asciiTheme="minorEastAsia" w:hAnsiTheme="minorEastAsia" w:eastAsiaTheme="minorEastAsia"/>
          <w:b/>
          <w:sz w:val="28"/>
          <w:szCs w:val="28"/>
          <w:lang w:val="en-GB"/>
        </w:rPr>
      </w:pPr>
    </w:p>
    <w:p w14:paraId="6E3E9400">
      <w:pPr>
        <w:pStyle w:val="13"/>
        <w:spacing w:line="360" w:lineRule="auto"/>
        <w:rPr>
          <w:rFonts w:asciiTheme="minorEastAsia" w:hAnsiTheme="minorEastAsia" w:eastAsiaTheme="minorEastAsia"/>
          <w:b/>
          <w:sz w:val="28"/>
          <w:szCs w:val="28"/>
          <w:lang w:val="en-GB"/>
        </w:rPr>
      </w:pPr>
    </w:p>
    <w:p w14:paraId="373AAE8E">
      <w:pPr>
        <w:pStyle w:val="13"/>
        <w:spacing w:line="360" w:lineRule="auto"/>
        <w:rPr>
          <w:rFonts w:asciiTheme="minorEastAsia" w:hAnsiTheme="minorEastAsia" w:eastAsiaTheme="minorEastAsia"/>
          <w:b/>
          <w:sz w:val="28"/>
          <w:szCs w:val="28"/>
          <w:lang w:val="en-GB"/>
        </w:rPr>
      </w:pPr>
    </w:p>
    <w:p w14:paraId="4022432B">
      <w:pPr>
        <w:pStyle w:val="13"/>
        <w:spacing w:line="360" w:lineRule="auto"/>
        <w:rPr>
          <w:rFonts w:asciiTheme="minorEastAsia" w:hAnsiTheme="minorEastAsia" w:eastAsiaTheme="minorEastAsia"/>
          <w:b/>
          <w:sz w:val="28"/>
          <w:szCs w:val="28"/>
          <w:lang w:val="en-GB"/>
        </w:rPr>
      </w:pPr>
    </w:p>
    <w:p w14:paraId="540514A3">
      <w:pPr>
        <w:pStyle w:val="13"/>
        <w:spacing w:line="360" w:lineRule="auto"/>
        <w:rPr>
          <w:rFonts w:asciiTheme="minorEastAsia" w:hAnsiTheme="minorEastAsia" w:eastAsiaTheme="minorEastAsia"/>
          <w:b/>
          <w:sz w:val="28"/>
          <w:szCs w:val="28"/>
          <w:lang w:val="en-GB"/>
        </w:rPr>
      </w:pPr>
    </w:p>
    <w:p w14:paraId="5641E22E">
      <w:pPr>
        <w:pStyle w:val="13"/>
        <w:spacing w:line="360" w:lineRule="auto"/>
        <w:rPr>
          <w:rFonts w:asciiTheme="minorEastAsia" w:hAnsiTheme="minorEastAsia" w:eastAsiaTheme="minorEastAsia"/>
          <w:b/>
          <w:sz w:val="28"/>
          <w:szCs w:val="28"/>
          <w:lang w:val="en-GB"/>
        </w:rPr>
      </w:pPr>
    </w:p>
    <w:p w14:paraId="66F3754D">
      <w:pPr>
        <w:pStyle w:val="12"/>
        <w:spacing w:line="480" w:lineRule="auto"/>
        <w:jc w:val="center"/>
        <w:outlineLvl w:val="1"/>
        <w:rPr>
          <w:rFonts w:asciiTheme="minorEastAsia" w:hAnsiTheme="minorEastAsia" w:eastAsiaTheme="minorEastAsia"/>
          <w:b/>
          <w:sz w:val="28"/>
          <w:szCs w:val="32"/>
          <w:lang w:val="en-GB"/>
        </w:rPr>
      </w:pPr>
      <w:r>
        <w:rPr>
          <w:rFonts w:hint="eastAsia" w:asciiTheme="minorEastAsia" w:hAnsiTheme="minorEastAsia" w:eastAsiaTheme="minorEastAsia"/>
          <w:b/>
          <w:sz w:val="28"/>
          <w:szCs w:val="32"/>
          <w:lang w:val="en-GB"/>
        </w:rPr>
        <w:t>格式</w:t>
      </w:r>
      <w:r>
        <w:rPr>
          <w:rFonts w:asciiTheme="minorEastAsia" w:hAnsiTheme="minorEastAsia" w:eastAsiaTheme="minorEastAsia"/>
          <w:b/>
          <w:sz w:val="28"/>
          <w:szCs w:val="32"/>
          <w:lang w:val="en-GB"/>
        </w:rPr>
        <w:t xml:space="preserve">6  </w:t>
      </w:r>
      <w:r>
        <w:rPr>
          <w:rFonts w:hint="eastAsia" w:asciiTheme="minorEastAsia" w:hAnsiTheme="minorEastAsia" w:eastAsiaTheme="minorEastAsia"/>
          <w:b/>
          <w:sz w:val="28"/>
          <w:szCs w:val="32"/>
          <w:lang w:val="en-GB"/>
        </w:rPr>
        <w:t>医疗器械经营资质、医疗器械注册证、承诺函等其他材料</w:t>
      </w:r>
    </w:p>
    <w:p w14:paraId="1B82FA94">
      <w:pPr>
        <w:jc w:val="center"/>
        <w:rPr>
          <w:rFonts w:asciiTheme="minorEastAsia" w:hAnsiTheme="minorEastAsia" w:eastAsiaTheme="minorEastAsia"/>
          <w:b/>
          <w:sz w:val="28"/>
          <w:szCs w:val="28"/>
          <w:lang w:val="en-GB"/>
        </w:rPr>
      </w:pPr>
    </w:p>
    <w:p w14:paraId="66128FF4">
      <w:pPr>
        <w:pStyle w:val="13"/>
        <w:spacing w:line="360" w:lineRule="auto"/>
        <w:rPr>
          <w:rFonts w:asciiTheme="minorEastAsia" w:hAnsiTheme="minorEastAsia" w:eastAsiaTheme="minorEastAsia"/>
          <w:b/>
          <w:sz w:val="28"/>
          <w:szCs w:val="28"/>
          <w:lang w:val="en-GB"/>
        </w:rPr>
      </w:pPr>
    </w:p>
    <w:p w14:paraId="46F57518">
      <w:pPr>
        <w:pStyle w:val="13"/>
        <w:spacing w:line="360" w:lineRule="auto"/>
        <w:rPr>
          <w:rFonts w:asciiTheme="minorEastAsia" w:hAnsiTheme="minorEastAsia" w:eastAsiaTheme="minorEastAsia"/>
          <w:b/>
          <w:sz w:val="28"/>
          <w:szCs w:val="28"/>
          <w:lang w:val="en-GB"/>
        </w:rPr>
      </w:pPr>
    </w:p>
    <w:p w14:paraId="3BD006E3">
      <w:pPr>
        <w:pStyle w:val="13"/>
        <w:spacing w:line="360" w:lineRule="auto"/>
        <w:rPr>
          <w:rFonts w:asciiTheme="minorEastAsia" w:hAnsiTheme="minorEastAsia" w:eastAsiaTheme="minorEastAsia"/>
          <w:b/>
          <w:sz w:val="28"/>
          <w:szCs w:val="28"/>
          <w:lang w:val="en-GB"/>
        </w:rPr>
      </w:pPr>
    </w:p>
    <w:p w14:paraId="1F1E6EB0">
      <w:pPr>
        <w:pStyle w:val="13"/>
        <w:spacing w:line="360" w:lineRule="auto"/>
        <w:rPr>
          <w:rFonts w:asciiTheme="minorEastAsia" w:hAnsiTheme="minorEastAsia" w:eastAsiaTheme="minorEastAsia"/>
          <w:b/>
          <w:sz w:val="28"/>
          <w:szCs w:val="28"/>
          <w:lang w:val="en-GB"/>
        </w:rPr>
      </w:pPr>
    </w:p>
    <w:p w14:paraId="652553E4">
      <w:pPr>
        <w:pStyle w:val="13"/>
        <w:spacing w:line="360" w:lineRule="auto"/>
        <w:rPr>
          <w:rFonts w:asciiTheme="minorEastAsia" w:hAnsiTheme="minorEastAsia" w:eastAsiaTheme="minorEastAsia"/>
          <w:b/>
          <w:sz w:val="28"/>
          <w:szCs w:val="28"/>
          <w:lang w:val="en-GB"/>
        </w:rPr>
      </w:pPr>
    </w:p>
    <w:p w14:paraId="454C460D">
      <w:pPr>
        <w:pStyle w:val="13"/>
        <w:spacing w:line="360" w:lineRule="auto"/>
        <w:rPr>
          <w:rFonts w:asciiTheme="minorEastAsia" w:hAnsiTheme="minorEastAsia" w:eastAsiaTheme="minorEastAsia"/>
          <w:b/>
          <w:sz w:val="28"/>
          <w:szCs w:val="28"/>
          <w:lang w:val="en-GB"/>
        </w:rPr>
      </w:pPr>
    </w:p>
    <w:p w14:paraId="1CDCF45B">
      <w:pPr>
        <w:pStyle w:val="13"/>
        <w:spacing w:line="360" w:lineRule="auto"/>
        <w:rPr>
          <w:rFonts w:asciiTheme="minorEastAsia" w:hAnsiTheme="minorEastAsia" w:eastAsiaTheme="minorEastAsia"/>
          <w:b/>
          <w:sz w:val="28"/>
          <w:szCs w:val="28"/>
          <w:lang w:val="en-GB"/>
        </w:rPr>
      </w:pPr>
    </w:p>
    <w:p w14:paraId="090E214E">
      <w:pPr>
        <w:pStyle w:val="13"/>
        <w:spacing w:line="360" w:lineRule="auto"/>
        <w:rPr>
          <w:rFonts w:asciiTheme="minorEastAsia" w:hAnsiTheme="minorEastAsia" w:eastAsiaTheme="minorEastAsia"/>
          <w:b/>
          <w:sz w:val="28"/>
          <w:szCs w:val="28"/>
          <w:lang w:val="en-GB"/>
        </w:rPr>
      </w:pPr>
    </w:p>
    <w:p w14:paraId="3B409907">
      <w:pPr>
        <w:pStyle w:val="13"/>
        <w:spacing w:line="360" w:lineRule="auto"/>
        <w:rPr>
          <w:rFonts w:asciiTheme="minorEastAsia" w:hAnsiTheme="minorEastAsia" w:eastAsiaTheme="minorEastAsia"/>
          <w:b/>
          <w:sz w:val="28"/>
          <w:szCs w:val="28"/>
          <w:lang w:val="en-GB"/>
        </w:rPr>
      </w:pPr>
    </w:p>
    <w:p w14:paraId="6E17FE18">
      <w:pPr>
        <w:pStyle w:val="13"/>
        <w:spacing w:line="360" w:lineRule="auto"/>
        <w:rPr>
          <w:rFonts w:asciiTheme="minorEastAsia" w:hAnsiTheme="minorEastAsia" w:eastAsiaTheme="minorEastAsia"/>
          <w:b/>
          <w:sz w:val="28"/>
          <w:szCs w:val="28"/>
          <w:lang w:val="en-GB"/>
        </w:rPr>
      </w:pPr>
    </w:p>
    <w:p w14:paraId="253E2BC8">
      <w:pPr>
        <w:pStyle w:val="13"/>
        <w:spacing w:line="360" w:lineRule="auto"/>
        <w:rPr>
          <w:rFonts w:asciiTheme="minorEastAsia" w:hAnsiTheme="minorEastAsia" w:eastAsiaTheme="minorEastAsia"/>
          <w:b/>
          <w:sz w:val="28"/>
          <w:szCs w:val="28"/>
          <w:lang w:val="en-GB"/>
        </w:rPr>
      </w:pPr>
    </w:p>
    <w:p w14:paraId="1430E7DE">
      <w:pPr>
        <w:pStyle w:val="13"/>
        <w:spacing w:line="360" w:lineRule="auto"/>
        <w:rPr>
          <w:rFonts w:asciiTheme="minorEastAsia" w:hAnsiTheme="minorEastAsia" w:eastAsiaTheme="minorEastAsia"/>
          <w:b/>
          <w:sz w:val="28"/>
          <w:szCs w:val="28"/>
          <w:lang w:val="en-GB"/>
        </w:rPr>
      </w:pPr>
    </w:p>
    <w:p w14:paraId="2B9CCD49">
      <w:pPr>
        <w:pStyle w:val="13"/>
        <w:spacing w:line="360" w:lineRule="auto"/>
        <w:rPr>
          <w:rFonts w:asciiTheme="minorEastAsia" w:hAnsiTheme="minorEastAsia" w:eastAsiaTheme="minorEastAsia"/>
          <w:b/>
          <w:sz w:val="28"/>
          <w:szCs w:val="28"/>
          <w:lang w:val="en-GB"/>
        </w:rPr>
      </w:pPr>
    </w:p>
    <w:p w14:paraId="0C1A8D57">
      <w:pPr>
        <w:pStyle w:val="13"/>
        <w:spacing w:line="360" w:lineRule="auto"/>
        <w:rPr>
          <w:rFonts w:asciiTheme="minorEastAsia" w:hAnsiTheme="minorEastAsia" w:eastAsiaTheme="minorEastAsia"/>
          <w:b/>
          <w:sz w:val="28"/>
          <w:szCs w:val="28"/>
          <w:lang w:val="en-GB"/>
        </w:rPr>
      </w:pPr>
    </w:p>
    <w:p w14:paraId="0F4EF40E">
      <w:pPr>
        <w:pStyle w:val="13"/>
        <w:spacing w:line="360" w:lineRule="auto"/>
        <w:rPr>
          <w:rFonts w:asciiTheme="minorEastAsia" w:hAnsiTheme="minorEastAsia" w:eastAsiaTheme="minorEastAsia"/>
          <w:b/>
          <w:sz w:val="28"/>
          <w:szCs w:val="28"/>
          <w:lang w:val="en-GB"/>
        </w:rPr>
      </w:pPr>
    </w:p>
    <w:p w14:paraId="484B8D6F">
      <w:pPr>
        <w:pStyle w:val="13"/>
        <w:spacing w:line="360" w:lineRule="auto"/>
        <w:rPr>
          <w:rFonts w:asciiTheme="minorEastAsia" w:hAnsiTheme="minorEastAsia" w:eastAsiaTheme="minorEastAsia"/>
          <w:b/>
          <w:sz w:val="28"/>
          <w:szCs w:val="28"/>
          <w:lang w:val="en-GB"/>
        </w:rPr>
      </w:pPr>
    </w:p>
    <w:p w14:paraId="25C93ED7">
      <w:pPr>
        <w:pStyle w:val="13"/>
        <w:spacing w:line="360" w:lineRule="auto"/>
        <w:rPr>
          <w:rFonts w:asciiTheme="minorEastAsia" w:hAnsiTheme="minorEastAsia" w:eastAsiaTheme="minorEastAsia"/>
          <w:b/>
          <w:sz w:val="28"/>
          <w:szCs w:val="28"/>
          <w:lang w:val="en-GB"/>
        </w:rPr>
      </w:pPr>
    </w:p>
    <w:p w14:paraId="03517127">
      <w:pPr>
        <w:pStyle w:val="13"/>
        <w:spacing w:line="360" w:lineRule="auto"/>
        <w:rPr>
          <w:rFonts w:asciiTheme="minorEastAsia" w:hAnsiTheme="minorEastAsia" w:eastAsiaTheme="minorEastAsia"/>
          <w:b/>
          <w:sz w:val="28"/>
          <w:szCs w:val="28"/>
          <w:lang w:val="en-GB"/>
        </w:rPr>
      </w:pPr>
    </w:p>
    <w:p w14:paraId="666DFC55">
      <w:pPr>
        <w:pStyle w:val="13"/>
        <w:spacing w:line="360" w:lineRule="auto"/>
        <w:rPr>
          <w:rFonts w:asciiTheme="minorEastAsia" w:hAnsiTheme="minorEastAsia" w:eastAsiaTheme="minorEastAsia"/>
          <w:b/>
          <w:sz w:val="28"/>
          <w:szCs w:val="28"/>
          <w:lang w:val="en-GB"/>
        </w:rPr>
      </w:pPr>
    </w:p>
    <w:p w14:paraId="5EB431B8">
      <w:pPr>
        <w:pStyle w:val="12"/>
        <w:spacing w:line="480" w:lineRule="auto"/>
        <w:jc w:val="center"/>
        <w:outlineLvl w:val="1"/>
        <w:rPr>
          <w:rFonts w:hint="eastAsia" w:asciiTheme="minorEastAsia" w:hAnsiTheme="minorEastAsia" w:eastAsiaTheme="minorEastAsia"/>
          <w:b/>
          <w:sz w:val="28"/>
          <w:szCs w:val="32"/>
          <w:lang w:val="en-GB"/>
        </w:rPr>
      </w:pPr>
      <w:r>
        <w:rPr>
          <w:rFonts w:asciiTheme="minorEastAsia" w:hAnsiTheme="minorEastAsia" w:eastAsiaTheme="minorEastAsia"/>
          <w:b/>
          <w:sz w:val="28"/>
          <w:szCs w:val="28"/>
          <w:lang w:val="en-GB"/>
        </w:rPr>
        <w:br w:type="page"/>
      </w:r>
    </w:p>
    <w:p w14:paraId="3B27010D">
      <w:pPr>
        <w:pStyle w:val="12"/>
        <w:spacing w:line="480" w:lineRule="auto"/>
        <w:jc w:val="center"/>
        <w:outlineLvl w:val="1"/>
        <w:rPr>
          <w:rFonts w:asciiTheme="minorEastAsia" w:hAnsiTheme="minorEastAsia" w:eastAsiaTheme="minorEastAsia"/>
          <w:b/>
          <w:sz w:val="28"/>
          <w:szCs w:val="32"/>
        </w:rPr>
      </w:pPr>
      <w:r>
        <w:rPr>
          <w:rFonts w:hint="eastAsia" w:asciiTheme="minorEastAsia" w:hAnsiTheme="minorEastAsia" w:eastAsiaTheme="minorEastAsia"/>
          <w:b/>
          <w:sz w:val="28"/>
          <w:szCs w:val="32"/>
        </w:rPr>
        <w:t>格式7</w:t>
      </w:r>
      <w:r>
        <w:rPr>
          <w:rFonts w:asciiTheme="minorEastAsia" w:hAnsiTheme="minorEastAsia" w:eastAsiaTheme="minorEastAsia"/>
          <w:b/>
          <w:sz w:val="28"/>
          <w:szCs w:val="32"/>
        </w:rPr>
        <w:t xml:space="preserve">  </w:t>
      </w:r>
      <w:r>
        <w:rPr>
          <w:rFonts w:hint="eastAsia" w:asciiTheme="minorEastAsia" w:hAnsiTheme="minorEastAsia" w:eastAsiaTheme="minorEastAsia"/>
          <w:b/>
          <w:sz w:val="28"/>
          <w:szCs w:val="32"/>
        </w:rPr>
        <w:t>用户需求书响应一览表</w:t>
      </w:r>
    </w:p>
    <w:p w14:paraId="4D61A818">
      <w:pPr>
        <w:pStyle w:val="2"/>
      </w:pPr>
    </w:p>
    <w:p w14:paraId="7CFE220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广州医科大学附属番禺中心医院肌电图机采购项目（询比编号：CG-XBLX-202609-01）</w:t>
      </w:r>
    </w:p>
    <w:tbl>
      <w:tblPr>
        <w:tblStyle w:val="37"/>
        <w:tblW w:w="10835"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2928"/>
        <w:gridCol w:w="1508"/>
        <w:gridCol w:w="2322"/>
        <w:gridCol w:w="1668"/>
      </w:tblGrid>
      <w:tr w14:paraId="5B71BBE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14:paraId="4D3A120A">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用户需求</w:t>
            </w:r>
          </w:p>
          <w:p w14:paraId="561B07E4">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14:paraId="0628B06C">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是否“★”、“▲”号条款</w:t>
            </w:r>
          </w:p>
        </w:tc>
        <w:tc>
          <w:tcPr>
            <w:tcW w:w="2928" w:type="dxa"/>
            <w:tcBorders>
              <w:top w:val="single" w:color="auto" w:sz="12" w:space="0"/>
              <w:bottom w:val="single" w:color="auto" w:sz="2" w:space="0"/>
            </w:tcBorders>
            <w:vAlign w:val="center"/>
          </w:tcPr>
          <w:p w14:paraId="34F23F1C">
            <w:pPr>
              <w:keepNext w:val="0"/>
              <w:keepLines w:val="0"/>
              <w:suppressLineNumbers w:val="0"/>
              <w:spacing w:before="0" w:beforeAutospacing="0" w:after="0" w:afterAutospacing="0" w:line="360" w:lineRule="auto"/>
              <w:ind w:left="0" w:right="0"/>
              <w:jc w:val="center"/>
              <w:rPr>
                <w:rFonts w:hint="default" w:ascii="宋体" w:hAnsi="宋体" w:cs="宋体"/>
                <w:b/>
                <w:bCs/>
                <w:sz w:val="24"/>
              </w:rPr>
            </w:pPr>
            <w:r>
              <w:rPr>
                <w:rFonts w:hint="eastAsia" w:asciiTheme="minorEastAsia" w:hAnsiTheme="minorEastAsia" w:eastAsiaTheme="minorEastAsia"/>
                <w:b/>
                <w:sz w:val="24"/>
              </w:rPr>
              <w:t>询比文件条款描述</w:t>
            </w:r>
          </w:p>
        </w:tc>
        <w:tc>
          <w:tcPr>
            <w:tcW w:w="1508" w:type="dxa"/>
            <w:tcBorders>
              <w:top w:val="single" w:color="auto" w:sz="12" w:space="0"/>
              <w:bottom w:val="single" w:color="auto" w:sz="2" w:space="0"/>
            </w:tcBorders>
            <w:vAlign w:val="center"/>
          </w:tcPr>
          <w:p w14:paraId="0981D6ED">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14:paraId="343474DA">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偏离说明</w:t>
            </w:r>
          </w:p>
        </w:tc>
        <w:tc>
          <w:tcPr>
            <w:tcW w:w="1668" w:type="dxa"/>
            <w:tcBorders>
              <w:top w:val="single" w:color="auto" w:sz="12" w:space="0"/>
              <w:bottom w:val="single" w:color="auto" w:sz="2" w:space="0"/>
            </w:tcBorders>
            <w:vAlign w:val="center"/>
          </w:tcPr>
          <w:p w14:paraId="63BB01E3">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佐证</w:t>
            </w:r>
            <w:r>
              <w:rPr>
                <w:rFonts w:hint="default" w:ascii="宋体" w:hAnsi="宋体" w:cs="宋体"/>
                <w:sz w:val="24"/>
              </w:rPr>
              <w:t>材料页码</w:t>
            </w:r>
          </w:p>
        </w:tc>
      </w:tr>
      <w:tr w14:paraId="4E7DA50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14:paraId="18EC0B09">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tcBorders>
              <w:top w:val="single" w:color="auto" w:sz="2" w:space="0"/>
            </w:tcBorders>
            <w:vAlign w:val="center"/>
          </w:tcPr>
          <w:p w14:paraId="02764CAA">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2928" w:type="dxa"/>
            <w:tcBorders>
              <w:top w:val="single" w:color="auto" w:sz="2" w:space="0"/>
            </w:tcBorders>
            <w:vAlign w:val="center"/>
          </w:tcPr>
          <w:p w14:paraId="799634F4">
            <w:pPr>
              <w:keepNext w:val="0"/>
              <w:keepLines w:val="0"/>
              <w:suppressLineNumbers w:val="0"/>
              <w:tabs>
                <w:tab w:val="left" w:pos="525"/>
                <w:tab w:val="left" w:pos="846"/>
              </w:tabs>
              <w:autoSpaceDE w:val="0"/>
              <w:autoSpaceDN w:val="0"/>
              <w:adjustRightInd w:val="0"/>
              <w:spacing w:before="0" w:beforeAutospacing="0" w:after="0" w:afterAutospacing="0" w:line="400" w:lineRule="exact"/>
              <w:ind w:left="0" w:right="0"/>
              <w:jc w:val="center"/>
              <w:outlineLvl w:val="1"/>
              <w:rPr>
                <w:rFonts w:hint="default" w:ascii="宋体" w:hAnsi="宋体" w:cs="宋体"/>
                <w:bCs/>
                <w:sz w:val="24"/>
              </w:rPr>
            </w:pPr>
          </w:p>
        </w:tc>
        <w:tc>
          <w:tcPr>
            <w:tcW w:w="1508" w:type="dxa"/>
            <w:tcBorders>
              <w:top w:val="single" w:color="auto" w:sz="2" w:space="0"/>
            </w:tcBorders>
            <w:vAlign w:val="center"/>
          </w:tcPr>
          <w:p w14:paraId="4FD00E5F">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tcBorders>
              <w:top w:val="single" w:color="auto" w:sz="2" w:space="0"/>
            </w:tcBorders>
            <w:vAlign w:val="center"/>
          </w:tcPr>
          <w:p w14:paraId="351C5E45">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1668" w:type="dxa"/>
            <w:tcBorders>
              <w:top w:val="single" w:color="auto" w:sz="2" w:space="0"/>
            </w:tcBorders>
            <w:vAlign w:val="center"/>
          </w:tcPr>
          <w:p w14:paraId="34E13ED8">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0F6AB34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5506B5ED">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14:paraId="5FCA97F7">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2928" w:type="dxa"/>
            <w:vAlign w:val="center"/>
          </w:tcPr>
          <w:p w14:paraId="6EBDFEA5">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1508" w:type="dxa"/>
            <w:vAlign w:val="center"/>
          </w:tcPr>
          <w:p w14:paraId="1505A6E4">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7D46E1D2">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1668" w:type="dxa"/>
            <w:vAlign w:val="center"/>
          </w:tcPr>
          <w:p w14:paraId="2BD511C9">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25DB5A2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7FD057A8">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14:paraId="203C4E53">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2928" w:type="dxa"/>
            <w:vAlign w:val="center"/>
          </w:tcPr>
          <w:p w14:paraId="188F8D7B">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1508" w:type="dxa"/>
            <w:vAlign w:val="center"/>
          </w:tcPr>
          <w:p w14:paraId="5AB7FDAF">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0140D872">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1668" w:type="dxa"/>
            <w:vAlign w:val="center"/>
          </w:tcPr>
          <w:p w14:paraId="42F0626D">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610B57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27E382C3">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14:paraId="49C6BC16">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2928" w:type="dxa"/>
            <w:vAlign w:val="center"/>
          </w:tcPr>
          <w:p w14:paraId="3A0447FF">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1508" w:type="dxa"/>
            <w:vAlign w:val="center"/>
          </w:tcPr>
          <w:p w14:paraId="53976A47">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7AD6E179">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1668" w:type="dxa"/>
            <w:vAlign w:val="center"/>
          </w:tcPr>
          <w:p w14:paraId="5C086583">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14:paraId="36DC855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14:paraId="6702BCA4">
            <w:pPr>
              <w:keepNext w:val="0"/>
              <w:keepLines w:val="0"/>
              <w:suppressLineNumbers w:val="0"/>
              <w:spacing w:before="0" w:beforeAutospacing="0" w:after="0" w:afterAutospacing="0" w:line="400" w:lineRule="exact"/>
              <w:ind w:left="420" w:right="0"/>
              <w:rPr>
                <w:rFonts w:hint="default" w:ascii="宋体" w:hAnsi="宋体" w:cs="宋体"/>
                <w:sz w:val="24"/>
              </w:rPr>
            </w:pPr>
            <w:r>
              <w:rPr>
                <w:rFonts w:hint="default" w:ascii="宋体" w:hAnsi="宋体" w:cs="宋体"/>
                <w:sz w:val="24"/>
              </w:rPr>
              <w:t>……</w:t>
            </w:r>
          </w:p>
        </w:tc>
        <w:tc>
          <w:tcPr>
            <w:tcW w:w="1033" w:type="dxa"/>
            <w:vAlign w:val="center"/>
          </w:tcPr>
          <w:p w14:paraId="39010B27">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2928" w:type="dxa"/>
            <w:vAlign w:val="center"/>
          </w:tcPr>
          <w:p w14:paraId="1AD9B32B">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1508" w:type="dxa"/>
            <w:vAlign w:val="center"/>
          </w:tcPr>
          <w:p w14:paraId="7911CA68">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14:paraId="2CC5857E">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1668" w:type="dxa"/>
            <w:vAlign w:val="center"/>
          </w:tcPr>
          <w:p w14:paraId="05CC769B">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bl>
    <w:p w14:paraId="708380B3">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14:paraId="653FAED9"/>
    <w:p w14:paraId="159AF7BD">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14:paraId="5C39A75E">
      <w:pPr>
        <w:spacing w:line="360" w:lineRule="auto"/>
        <w:ind w:left="4252" w:leftChars="2025"/>
        <w:jc w:val="right"/>
        <w:rPr>
          <w:rFonts w:asciiTheme="minorEastAsia" w:hAnsiTheme="minorEastAsia" w:eastAsiaTheme="minorEastAsia"/>
          <w:sz w:val="24"/>
        </w:rPr>
      </w:pPr>
    </w:p>
    <w:p w14:paraId="5481E634">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14:paraId="61A9C272">
      <w:pPr>
        <w:pStyle w:val="2"/>
        <w:ind w:firstLine="0"/>
      </w:pPr>
    </w:p>
    <w:p w14:paraId="39076A6D">
      <w:pPr>
        <w:pStyle w:val="2"/>
        <w:rPr>
          <w:lang w:val="en-GB"/>
        </w:rPr>
      </w:pPr>
      <w:r>
        <w:rPr>
          <w:rFonts w:asciiTheme="minorEastAsia" w:hAnsiTheme="minorEastAsia" w:eastAsiaTheme="minorEastAsia"/>
          <w:b/>
          <w:sz w:val="28"/>
          <w:szCs w:val="28"/>
          <w:lang w:val="en-GB"/>
        </w:rPr>
        <w:br w:type="page"/>
      </w:r>
    </w:p>
    <w:p w14:paraId="520454E2">
      <w:pPr>
        <w:pStyle w:val="12"/>
        <w:spacing w:line="480" w:lineRule="auto"/>
        <w:jc w:val="center"/>
        <w:outlineLvl w:val="1"/>
        <w:rPr>
          <w:rFonts w:asciiTheme="minorEastAsia" w:hAnsiTheme="minorEastAsia" w:eastAsiaTheme="minorEastAsia"/>
          <w:b/>
          <w:bCs/>
          <w:sz w:val="32"/>
          <w:szCs w:val="32"/>
        </w:rPr>
      </w:pP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8</w:t>
      </w:r>
      <w:r>
        <w:rPr>
          <w:rFonts w:hint="eastAsia" w:asciiTheme="minorEastAsia" w:hAnsiTheme="minorEastAsia" w:eastAsiaTheme="minorEastAsia"/>
          <w:b/>
          <w:sz w:val="28"/>
          <w:szCs w:val="28"/>
        </w:rPr>
        <w:t xml:space="preserve">  售后</w:t>
      </w:r>
      <w:r>
        <w:rPr>
          <w:rFonts w:hint="eastAsia" w:asciiTheme="minorEastAsia" w:hAnsiTheme="minorEastAsia" w:eastAsiaTheme="minorEastAsia"/>
          <w:b/>
          <w:sz w:val="28"/>
          <w:szCs w:val="32"/>
        </w:rPr>
        <w:t>服务</w:t>
      </w:r>
      <w:r>
        <w:rPr>
          <w:rFonts w:hint="eastAsia" w:asciiTheme="minorEastAsia" w:hAnsiTheme="minorEastAsia" w:eastAsiaTheme="minorEastAsia"/>
          <w:b/>
          <w:sz w:val="28"/>
          <w:szCs w:val="28"/>
        </w:rPr>
        <w:t>方案</w:t>
      </w:r>
    </w:p>
    <w:p w14:paraId="7DE9611D">
      <w:pPr>
        <w:pStyle w:val="13"/>
        <w:spacing w:line="360" w:lineRule="auto"/>
        <w:jc w:val="center"/>
        <w:rPr>
          <w:rFonts w:asciiTheme="minorEastAsia" w:hAnsiTheme="minorEastAsia" w:eastAsiaTheme="minorEastAsia"/>
        </w:rPr>
      </w:pPr>
      <w:r>
        <w:rPr>
          <w:rFonts w:hint="eastAsia" w:asciiTheme="minorEastAsia" w:hAnsiTheme="minorEastAsia" w:eastAsiaTheme="minorEastAsia"/>
        </w:rPr>
        <w:t>（格式可自定）</w:t>
      </w:r>
    </w:p>
    <w:p w14:paraId="710746C5">
      <w:pPr>
        <w:jc w:val="center"/>
        <w:rPr>
          <w:rFonts w:asciiTheme="minorEastAsia" w:hAnsiTheme="minorEastAsia" w:eastAsiaTheme="minorEastAsia"/>
          <w:b/>
          <w:sz w:val="28"/>
          <w:szCs w:val="28"/>
          <w:lang w:val="en-GB"/>
        </w:rPr>
      </w:pPr>
    </w:p>
    <w:p w14:paraId="64A85623">
      <w:pPr>
        <w:jc w:val="center"/>
        <w:rPr>
          <w:rFonts w:asciiTheme="minorEastAsia" w:hAnsiTheme="minorEastAsia" w:eastAsiaTheme="minorEastAsia"/>
          <w:b/>
          <w:sz w:val="28"/>
          <w:szCs w:val="28"/>
          <w:lang w:val="en-GB"/>
        </w:rPr>
      </w:pPr>
    </w:p>
    <w:p w14:paraId="4655857D">
      <w:pPr>
        <w:jc w:val="center"/>
        <w:rPr>
          <w:rFonts w:asciiTheme="minorEastAsia" w:hAnsiTheme="minorEastAsia" w:eastAsiaTheme="minorEastAsia"/>
          <w:b/>
          <w:sz w:val="28"/>
          <w:szCs w:val="28"/>
          <w:lang w:val="en-GB"/>
        </w:rPr>
      </w:pPr>
    </w:p>
    <w:p w14:paraId="023C2F96">
      <w:pPr>
        <w:jc w:val="center"/>
        <w:rPr>
          <w:rFonts w:asciiTheme="minorEastAsia" w:hAnsiTheme="minorEastAsia" w:eastAsiaTheme="minorEastAsia"/>
          <w:b/>
          <w:sz w:val="28"/>
          <w:szCs w:val="28"/>
          <w:lang w:val="en-GB"/>
        </w:rPr>
      </w:pPr>
    </w:p>
    <w:p w14:paraId="716B24D0">
      <w:pPr>
        <w:jc w:val="center"/>
        <w:rPr>
          <w:rFonts w:asciiTheme="minorEastAsia" w:hAnsiTheme="minorEastAsia" w:eastAsiaTheme="minorEastAsia"/>
          <w:b/>
          <w:sz w:val="28"/>
          <w:szCs w:val="28"/>
          <w:lang w:val="en-GB"/>
        </w:rPr>
      </w:pPr>
    </w:p>
    <w:p w14:paraId="3A2E21C5">
      <w:pPr>
        <w:jc w:val="center"/>
        <w:rPr>
          <w:rFonts w:asciiTheme="minorEastAsia" w:hAnsiTheme="minorEastAsia" w:eastAsiaTheme="minorEastAsia"/>
          <w:b/>
          <w:sz w:val="28"/>
          <w:szCs w:val="28"/>
          <w:lang w:val="en-GB"/>
        </w:rPr>
      </w:pPr>
    </w:p>
    <w:p w14:paraId="0EC885A6">
      <w:pPr>
        <w:jc w:val="center"/>
        <w:rPr>
          <w:rFonts w:asciiTheme="minorEastAsia" w:hAnsiTheme="minorEastAsia" w:eastAsiaTheme="minorEastAsia"/>
          <w:b/>
          <w:sz w:val="28"/>
          <w:szCs w:val="28"/>
          <w:lang w:val="en-GB"/>
        </w:rPr>
      </w:pPr>
    </w:p>
    <w:p w14:paraId="0A0BE134">
      <w:pPr>
        <w:jc w:val="center"/>
        <w:rPr>
          <w:rFonts w:asciiTheme="minorEastAsia" w:hAnsiTheme="minorEastAsia" w:eastAsiaTheme="minorEastAsia"/>
          <w:b/>
          <w:sz w:val="28"/>
          <w:szCs w:val="28"/>
          <w:lang w:val="en-GB"/>
        </w:rPr>
      </w:pPr>
    </w:p>
    <w:p w14:paraId="602BC3D6">
      <w:pPr>
        <w:jc w:val="center"/>
        <w:rPr>
          <w:rFonts w:asciiTheme="minorEastAsia" w:hAnsiTheme="minorEastAsia" w:eastAsiaTheme="minorEastAsia"/>
          <w:b/>
          <w:sz w:val="28"/>
          <w:szCs w:val="28"/>
          <w:lang w:val="en-GB"/>
        </w:rPr>
      </w:pPr>
    </w:p>
    <w:p w14:paraId="4968A2D2">
      <w:pPr>
        <w:jc w:val="center"/>
        <w:rPr>
          <w:rFonts w:asciiTheme="minorEastAsia" w:hAnsiTheme="minorEastAsia" w:eastAsiaTheme="minorEastAsia"/>
          <w:b/>
          <w:sz w:val="28"/>
          <w:szCs w:val="28"/>
          <w:lang w:val="en-GB"/>
        </w:rPr>
      </w:pPr>
    </w:p>
    <w:p w14:paraId="6B347C1C">
      <w:pPr>
        <w:pStyle w:val="2"/>
        <w:rPr>
          <w:rFonts w:asciiTheme="minorEastAsia" w:hAnsiTheme="minorEastAsia" w:eastAsiaTheme="minorEastAsia"/>
          <w:lang w:val="en-GB"/>
        </w:rPr>
      </w:pPr>
    </w:p>
    <w:p w14:paraId="4DB42368">
      <w:pPr>
        <w:pStyle w:val="2"/>
        <w:rPr>
          <w:rFonts w:asciiTheme="minorEastAsia" w:hAnsiTheme="minorEastAsia" w:eastAsiaTheme="minorEastAsia"/>
          <w:lang w:val="en-GB"/>
        </w:rPr>
      </w:pPr>
    </w:p>
    <w:p w14:paraId="1E47D4EA">
      <w:pPr>
        <w:pStyle w:val="2"/>
        <w:rPr>
          <w:rFonts w:asciiTheme="minorEastAsia" w:hAnsiTheme="minorEastAsia" w:eastAsiaTheme="minorEastAsia"/>
          <w:lang w:val="en-GB"/>
        </w:rPr>
      </w:pPr>
    </w:p>
    <w:p w14:paraId="4EEBB0A0">
      <w:pPr>
        <w:pStyle w:val="2"/>
        <w:rPr>
          <w:rFonts w:asciiTheme="minorEastAsia" w:hAnsiTheme="minorEastAsia" w:eastAsiaTheme="minorEastAsia"/>
          <w:lang w:val="en-GB"/>
        </w:rPr>
      </w:pPr>
    </w:p>
    <w:p w14:paraId="7216AC66">
      <w:pPr>
        <w:pStyle w:val="2"/>
        <w:rPr>
          <w:rFonts w:asciiTheme="minorEastAsia" w:hAnsiTheme="minorEastAsia" w:eastAsiaTheme="minorEastAsia"/>
          <w:lang w:val="en-GB"/>
        </w:rPr>
      </w:pPr>
    </w:p>
    <w:p w14:paraId="4C2EEAB9">
      <w:pPr>
        <w:pStyle w:val="2"/>
        <w:rPr>
          <w:rFonts w:asciiTheme="minorEastAsia" w:hAnsiTheme="minorEastAsia" w:eastAsiaTheme="minorEastAsia"/>
          <w:lang w:val="en-GB"/>
        </w:rPr>
      </w:pPr>
    </w:p>
    <w:p w14:paraId="682D2B3F">
      <w:pPr>
        <w:pStyle w:val="2"/>
        <w:rPr>
          <w:rFonts w:asciiTheme="minorEastAsia" w:hAnsiTheme="minorEastAsia" w:eastAsiaTheme="minorEastAsia"/>
          <w:lang w:val="en-GB"/>
        </w:rPr>
      </w:pPr>
    </w:p>
    <w:p w14:paraId="62FD11F4">
      <w:pPr>
        <w:pStyle w:val="2"/>
        <w:rPr>
          <w:rFonts w:asciiTheme="minorEastAsia" w:hAnsiTheme="minorEastAsia" w:eastAsiaTheme="minorEastAsia"/>
          <w:lang w:val="en-GB"/>
        </w:rPr>
      </w:pPr>
    </w:p>
    <w:p w14:paraId="1E3FE893">
      <w:pPr>
        <w:pStyle w:val="2"/>
        <w:rPr>
          <w:rFonts w:asciiTheme="minorEastAsia" w:hAnsiTheme="minorEastAsia" w:eastAsiaTheme="minorEastAsia"/>
          <w:lang w:val="en-GB"/>
        </w:rPr>
      </w:pPr>
    </w:p>
    <w:p w14:paraId="62AECF16">
      <w:pPr>
        <w:pStyle w:val="2"/>
        <w:rPr>
          <w:rFonts w:asciiTheme="minorEastAsia" w:hAnsiTheme="minorEastAsia" w:eastAsiaTheme="minorEastAsia"/>
          <w:lang w:val="en-GB"/>
        </w:rPr>
      </w:pPr>
    </w:p>
    <w:p w14:paraId="6BD326DD">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 xml:space="preserve">9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增加的其他资料</w:t>
      </w:r>
    </w:p>
    <w:p w14:paraId="3FB4BB25">
      <w:pPr>
        <w:pStyle w:val="12"/>
        <w:spacing w:line="480" w:lineRule="auto"/>
        <w:jc w:val="center"/>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（例如且不限于技术先进性\技术成熟\性能稳定可靠的证明材料）</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3DF4B">
    <w:pPr>
      <w:pStyle w:val="22"/>
      <w:framePr w:wrap="around" w:vAnchor="text" w:hAnchor="margin" w:xAlign="center" w:y="1"/>
      <w:rPr>
        <w:rStyle w:val="41"/>
      </w:rPr>
    </w:pPr>
    <w:r>
      <w:fldChar w:fldCharType="begin"/>
    </w:r>
    <w:r>
      <w:rPr>
        <w:rStyle w:val="41"/>
      </w:rPr>
      <w:instrText xml:space="preserve">PAGE  </w:instrText>
    </w:r>
    <w:r>
      <w:fldChar w:fldCharType="end"/>
    </w:r>
  </w:p>
  <w:p w14:paraId="22C523EE">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F7E54">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3FF04CA7">
        <w:pPr>
          <w:pStyle w:val="23"/>
        </w:pPr>
        <w:r>
          <w:fldChar w:fldCharType="begin"/>
        </w:r>
        <w:r>
          <w:instrText xml:space="preserve">PAGE   \* MERGEFORMAT</w:instrText>
        </w:r>
        <w:r>
          <w:fldChar w:fldCharType="separate"/>
        </w:r>
        <w:r>
          <w:rPr>
            <w:lang w:val="zh-CN"/>
          </w:rPr>
          <w:t>15</w:t>
        </w:r>
        <w:r>
          <w:fldChar w:fldCharType="end"/>
        </w:r>
      </w:p>
    </w:sdtContent>
  </w:sdt>
  <w:p w14:paraId="296223D0">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B0B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BBFDFDEB"/>
    <w:multiLevelType w:val="multilevel"/>
    <w:tmpl w:val="BBFDFDEB"/>
    <w:lvl w:ilvl="0" w:tentative="0">
      <w:start w:val="6"/>
      <w:numFmt w:val="decimal"/>
      <w:lvlText w:val="%1"/>
      <w:lvlJc w:val="left"/>
      <w:pPr>
        <w:tabs>
          <w:tab w:val="left" w:pos="360"/>
        </w:tabs>
        <w:ind w:left="360" w:hanging="360"/>
      </w:pPr>
      <w:rPr>
        <w:rFonts w:hint="eastAsia" w:ascii="宋体" w:hAnsi="宋体" w:eastAsia="宋体" w:cs="宋体"/>
      </w:rPr>
    </w:lvl>
    <w:lvl w:ilvl="1" w:tentative="0">
      <w:start w:val="2"/>
      <w:numFmt w:val="decimal"/>
      <w:lvlText w:val="%1.%2"/>
      <w:lvlJc w:val="left"/>
      <w:pPr>
        <w:tabs>
          <w:tab w:val="left" w:pos="570"/>
        </w:tabs>
        <w:ind w:left="570" w:hanging="360"/>
      </w:pPr>
      <w:rPr>
        <w:rFonts w:hint="eastAsia" w:ascii="宋体" w:hAnsi="宋体" w:eastAsia="宋体" w:cs="宋体"/>
      </w:rPr>
    </w:lvl>
    <w:lvl w:ilvl="2" w:tentative="0">
      <w:start w:val="1"/>
      <w:numFmt w:val="decimal"/>
      <w:lvlText w:val="%1.%2.%3"/>
      <w:lvlJc w:val="left"/>
      <w:pPr>
        <w:tabs>
          <w:tab w:val="left" w:pos="1140"/>
        </w:tabs>
        <w:ind w:left="1140" w:hanging="720"/>
      </w:pPr>
      <w:rPr>
        <w:rFonts w:hint="eastAsia" w:ascii="宋体" w:hAnsi="宋体" w:eastAsia="宋体" w:cs="宋体"/>
      </w:rPr>
    </w:lvl>
    <w:lvl w:ilvl="3" w:tentative="0">
      <w:start w:val="1"/>
      <w:numFmt w:val="decimal"/>
      <w:lvlText w:val="%1.%2.%3.%4"/>
      <w:lvlJc w:val="left"/>
      <w:pPr>
        <w:tabs>
          <w:tab w:val="left" w:pos="1710"/>
        </w:tabs>
        <w:ind w:left="1710" w:hanging="1080"/>
      </w:pPr>
      <w:rPr>
        <w:rFonts w:hint="eastAsia" w:ascii="宋体" w:hAnsi="宋体" w:eastAsia="宋体" w:cs="宋体"/>
      </w:rPr>
    </w:lvl>
    <w:lvl w:ilvl="4" w:tentative="0">
      <w:start w:val="1"/>
      <w:numFmt w:val="decimal"/>
      <w:lvlText w:val="%1.%2.%3.%4.%5"/>
      <w:lvlJc w:val="left"/>
      <w:pPr>
        <w:tabs>
          <w:tab w:val="left" w:pos="1920"/>
        </w:tabs>
        <w:ind w:left="1920" w:hanging="1080"/>
      </w:pPr>
      <w:rPr>
        <w:rFonts w:hint="eastAsia" w:ascii="宋体" w:hAnsi="宋体" w:eastAsia="宋体" w:cs="宋体"/>
      </w:rPr>
    </w:lvl>
    <w:lvl w:ilvl="5" w:tentative="0">
      <w:start w:val="1"/>
      <w:numFmt w:val="decimal"/>
      <w:lvlText w:val="%1.%2.%3.%4.%5.%6"/>
      <w:lvlJc w:val="left"/>
      <w:pPr>
        <w:tabs>
          <w:tab w:val="left" w:pos="2490"/>
        </w:tabs>
        <w:ind w:left="2490" w:hanging="1440"/>
      </w:pPr>
      <w:rPr>
        <w:rFonts w:hint="eastAsia" w:ascii="宋体" w:hAnsi="宋体" w:eastAsia="宋体" w:cs="宋体"/>
      </w:rPr>
    </w:lvl>
    <w:lvl w:ilvl="6" w:tentative="0">
      <w:start w:val="1"/>
      <w:numFmt w:val="decimal"/>
      <w:lvlText w:val="%1.%2.%3.%4.%5.%6.%7"/>
      <w:lvlJc w:val="left"/>
      <w:pPr>
        <w:tabs>
          <w:tab w:val="left" w:pos="3060"/>
        </w:tabs>
        <w:ind w:left="3060" w:hanging="1800"/>
      </w:pPr>
      <w:rPr>
        <w:rFonts w:hint="eastAsia" w:ascii="宋体" w:hAnsi="宋体" w:eastAsia="宋体" w:cs="宋体"/>
      </w:rPr>
    </w:lvl>
    <w:lvl w:ilvl="7" w:tentative="0">
      <w:start w:val="1"/>
      <w:numFmt w:val="decimal"/>
      <w:lvlText w:val="%1.%2.%3.%4.%5.%6.%7.%8"/>
      <w:lvlJc w:val="left"/>
      <w:pPr>
        <w:tabs>
          <w:tab w:val="left" w:pos="3270"/>
        </w:tabs>
        <w:ind w:left="3270" w:hanging="1800"/>
      </w:pPr>
      <w:rPr>
        <w:rFonts w:hint="eastAsia" w:ascii="宋体" w:hAnsi="宋体" w:eastAsia="宋体" w:cs="宋体"/>
      </w:rPr>
    </w:lvl>
    <w:lvl w:ilvl="8" w:tentative="0">
      <w:start w:val="1"/>
      <w:numFmt w:val="decimal"/>
      <w:lvlText w:val="%1.%2.%3.%4.%5.%6.%7.%8.%9"/>
      <w:lvlJc w:val="left"/>
      <w:pPr>
        <w:tabs>
          <w:tab w:val="left" w:pos="3840"/>
        </w:tabs>
        <w:ind w:left="3840" w:hanging="2160"/>
      </w:pPr>
      <w:rPr>
        <w:rFonts w:hint="eastAsia" w:ascii="宋体" w:hAnsi="宋体" w:eastAsia="宋体" w:cs="宋体"/>
      </w:rPr>
    </w:lvl>
  </w:abstractNum>
  <w:abstractNum w:abstractNumId="2">
    <w:nsid w:val="FDDE34E9"/>
    <w:multiLevelType w:val="multilevel"/>
    <w:tmpl w:val="FDDE34E9"/>
    <w:lvl w:ilvl="0" w:tentative="0">
      <w:start w:val="1"/>
      <w:numFmt w:val="decimal"/>
      <w:lvlText w:val="（%1）"/>
      <w:lvlJc w:val="left"/>
      <w:pPr>
        <w:tabs>
          <w:tab w:val="left" w:pos="1648"/>
        </w:tabs>
        <w:ind w:left="1648" w:hanging="720"/>
      </w:pPr>
      <w:rPr>
        <w:rFonts w:hint="eastAsia" w:ascii="宋体" w:hAnsi="宋体" w:eastAsia="宋体" w:cs="宋体"/>
      </w:rPr>
    </w:lvl>
    <w:lvl w:ilvl="1" w:tentative="0">
      <w:start w:val="1"/>
      <w:numFmt w:val="lowerLetter"/>
      <w:lvlText w:val="%2)"/>
      <w:lvlJc w:val="left"/>
      <w:pPr>
        <w:tabs>
          <w:tab w:val="left" w:pos="1768"/>
        </w:tabs>
        <w:ind w:left="1768" w:hanging="420"/>
      </w:pPr>
      <w:rPr>
        <w:rFonts w:hint="default" w:ascii="Times New Roman" w:hAnsi="Times New Roman" w:cs="Times New Roman"/>
      </w:rPr>
    </w:lvl>
    <w:lvl w:ilvl="2" w:tentative="0">
      <w:start w:val="1"/>
      <w:numFmt w:val="lowerRoman"/>
      <w:lvlText w:val="%3."/>
      <w:lvlJc w:val="right"/>
      <w:pPr>
        <w:tabs>
          <w:tab w:val="left" w:pos="2188"/>
        </w:tabs>
        <w:ind w:left="2188" w:hanging="420"/>
      </w:pPr>
      <w:rPr>
        <w:rFonts w:hint="default" w:ascii="Times New Roman" w:hAnsi="Times New Roman" w:cs="Times New Roman"/>
      </w:rPr>
    </w:lvl>
    <w:lvl w:ilvl="3" w:tentative="0">
      <w:start w:val="1"/>
      <w:numFmt w:val="decimal"/>
      <w:lvlText w:val="%4."/>
      <w:lvlJc w:val="left"/>
      <w:pPr>
        <w:tabs>
          <w:tab w:val="left" w:pos="2608"/>
        </w:tabs>
        <w:ind w:left="2608" w:hanging="420"/>
      </w:pPr>
      <w:rPr>
        <w:rFonts w:hint="default" w:ascii="Times New Roman" w:hAnsi="Times New Roman" w:cs="Times New Roman"/>
      </w:rPr>
    </w:lvl>
    <w:lvl w:ilvl="4" w:tentative="0">
      <w:start w:val="1"/>
      <w:numFmt w:val="lowerLetter"/>
      <w:lvlText w:val="%5)"/>
      <w:lvlJc w:val="left"/>
      <w:pPr>
        <w:tabs>
          <w:tab w:val="left" w:pos="3028"/>
        </w:tabs>
        <w:ind w:left="3028" w:hanging="420"/>
      </w:pPr>
      <w:rPr>
        <w:rFonts w:hint="default" w:ascii="Times New Roman" w:hAnsi="Times New Roman" w:cs="Times New Roman"/>
      </w:rPr>
    </w:lvl>
    <w:lvl w:ilvl="5" w:tentative="0">
      <w:start w:val="1"/>
      <w:numFmt w:val="lowerRoman"/>
      <w:lvlText w:val="%6."/>
      <w:lvlJc w:val="right"/>
      <w:pPr>
        <w:tabs>
          <w:tab w:val="left" w:pos="3448"/>
        </w:tabs>
        <w:ind w:left="3448" w:hanging="420"/>
      </w:pPr>
      <w:rPr>
        <w:rFonts w:hint="default" w:ascii="Times New Roman" w:hAnsi="Times New Roman" w:cs="Times New Roman"/>
      </w:rPr>
    </w:lvl>
    <w:lvl w:ilvl="6" w:tentative="0">
      <w:start w:val="1"/>
      <w:numFmt w:val="decimal"/>
      <w:lvlText w:val="%7."/>
      <w:lvlJc w:val="left"/>
      <w:pPr>
        <w:tabs>
          <w:tab w:val="left" w:pos="3868"/>
        </w:tabs>
        <w:ind w:left="3868" w:hanging="420"/>
      </w:pPr>
      <w:rPr>
        <w:rFonts w:hint="default" w:ascii="Times New Roman" w:hAnsi="Times New Roman" w:cs="Times New Roman"/>
      </w:rPr>
    </w:lvl>
    <w:lvl w:ilvl="7" w:tentative="0">
      <w:start w:val="1"/>
      <w:numFmt w:val="lowerLetter"/>
      <w:lvlText w:val="%8)"/>
      <w:lvlJc w:val="left"/>
      <w:pPr>
        <w:tabs>
          <w:tab w:val="left" w:pos="4288"/>
        </w:tabs>
        <w:ind w:left="4288" w:hanging="420"/>
      </w:pPr>
      <w:rPr>
        <w:rFonts w:hint="default" w:ascii="Times New Roman" w:hAnsi="Times New Roman" w:cs="Times New Roman"/>
      </w:rPr>
    </w:lvl>
    <w:lvl w:ilvl="8" w:tentative="0">
      <w:start w:val="1"/>
      <w:numFmt w:val="lowerRoman"/>
      <w:lvlText w:val="%9."/>
      <w:lvlJc w:val="right"/>
      <w:pPr>
        <w:tabs>
          <w:tab w:val="left" w:pos="4708"/>
        </w:tabs>
        <w:ind w:left="4708" w:hanging="420"/>
      </w:pPr>
      <w:rPr>
        <w:rFonts w:hint="default" w:ascii="Times New Roman" w:hAnsi="Times New Roman" w:cs="Times New Roman"/>
      </w:rPr>
    </w:lvl>
  </w:abstractNum>
  <w:abstractNum w:abstractNumId="3">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FE2D2E8"/>
    <w:multiLevelType w:val="multilevel"/>
    <w:tmpl w:val="7FE2D2E8"/>
    <w:lvl w:ilvl="0" w:tentative="0">
      <w:start w:val="1"/>
      <w:numFmt w:val="decimal"/>
      <w:lvlText w:val="（%1）"/>
      <w:lvlJc w:val="left"/>
      <w:pPr>
        <w:tabs>
          <w:tab w:val="left" w:pos="945"/>
        </w:tabs>
        <w:ind w:left="945" w:hanging="66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5"/>
  </w:num>
  <w:num w:numId="3">
    <w:abstractNumId w:val="1"/>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KGWebUrl" w:val="http://10.2.240.65:8888/seeyon/kgOfficeServlet?tolen=1556fa7992128f6ae17a8629a8399858&amp;tko=KINGGRID_JSAPI&amp;m=s"/>
  </w:docVars>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60A3"/>
    <w:rsid w:val="000160CE"/>
    <w:rsid w:val="0001793F"/>
    <w:rsid w:val="00017E50"/>
    <w:rsid w:val="000209E5"/>
    <w:rsid w:val="000222B0"/>
    <w:rsid w:val="00022C19"/>
    <w:rsid w:val="00024311"/>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B2E"/>
    <w:rsid w:val="000606BE"/>
    <w:rsid w:val="00060D0C"/>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96E"/>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83B"/>
    <w:rsid w:val="001F7510"/>
    <w:rsid w:val="001F7CE0"/>
    <w:rsid w:val="002005AC"/>
    <w:rsid w:val="002006EA"/>
    <w:rsid w:val="00202BF6"/>
    <w:rsid w:val="00203A70"/>
    <w:rsid w:val="00203A95"/>
    <w:rsid w:val="00203D25"/>
    <w:rsid w:val="002041FA"/>
    <w:rsid w:val="00204A6F"/>
    <w:rsid w:val="00204F2D"/>
    <w:rsid w:val="00206147"/>
    <w:rsid w:val="00206BA5"/>
    <w:rsid w:val="00207EBE"/>
    <w:rsid w:val="0021031B"/>
    <w:rsid w:val="002114DC"/>
    <w:rsid w:val="00212FE6"/>
    <w:rsid w:val="002147AB"/>
    <w:rsid w:val="00214B43"/>
    <w:rsid w:val="00214F41"/>
    <w:rsid w:val="002158EE"/>
    <w:rsid w:val="00216819"/>
    <w:rsid w:val="002172E6"/>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DAB"/>
    <w:rsid w:val="00266D0D"/>
    <w:rsid w:val="00267186"/>
    <w:rsid w:val="00267CDD"/>
    <w:rsid w:val="00267EB1"/>
    <w:rsid w:val="00271496"/>
    <w:rsid w:val="00271B97"/>
    <w:rsid w:val="00271D64"/>
    <w:rsid w:val="0027454E"/>
    <w:rsid w:val="00274868"/>
    <w:rsid w:val="00274A0A"/>
    <w:rsid w:val="00274DA0"/>
    <w:rsid w:val="00275830"/>
    <w:rsid w:val="00276015"/>
    <w:rsid w:val="0027679A"/>
    <w:rsid w:val="00276C4F"/>
    <w:rsid w:val="00276CE0"/>
    <w:rsid w:val="00277E0A"/>
    <w:rsid w:val="002807CF"/>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172E"/>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5E1"/>
    <w:rsid w:val="002D484B"/>
    <w:rsid w:val="002D4D88"/>
    <w:rsid w:val="002D5069"/>
    <w:rsid w:val="002D5ACA"/>
    <w:rsid w:val="002D5DC9"/>
    <w:rsid w:val="002D6572"/>
    <w:rsid w:val="002D7581"/>
    <w:rsid w:val="002D758F"/>
    <w:rsid w:val="002D7728"/>
    <w:rsid w:val="002D7C22"/>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312C"/>
    <w:rsid w:val="003332C1"/>
    <w:rsid w:val="003339E0"/>
    <w:rsid w:val="00335305"/>
    <w:rsid w:val="00335313"/>
    <w:rsid w:val="00336EB4"/>
    <w:rsid w:val="0033721E"/>
    <w:rsid w:val="003377B0"/>
    <w:rsid w:val="00337A61"/>
    <w:rsid w:val="00337CD1"/>
    <w:rsid w:val="00337E8C"/>
    <w:rsid w:val="00340391"/>
    <w:rsid w:val="003407C5"/>
    <w:rsid w:val="003419F0"/>
    <w:rsid w:val="00344A21"/>
    <w:rsid w:val="00346A26"/>
    <w:rsid w:val="00347042"/>
    <w:rsid w:val="00347505"/>
    <w:rsid w:val="00347F99"/>
    <w:rsid w:val="00351420"/>
    <w:rsid w:val="003525E2"/>
    <w:rsid w:val="00352C67"/>
    <w:rsid w:val="00353435"/>
    <w:rsid w:val="00353CB1"/>
    <w:rsid w:val="00354B5D"/>
    <w:rsid w:val="00354EBD"/>
    <w:rsid w:val="003562E3"/>
    <w:rsid w:val="0035764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1B2"/>
    <w:rsid w:val="0037254D"/>
    <w:rsid w:val="00373966"/>
    <w:rsid w:val="00374002"/>
    <w:rsid w:val="00374B8A"/>
    <w:rsid w:val="00374C4A"/>
    <w:rsid w:val="003752F5"/>
    <w:rsid w:val="00375904"/>
    <w:rsid w:val="00375CD4"/>
    <w:rsid w:val="00376D44"/>
    <w:rsid w:val="00377CC9"/>
    <w:rsid w:val="00377DEE"/>
    <w:rsid w:val="00377EA4"/>
    <w:rsid w:val="0038007B"/>
    <w:rsid w:val="00381550"/>
    <w:rsid w:val="00381567"/>
    <w:rsid w:val="003837A5"/>
    <w:rsid w:val="00383804"/>
    <w:rsid w:val="00383C2E"/>
    <w:rsid w:val="00383E61"/>
    <w:rsid w:val="0038400D"/>
    <w:rsid w:val="00384A74"/>
    <w:rsid w:val="003862D6"/>
    <w:rsid w:val="00386832"/>
    <w:rsid w:val="00390345"/>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122"/>
    <w:rsid w:val="003A5210"/>
    <w:rsid w:val="003A5ADC"/>
    <w:rsid w:val="003A6544"/>
    <w:rsid w:val="003A67BB"/>
    <w:rsid w:val="003B0360"/>
    <w:rsid w:val="003B0997"/>
    <w:rsid w:val="003B0A52"/>
    <w:rsid w:val="003B0CE1"/>
    <w:rsid w:val="003B0D40"/>
    <w:rsid w:val="003B0E67"/>
    <w:rsid w:val="003B219F"/>
    <w:rsid w:val="003B23E2"/>
    <w:rsid w:val="003B4BCF"/>
    <w:rsid w:val="003B4D2D"/>
    <w:rsid w:val="003B65A3"/>
    <w:rsid w:val="003B6A33"/>
    <w:rsid w:val="003B7096"/>
    <w:rsid w:val="003C00A5"/>
    <w:rsid w:val="003C212A"/>
    <w:rsid w:val="003C3192"/>
    <w:rsid w:val="003C36A3"/>
    <w:rsid w:val="003C37C1"/>
    <w:rsid w:val="003C4C65"/>
    <w:rsid w:val="003C524E"/>
    <w:rsid w:val="003C5502"/>
    <w:rsid w:val="003C5944"/>
    <w:rsid w:val="003C688A"/>
    <w:rsid w:val="003C6CDB"/>
    <w:rsid w:val="003C7DD6"/>
    <w:rsid w:val="003D0913"/>
    <w:rsid w:val="003D0A11"/>
    <w:rsid w:val="003D0C6B"/>
    <w:rsid w:val="003D10E1"/>
    <w:rsid w:val="003D1D52"/>
    <w:rsid w:val="003D3318"/>
    <w:rsid w:val="003D4EBB"/>
    <w:rsid w:val="003D5406"/>
    <w:rsid w:val="003E05C6"/>
    <w:rsid w:val="003E0756"/>
    <w:rsid w:val="003E0CBE"/>
    <w:rsid w:val="003E0D10"/>
    <w:rsid w:val="003E145A"/>
    <w:rsid w:val="003E14E2"/>
    <w:rsid w:val="003E2167"/>
    <w:rsid w:val="003E3402"/>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62DD"/>
    <w:rsid w:val="00406A95"/>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615A"/>
    <w:rsid w:val="0042680E"/>
    <w:rsid w:val="0043038D"/>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4DB1"/>
    <w:rsid w:val="00464FAB"/>
    <w:rsid w:val="00466627"/>
    <w:rsid w:val="00466B5F"/>
    <w:rsid w:val="00467CC7"/>
    <w:rsid w:val="0047043F"/>
    <w:rsid w:val="00470C04"/>
    <w:rsid w:val="00470CA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51C3"/>
    <w:rsid w:val="004B5A46"/>
    <w:rsid w:val="004B6825"/>
    <w:rsid w:val="004C12B5"/>
    <w:rsid w:val="004C1E40"/>
    <w:rsid w:val="004C31FD"/>
    <w:rsid w:val="004C39AF"/>
    <w:rsid w:val="004C4777"/>
    <w:rsid w:val="004C5DE7"/>
    <w:rsid w:val="004C68AB"/>
    <w:rsid w:val="004C7EF2"/>
    <w:rsid w:val="004D0B6F"/>
    <w:rsid w:val="004D0BEE"/>
    <w:rsid w:val="004D186E"/>
    <w:rsid w:val="004D25AC"/>
    <w:rsid w:val="004D2AA3"/>
    <w:rsid w:val="004D438E"/>
    <w:rsid w:val="004D4E43"/>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4A2C"/>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6713"/>
    <w:rsid w:val="00506F76"/>
    <w:rsid w:val="00507A1D"/>
    <w:rsid w:val="00507A72"/>
    <w:rsid w:val="00507AA6"/>
    <w:rsid w:val="00510325"/>
    <w:rsid w:val="00510403"/>
    <w:rsid w:val="00511757"/>
    <w:rsid w:val="00513F53"/>
    <w:rsid w:val="00514972"/>
    <w:rsid w:val="00516A16"/>
    <w:rsid w:val="00516E80"/>
    <w:rsid w:val="00517827"/>
    <w:rsid w:val="00517E57"/>
    <w:rsid w:val="00521DD3"/>
    <w:rsid w:val="00522854"/>
    <w:rsid w:val="0052392F"/>
    <w:rsid w:val="00523D33"/>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263"/>
    <w:rsid w:val="005549A0"/>
    <w:rsid w:val="0055643D"/>
    <w:rsid w:val="00556790"/>
    <w:rsid w:val="00557051"/>
    <w:rsid w:val="00557884"/>
    <w:rsid w:val="00557D87"/>
    <w:rsid w:val="00557DB8"/>
    <w:rsid w:val="005602FA"/>
    <w:rsid w:val="00560CEC"/>
    <w:rsid w:val="0056156A"/>
    <w:rsid w:val="00562DA4"/>
    <w:rsid w:val="00564395"/>
    <w:rsid w:val="005644FA"/>
    <w:rsid w:val="0056527A"/>
    <w:rsid w:val="005657B9"/>
    <w:rsid w:val="00566087"/>
    <w:rsid w:val="00566433"/>
    <w:rsid w:val="00567098"/>
    <w:rsid w:val="00567AF6"/>
    <w:rsid w:val="00567D84"/>
    <w:rsid w:val="0057076E"/>
    <w:rsid w:val="005711E5"/>
    <w:rsid w:val="005715B2"/>
    <w:rsid w:val="00572570"/>
    <w:rsid w:val="00574412"/>
    <w:rsid w:val="00574B1C"/>
    <w:rsid w:val="0057582D"/>
    <w:rsid w:val="00575B39"/>
    <w:rsid w:val="005769D3"/>
    <w:rsid w:val="00577113"/>
    <w:rsid w:val="0057744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3C33"/>
    <w:rsid w:val="005C5D1E"/>
    <w:rsid w:val="005C6B84"/>
    <w:rsid w:val="005D038D"/>
    <w:rsid w:val="005D04FE"/>
    <w:rsid w:val="005D0913"/>
    <w:rsid w:val="005D0DFC"/>
    <w:rsid w:val="005D1283"/>
    <w:rsid w:val="005D13CC"/>
    <w:rsid w:val="005D160D"/>
    <w:rsid w:val="005D2717"/>
    <w:rsid w:val="005D3E22"/>
    <w:rsid w:val="005D4433"/>
    <w:rsid w:val="005D4953"/>
    <w:rsid w:val="005D56ED"/>
    <w:rsid w:val="005D6859"/>
    <w:rsid w:val="005D704E"/>
    <w:rsid w:val="005E3357"/>
    <w:rsid w:val="005E3657"/>
    <w:rsid w:val="005E4354"/>
    <w:rsid w:val="005E470E"/>
    <w:rsid w:val="005E66E4"/>
    <w:rsid w:val="005E6F53"/>
    <w:rsid w:val="005E74A9"/>
    <w:rsid w:val="005E75C4"/>
    <w:rsid w:val="005F0A3C"/>
    <w:rsid w:val="005F11A1"/>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8E1"/>
    <w:rsid w:val="006241B8"/>
    <w:rsid w:val="00626C01"/>
    <w:rsid w:val="00630457"/>
    <w:rsid w:val="00631701"/>
    <w:rsid w:val="00632564"/>
    <w:rsid w:val="0063292C"/>
    <w:rsid w:val="00633B10"/>
    <w:rsid w:val="00634ED5"/>
    <w:rsid w:val="00636DA8"/>
    <w:rsid w:val="00636EE2"/>
    <w:rsid w:val="00637376"/>
    <w:rsid w:val="006404CD"/>
    <w:rsid w:val="006411F3"/>
    <w:rsid w:val="00641D71"/>
    <w:rsid w:val="006420DF"/>
    <w:rsid w:val="006439A3"/>
    <w:rsid w:val="00644D9B"/>
    <w:rsid w:val="006457CE"/>
    <w:rsid w:val="00647130"/>
    <w:rsid w:val="00650BBE"/>
    <w:rsid w:val="006510F4"/>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54FF"/>
    <w:rsid w:val="00665E15"/>
    <w:rsid w:val="00667724"/>
    <w:rsid w:val="00667785"/>
    <w:rsid w:val="00670D09"/>
    <w:rsid w:val="006711FC"/>
    <w:rsid w:val="00671231"/>
    <w:rsid w:val="00671FBD"/>
    <w:rsid w:val="00675C75"/>
    <w:rsid w:val="0067773E"/>
    <w:rsid w:val="00677ED9"/>
    <w:rsid w:val="006807EA"/>
    <w:rsid w:val="006814DC"/>
    <w:rsid w:val="006825BF"/>
    <w:rsid w:val="006826C9"/>
    <w:rsid w:val="006840B6"/>
    <w:rsid w:val="006853BB"/>
    <w:rsid w:val="00687483"/>
    <w:rsid w:val="00687927"/>
    <w:rsid w:val="006901A4"/>
    <w:rsid w:val="006904DD"/>
    <w:rsid w:val="006909D0"/>
    <w:rsid w:val="006910DD"/>
    <w:rsid w:val="006915A8"/>
    <w:rsid w:val="00693793"/>
    <w:rsid w:val="0069406C"/>
    <w:rsid w:val="00694D22"/>
    <w:rsid w:val="006953E6"/>
    <w:rsid w:val="00695778"/>
    <w:rsid w:val="0069640C"/>
    <w:rsid w:val="00697629"/>
    <w:rsid w:val="006A087F"/>
    <w:rsid w:val="006A0D96"/>
    <w:rsid w:val="006A212F"/>
    <w:rsid w:val="006A32F3"/>
    <w:rsid w:val="006A331F"/>
    <w:rsid w:val="006A60DE"/>
    <w:rsid w:val="006A7314"/>
    <w:rsid w:val="006A7620"/>
    <w:rsid w:val="006B26A1"/>
    <w:rsid w:val="006B2EBB"/>
    <w:rsid w:val="006B3D00"/>
    <w:rsid w:val="006B64C5"/>
    <w:rsid w:val="006B6800"/>
    <w:rsid w:val="006B69FE"/>
    <w:rsid w:val="006C01B2"/>
    <w:rsid w:val="006C0283"/>
    <w:rsid w:val="006C1FF0"/>
    <w:rsid w:val="006C23A1"/>
    <w:rsid w:val="006C26C5"/>
    <w:rsid w:val="006C2AF4"/>
    <w:rsid w:val="006C496D"/>
    <w:rsid w:val="006C4F53"/>
    <w:rsid w:val="006C50A3"/>
    <w:rsid w:val="006C5714"/>
    <w:rsid w:val="006C69B4"/>
    <w:rsid w:val="006C77E6"/>
    <w:rsid w:val="006D027B"/>
    <w:rsid w:val="006D0529"/>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622C"/>
    <w:rsid w:val="006F7A49"/>
    <w:rsid w:val="007012BF"/>
    <w:rsid w:val="00702D08"/>
    <w:rsid w:val="00705EA7"/>
    <w:rsid w:val="007062EF"/>
    <w:rsid w:val="007066ED"/>
    <w:rsid w:val="007073C4"/>
    <w:rsid w:val="00707E03"/>
    <w:rsid w:val="00710730"/>
    <w:rsid w:val="00710A07"/>
    <w:rsid w:val="0071174A"/>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E2D"/>
    <w:rsid w:val="007234A0"/>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6C74"/>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2373"/>
    <w:rsid w:val="00763D39"/>
    <w:rsid w:val="00764AC3"/>
    <w:rsid w:val="00764B75"/>
    <w:rsid w:val="0076502E"/>
    <w:rsid w:val="00765538"/>
    <w:rsid w:val="00765DC2"/>
    <w:rsid w:val="00765FD3"/>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2552"/>
    <w:rsid w:val="00793703"/>
    <w:rsid w:val="007938A3"/>
    <w:rsid w:val="00793C16"/>
    <w:rsid w:val="00795546"/>
    <w:rsid w:val="00795D7E"/>
    <w:rsid w:val="00796D66"/>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B0D8C"/>
    <w:rsid w:val="007B14DF"/>
    <w:rsid w:val="007B3C33"/>
    <w:rsid w:val="007B4652"/>
    <w:rsid w:val="007B75EC"/>
    <w:rsid w:val="007B7E8A"/>
    <w:rsid w:val="007C0234"/>
    <w:rsid w:val="007C0F7C"/>
    <w:rsid w:val="007C34D6"/>
    <w:rsid w:val="007C375E"/>
    <w:rsid w:val="007C3CF0"/>
    <w:rsid w:val="007C403C"/>
    <w:rsid w:val="007C4870"/>
    <w:rsid w:val="007C4EF2"/>
    <w:rsid w:val="007C605C"/>
    <w:rsid w:val="007C6567"/>
    <w:rsid w:val="007C656F"/>
    <w:rsid w:val="007C68D2"/>
    <w:rsid w:val="007C69E1"/>
    <w:rsid w:val="007C77F0"/>
    <w:rsid w:val="007D1BA2"/>
    <w:rsid w:val="007D1BCA"/>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1EB1"/>
    <w:rsid w:val="00802FFD"/>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6359"/>
    <w:rsid w:val="00846A8E"/>
    <w:rsid w:val="00846B80"/>
    <w:rsid w:val="0084791B"/>
    <w:rsid w:val="00850AE0"/>
    <w:rsid w:val="0085115D"/>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425F"/>
    <w:rsid w:val="008E4599"/>
    <w:rsid w:val="008E56BF"/>
    <w:rsid w:val="008E67A5"/>
    <w:rsid w:val="008F18A2"/>
    <w:rsid w:val="008F1B33"/>
    <w:rsid w:val="008F25F9"/>
    <w:rsid w:val="008F34D6"/>
    <w:rsid w:val="008F35FE"/>
    <w:rsid w:val="008F3649"/>
    <w:rsid w:val="008F392E"/>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5B0F"/>
    <w:rsid w:val="00906471"/>
    <w:rsid w:val="00906B73"/>
    <w:rsid w:val="00907D0C"/>
    <w:rsid w:val="0091077A"/>
    <w:rsid w:val="00911349"/>
    <w:rsid w:val="0091187F"/>
    <w:rsid w:val="00911F1A"/>
    <w:rsid w:val="0091368C"/>
    <w:rsid w:val="00913966"/>
    <w:rsid w:val="0091435A"/>
    <w:rsid w:val="009147B5"/>
    <w:rsid w:val="00915910"/>
    <w:rsid w:val="00916E2B"/>
    <w:rsid w:val="00920302"/>
    <w:rsid w:val="00921F66"/>
    <w:rsid w:val="00922CBE"/>
    <w:rsid w:val="00922FCE"/>
    <w:rsid w:val="0092300C"/>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89C"/>
    <w:rsid w:val="00985D3F"/>
    <w:rsid w:val="0098684C"/>
    <w:rsid w:val="00987E95"/>
    <w:rsid w:val="00990F18"/>
    <w:rsid w:val="00991326"/>
    <w:rsid w:val="00991F1A"/>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1B70"/>
    <w:rsid w:val="009B202D"/>
    <w:rsid w:val="009B3319"/>
    <w:rsid w:val="009B4739"/>
    <w:rsid w:val="009B4E6F"/>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D72"/>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3241"/>
    <w:rsid w:val="00A13462"/>
    <w:rsid w:val="00A15EC1"/>
    <w:rsid w:val="00A16265"/>
    <w:rsid w:val="00A16E86"/>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960"/>
    <w:rsid w:val="00A549E9"/>
    <w:rsid w:val="00A556E1"/>
    <w:rsid w:val="00A55DD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7726"/>
    <w:rsid w:val="00A77D39"/>
    <w:rsid w:val="00A80169"/>
    <w:rsid w:val="00A8023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77B7"/>
    <w:rsid w:val="00AA038F"/>
    <w:rsid w:val="00AA0CE4"/>
    <w:rsid w:val="00AA17FF"/>
    <w:rsid w:val="00AA2F33"/>
    <w:rsid w:val="00AA32C3"/>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133C"/>
    <w:rsid w:val="00AC14E6"/>
    <w:rsid w:val="00AC2C30"/>
    <w:rsid w:val="00AC42A1"/>
    <w:rsid w:val="00AC5AD9"/>
    <w:rsid w:val="00AC5E83"/>
    <w:rsid w:val="00AC6698"/>
    <w:rsid w:val="00AC6C42"/>
    <w:rsid w:val="00AC7071"/>
    <w:rsid w:val="00AC7E49"/>
    <w:rsid w:val="00AD0978"/>
    <w:rsid w:val="00AD0F03"/>
    <w:rsid w:val="00AD2B18"/>
    <w:rsid w:val="00AD395D"/>
    <w:rsid w:val="00AD5A61"/>
    <w:rsid w:val="00AD7DBA"/>
    <w:rsid w:val="00AD7E99"/>
    <w:rsid w:val="00AE1515"/>
    <w:rsid w:val="00AE22A9"/>
    <w:rsid w:val="00AE2300"/>
    <w:rsid w:val="00AE2CA7"/>
    <w:rsid w:val="00AE3212"/>
    <w:rsid w:val="00AE477F"/>
    <w:rsid w:val="00AE4CA4"/>
    <w:rsid w:val="00AE544F"/>
    <w:rsid w:val="00AE54B1"/>
    <w:rsid w:val="00AE62BE"/>
    <w:rsid w:val="00AE6D6B"/>
    <w:rsid w:val="00AE6E4E"/>
    <w:rsid w:val="00AE705D"/>
    <w:rsid w:val="00AE75C2"/>
    <w:rsid w:val="00AE7AA0"/>
    <w:rsid w:val="00AF08B5"/>
    <w:rsid w:val="00AF22C8"/>
    <w:rsid w:val="00AF329F"/>
    <w:rsid w:val="00AF4197"/>
    <w:rsid w:val="00AF4504"/>
    <w:rsid w:val="00AF4AF9"/>
    <w:rsid w:val="00AF643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863"/>
    <w:rsid w:val="00B8450F"/>
    <w:rsid w:val="00B849EE"/>
    <w:rsid w:val="00B8504A"/>
    <w:rsid w:val="00B85211"/>
    <w:rsid w:val="00B85324"/>
    <w:rsid w:val="00B8618D"/>
    <w:rsid w:val="00B92716"/>
    <w:rsid w:val="00B944AA"/>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78D"/>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73B1"/>
    <w:rsid w:val="00BF16D4"/>
    <w:rsid w:val="00BF1C2B"/>
    <w:rsid w:val="00BF21F1"/>
    <w:rsid w:val="00BF273B"/>
    <w:rsid w:val="00BF340D"/>
    <w:rsid w:val="00BF4936"/>
    <w:rsid w:val="00BF5522"/>
    <w:rsid w:val="00BF5C70"/>
    <w:rsid w:val="00BF61A8"/>
    <w:rsid w:val="00BF727E"/>
    <w:rsid w:val="00BF7420"/>
    <w:rsid w:val="00BF7518"/>
    <w:rsid w:val="00BF7E7B"/>
    <w:rsid w:val="00C0070F"/>
    <w:rsid w:val="00C00899"/>
    <w:rsid w:val="00C00DD9"/>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B8B"/>
    <w:rsid w:val="00C52AB5"/>
    <w:rsid w:val="00C53307"/>
    <w:rsid w:val="00C535E3"/>
    <w:rsid w:val="00C53D5B"/>
    <w:rsid w:val="00C5678A"/>
    <w:rsid w:val="00C57393"/>
    <w:rsid w:val="00C57746"/>
    <w:rsid w:val="00C6131A"/>
    <w:rsid w:val="00C61B5F"/>
    <w:rsid w:val="00C62149"/>
    <w:rsid w:val="00C62418"/>
    <w:rsid w:val="00C62E6F"/>
    <w:rsid w:val="00C632AF"/>
    <w:rsid w:val="00C64358"/>
    <w:rsid w:val="00C64B59"/>
    <w:rsid w:val="00C64FF2"/>
    <w:rsid w:val="00C65935"/>
    <w:rsid w:val="00C6630F"/>
    <w:rsid w:val="00C6740B"/>
    <w:rsid w:val="00C67EBD"/>
    <w:rsid w:val="00C67ED7"/>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DF3"/>
    <w:rsid w:val="00CE238D"/>
    <w:rsid w:val="00CE380F"/>
    <w:rsid w:val="00CE3989"/>
    <w:rsid w:val="00CE3ED5"/>
    <w:rsid w:val="00CE41B5"/>
    <w:rsid w:val="00CE4C56"/>
    <w:rsid w:val="00CE5477"/>
    <w:rsid w:val="00CE577C"/>
    <w:rsid w:val="00CF004E"/>
    <w:rsid w:val="00CF08FF"/>
    <w:rsid w:val="00CF1875"/>
    <w:rsid w:val="00CF1DE3"/>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19DA"/>
    <w:rsid w:val="00D429C9"/>
    <w:rsid w:val="00D42BE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645"/>
    <w:rsid w:val="00D817F3"/>
    <w:rsid w:val="00D822BF"/>
    <w:rsid w:val="00D82372"/>
    <w:rsid w:val="00D82B66"/>
    <w:rsid w:val="00D855FD"/>
    <w:rsid w:val="00D861A0"/>
    <w:rsid w:val="00D871E1"/>
    <w:rsid w:val="00D87F92"/>
    <w:rsid w:val="00D902D3"/>
    <w:rsid w:val="00D91029"/>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191F"/>
    <w:rsid w:val="00E828A2"/>
    <w:rsid w:val="00E831C8"/>
    <w:rsid w:val="00E832A0"/>
    <w:rsid w:val="00E8365E"/>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CC1"/>
    <w:rsid w:val="00EC4E26"/>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7247"/>
    <w:rsid w:val="00EE78C8"/>
    <w:rsid w:val="00EE7953"/>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8C1"/>
    <w:rsid w:val="00F07D5D"/>
    <w:rsid w:val="00F07FD6"/>
    <w:rsid w:val="00F10745"/>
    <w:rsid w:val="00F10784"/>
    <w:rsid w:val="00F10BC6"/>
    <w:rsid w:val="00F10E74"/>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71CB3"/>
    <w:rsid w:val="00F72280"/>
    <w:rsid w:val="00F72300"/>
    <w:rsid w:val="00F73CCF"/>
    <w:rsid w:val="00F7465F"/>
    <w:rsid w:val="00F758EC"/>
    <w:rsid w:val="00F768C4"/>
    <w:rsid w:val="00F823B4"/>
    <w:rsid w:val="00F835CF"/>
    <w:rsid w:val="00F862E1"/>
    <w:rsid w:val="00F877C4"/>
    <w:rsid w:val="00F87B44"/>
    <w:rsid w:val="00F9073B"/>
    <w:rsid w:val="00F90E84"/>
    <w:rsid w:val="00F9234A"/>
    <w:rsid w:val="00F92624"/>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75FA"/>
    <w:rsid w:val="00FD7915"/>
    <w:rsid w:val="00FE0059"/>
    <w:rsid w:val="00FE019D"/>
    <w:rsid w:val="00FE04AE"/>
    <w:rsid w:val="00FE33DD"/>
    <w:rsid w:val="00FE3657"/>
    <w:rsid w:val="00FE4BD3"/>
    <w:rsid w:val="00FE4DE7"/>
    <w:rsid w:val="00FE5578"/>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3354BB"/>
    <w:rsid w:val="02501C0D"/>
    <w:rsid w:val="03ED3FAB"/>
    <w:rsid w:val="05432ABC"/>
    <w:rsid w:val="068E236D"/>
    <w:rsid w:val="08313A99"/>
    <w:rsid w:val="083B4688"/>
    <w:rsid w:val="083C5370"/>
    <w:rsid w:val="09F36AC5"/>
    <w:rsid w:val="0B81156C"/>
    <w:rsid w:val="0C19397A"/>
    <w:rsid w:val="0CBF621B"/>
    <w:rsid w:val="0D4B343C"/>
    <w:rsid w:val="0D6E60B2"/>
    <w:rsid w:val="0DA57D13"/>
    <w:rsid w:val="0EBC060B"/>
    <w:rsid w:val="0EC77BCB"/>
    <w:rsid w:val="0EDA1F24"/>
    <w:rsid w:val="0F1A2610"/>
    <w:rsid w:val="0F3023A8"/>
    <w:rsid w:val="10930BAF"/>
    <w:rsid w:val="10FA4B91"/>
    <w:rsid w:val="112900AD"/>
    <w:rsid w:val="12107EFE"/>
    <w:rsid w:val="121B06D8"/>
    <w:rsid w:val="14D85993"/>
    <w:rsid w:val="16232614"/>
    <w:rsid w:val="1659289C"/>
    <w:rsid w:val="170A4018"/>
    <w:rsid w:val="17544068"/>
    <w:rsid w:val="194A1149"/>
    <w:rsid w:val="1AF90BA5"/>
    <w:rsid w:val="1D101DA9"/>
    <w:rsid w:val="1D897790"/>
    <w:rsid w:val="1E075230"/>
    <w:rsid w:val="1E9270A1"/>
    <w:rsid w:val="1F504EBA"/>
    <w:rsid w:val="1FB72523"/>
    <w:rsid w:val="1FDC5F69"/>
    <w:rsid w:val="20642960"/>
    <w:rsid w:val="21F81A38"/>
    <w:rsid w:val="23AF6A31"/>
    <w:rsid w:val="24481623"/>
    <w:rsid w:val="283B647F"/>
    <w:rsid w:val="298B5221"/>
    <w:rsid w:val="2AC22B2B"/>
    <w:rsid w:val="2AE141BD"/>
    <w:rsid w:val="2B322B23"/>
    <w:rsid w:val="2B6752A3"/>
    <w:rsid w:val="2B9F1C79"/>
    <w:rsid w:val="2C5C75E7"/>
    <w:rsid w:val="2CEF40AF"/>
    <w:rsid w:val="2D342EFD"/>
    <w:rsid w:val="2D5456E8"/>
    <w:rsid w:val="2E056893"/>
    <w:rsid w:val="2E3E01DD"/>
    <w:rsid w:val="2E643F95"/>
    <w:rsid w:val="2E662B89"/>
    <w:rsid w:val="2FE067F8"/>
    <w:rsid w:val="30F24AC7"/>
    <w:rsid w:val="31FC00ED"/>
    <w:rsid w:val="334D5F94"/>
    <w:rsid w:val="339825BB"/>
    <w:rsid w:val="33B37DE4"/>
    <w:rsid w:val="34A44D05"/>
    <w:rsid w:val="353124E6"/>
    <w:rsid w:val="356405DF"/>
    <w:rsid w:val="36694BCC"/>
    <w:rsid w:val="37AA1F4B"/>
    <w:rsid w:val="37F9F8AD"/>
    <w:rsid w:val="390D2B25"/>
    <w:rsid w:val="3A98391B"/>
    <w:rsid w:val="3BB53E82"/>
    <w:rsid w:val="3C695A33"/>
    <w:rsid w:val="3CD4157B"/>
    <w:rsid w:val="3D0E10DA"/>
    <w:rsid w:val="3D6B29E2"/>
    <w:rsid w:val="3DEA226B"/>
    <w:rsid w:val="3E6D5B4E"/>
    <w:rsid w:val="3EC45146"/>
    <w:rsid w:val="3F9574FB"/>
    <w:rsid w:val="3FCF8753"/>
    <w:rsid w:val="4198609D"/>
    <w:rsid w:val="42001024"/>
    <w:rsid w:val="431334CA"/>
    <w:rsid w:val="43495C27"/>
    <w:rsid w:val="43B91790"/>
    <w:rsid w:val="450A4C9D"/>
    <w:rsid w:val="45DC5B80"/>
    <w:rsid w:val="463C7062"/>
    <w:rsid w:val="46F521A4"/>
    <w:rsid w:val="476A7312"/>
    <w:rsid w:val="47D31FB2"/>
    <w:rsid w:val="4891402A"/>
    <w:rsid w:val="48DE44BF"/>
    <w:rsid w:val="49A1285D"/>
    <w:rsid w:val="4B644975"/>
    <w:rsid w:val="4E1946E0"/>
    <w:rsid w:val="4EBC70FA"/>
    <w:rsid w:val="4F635CA6"/>
    <w:rsid w:val="515652DE"/>
    <w:rsid w:val="53466839"/>
    <w:rsid w:val="54137FDC"/>
    <w:rsid w:val="54221FE8"/>
    <w:rsid w:val="54D14D24"/>
    <w:rsid w:val="5590470D"/>
    <w:rsid w:val="56424886"/>
    <w:rsid w:val="56A65612"/>
    <w:rsid w:val="56DD43E8"/>
    <w:rsid w:val="57081422"/>
    <w:rsid w:val="57EF6E43"/>
    <w:rsid w:val="5821668D"/>
    <w:rsid w:val="583C516F"/>
    <w:rsid w:val="58D141B4"/>
    <w:rsid w:val="593528C3"/>
    <w:rsid w:val="5A146DF7"/>
    <w:rsid w:val="5CDF629F"/>
    <w:rsid w:val="5CF006FD"/>
    <w:rsid w:val="5E144BAE"/>
    <w:rsid w:val="5EEA4517"/>
    <w:rsid w:val="600037AF"/>
    <w:rsid w:val="605A2839"/>
    <w:rsid w:val="60764E5A"/>
    <w:rsid w:val="61B35692"/>
    <w:rsid w:val="64010633"/>
    <w:rsid w:val="640A0D8D"/>
    <w:rsid w:val="65707EA9"/>
    <w:rsid w:val="65FE792F"/>
    <w:rsid w:val="664E34EF"/>
    <w:rsid w:val="66FCDFE8"/>
    <w:rsid w:val="68AF6FB0"/>
    <w:rsid w:val="69597F5D"/>
    <w:rsid w:val="69954753"/>
    <w:rsid w:val="6A717BA6"/>
    <w:rsid w:val="6ACF6A3A"/>
    <w:rsid w:val="6D0D60C0"/>
    <w:rsid w:val="6D3C04CA"/>
    <w:rsid w:val="6F6012F2"/>
    <w:rsid w:val="716D7753"/>
    <w:rsid w:val="717D2880"/>
    <w:rsid w:val="71F61597"/>
    <w:rsid w:val="735C72C1"/>
    <w:rsid w:val="74053C2D"/>
    <w:rsid w:val="74860E10"/>
    <w:rsid w:val="749D7D92"/>
    <w:rsid w:val="76DB5176"/>
    <w:rsid w:val="76F17791"/>
    <w:rsid w:val="794A6FBC"/>
    <w:rsid w:val="7A352F30"/>
    <w:rsid w:val="7A4571A5"/>
    <w:rsid w:val="7B885BB4"/>
    <w:rsid w:val="7BA35CB7"/>
    <w:rsid w:val="7DE51460"/>
    <w:rsid w:val="7E7E7339"/>
    <w:rsid w:val="7ECF3DC6"/>
    <w:rsid w:val="7F54657D"/>
    <w:rsid w:val="7F8F508E"/>
    <w:rsid w:val="7FE52225"/>
    <w:rsid w:val="7FFCAAA1"/>
    <w:rsid w:val="DFF7F4A1"/>
    <w:rsid w:val="DFFDEF25"/>
    <w:rsid w:val="DFFF3A30"/>
    <w:rsid w:val="EBBA3957"/>
    <w:rsid w:val="EFF6CBAF"/>
    <w:rsid w:val="F67A74B8"/>
    <w:rsid w:val="FE7F1051"/>
    <w:rsid w:val="FFFFC68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2"/>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link w:val="12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19"/>
    <w:qFormat/>
    <w:uiPriority w:val="0"/>
    <w:pPr>
      <w:jc w:val="left"/>
    </w:p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0"/>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0"/>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字符"/>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字符"/>
    <w:link w:val="22"/>
    <w:qFormat/>
    <w:uiPriority w:val="99"/>
    <w:rPr>
      <w:rFonts w:eastAsia="宋体"/>
      <w:kern w:val="2"/>
      <w:sz w:val="18"/>
      <w:szCs w:val="18"/>
      <w:lang w:val="en-US" w:eastAsia="zh-CN" w:bidi="ar-SA"/>
    </w:rPr>
  </w:style>
  <w:style w:type="character" w:customStyle="1" w:styleId="117">
    <w:name w:val="纯文本 字符"/>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字符"/>
    <w:link w:val="10"/>
    <w:qFormat/>
    <w:uiPriority w:val="0"/>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字符"/>
    <w:link w:val="13"/>
    <w:qFormat/>
    <w:uiPriority w:val="0"/>
    <w:rPr>
      <w:kern w:val="2"/>
      <w:sz w:val="24"/>
      <w:szCs w:val="24"/>
    </w:rPr>
  </w:style>
  <w:style w:type="character" w:customStyle="1" w:styleId="122">
    <w:name w:val="ca-3"/>
    <w:basedOn w:val="39"/>
    <w:qFormat/>
    <w:uiPriority w:val="0"/>
  </w:style>
  <w:style w:type="character" w:customStyle="1" w:styleId="123">
    <w:name w:val="正文缩进 字符"/>
    <w:link w:val="2"/>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字符"/>
    <w:link w:val="5"/>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字符"/>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character" w:customStyle="1" w:styleId="147">
    <w:name w:val="15"/>
    <w:basedOn w:val="39"/>
    <w:qFormat/>
    <w:uiPriority w:val="0"/>
    <w:rPr>
      <w:rFonts w:hint="default" w:ascii="Times New Roman" w:hAnsi="Times New Roman" w:cs="Times New Roman"/>
      <w:sz w:val="21"/>
      <w:szCs w:val="21"/>
    </w:rPr>
  </w:style>
  <w:style w:type="paragraph" w:customStyle="1" w:styleId="148">
    <w:name w:val="Default"/>
    <w:basedOn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微软雅黑" w:hAnsi="Calibri" w:eastAsia="微软雅黑" w:cs="微软雅黑"/>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E04D13A-294A-4077-B0B1-4087613EAC9C}">
  <ds:schemaRefs/>
</ds:datastoreItem>
</file>

<file path=docProps/app.xml><?xml version="1.0" encoding="utf-8"?>
<Properties xmlns="http://schemas.openxmlformats.org/officeDocument/2006/extended-properties" xmlns:vt="http://schemas.openxmlformats.org/officeDocument/2006/docPropsVTypes">
  <Company>Microsoft China</Company>
  <Pages>32</Pages>
  <Words>6459</Words>
  <Characters>6989</Characters>
  <Lines>1</Lines>
  <Paragraphs>1</Paragraphs>
  <TotalTime>2</TotalTime>
  <ScaleCrop>false</ScaleCrop>
  <LinksUpToDate>false</LinksUpToDate>
  <CharactersWithSpaces>7098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2020-09-18T22:25:00Z</dcterms:created>
  <dc:creator>USER</dc:creator>
  <cp:lastModifiedBy>李映晖</cp:lastModifiedBy>
  <cp:lastPrinted>2020-08-10T14:49:00Z</cp:lastPrinted>
  <dcterms:modified xsi:type="dcterms:W3CDTF">2026-09-30T08:54:42Z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eyJoZGlkIjoiMTNmYjQ4YmJiOGI5NWU3OGRhMTMxY2Q4NWZlMmE4YmYiLCJ1c2VySWQiOiIxMjYzMjE0NjQ1In0=</vt:lpwstr>
  </property>
  <property fmtid="{D5CDD505-2E9C-101B-9397-08002B2CF9AE}" pid="4" name="ICV">
    <vt:lpwstr>891F6EDAD753465F91D2D110188B5ED1_13</vt:lpwstr>
  </property>
</Properties>
</file>