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765CE" w14:textId="24665E67" w:rsidR="0090739A" w:rsidRDefault="00000000">
      <w:pPr>
        <w:jc w:val="center"/>
        <w:rPr>
          <w:b/>
          <w:bCs/>
          <w:sz w:val="28"/>
          <w:szCs w:val="28"/>
        </w:rPr>
      </w:pPr>
      <w:r>
        <w:rPr>
          <w:rFonts w:hint="eastAsia"/>
          <w:b/>
          <w:bCs/>
          <w:sz w:val="28"/>
          <w:szCs w:val="28"/>
        </w:rPr>
        <w:t>肌骨营养专病全流程智能管理（一期）项目</w:t>
      </w:r>
    </w:p>
    <w:p w14:paraId="7478B650" w14:textId="77777777" w:rsidR="0090739A" w:rsidRDefault="00000000">
      <w:pPr>
        <w:numPr>
          <w:ilvl w:val="0"/>
          <w:numId w:val="2"/>
        </w:numPr>
        <w:spacing w:line="360" w:lineRule="auto"/>
        <w:rPr>
          <w:b/>
          <w:bCs/>
          <w:sz w:val="28"/>
          <w:szCs w:val="28"/>
        </w:rPr>
      </w:pPr>
      <w:r>
        <w:rPr>
          <w:rFonts w:hint="eastAsia"/>
          <w:b/>
          <w:bCs/>
          <w:sz w:val="28"/>
          <w:szCs w:val="28"/>
        </w:rPr>
        <w:t>项目概述</w:t>
      </w:r>
    </w:p>
    <w:p w14:paraId="4E9B6685" w14:textId="77777777" w:rsidR="0090739A" w:rsidRDefault="00000000">
      <w:pPr>
        <w:numPr>
          <w:ilvl w:val="0"/>
          <w:numId w:val="3"/>
        </w:numPr>
        <w:spacing w:line="360" w:lineRule="auto"/>
        <w:rPr>
          <w:b/>
          <w:bCs/>
          <w:sz w:val="24"/>
        </w:rPr>
      </w:pPr>
      <w:r>
        <w:rPr>
          <w:rFonts w:hint="eastAsia"/>
          <w:b/>
          <w:bCs/>
          <w:sz w:val="24"/>
        </w:rPr>
        <w:t>项目名称</w:t>
      </w:r>
    </w:p>
    <w:p w14:paraId="2986D8BB" w14:textId="77777777" w:rsidR="0090739A" w:rsidRDefault="00000000">
      <w:pPr>
        <w:spacing w:line="360" w:lineRule="auto"/>
        <w:ind w:firstLineChars="200" w:firstLine="480"/>
        <w:rPr>
          <w:sz w:val="24"/>
        </w:rPr>
      </w:pPr>
      <w:r>
        <w:rPr>
          <w:rFonts w:hint="eastAsia"/>
          <w:sz w:val="24"/>
        </w:rPr>
        <w:t>肌骨营养专病和重点共病全流程智能管理（一期）项目。</w:t>
      </w:r>
    </w:p>
    <w:p w14:paraId="2428034A" w14:textId="77777777" w:rsidR="0090739A" w:rsidRDefault="00000000">
      <w:pPr>
        <w:numPr>
          <w:ilvl w:val="0"/>
          <w:numId w:val="3"/>
        </w:numPr>
        <w:spacing w:line="360" w:lineRule="auto"/>
        <w:rPr>
          <w:b/>
          <w:bCs/>
          <w:sz w:val="24"/>
        </w:rPr>
      </w:pPr>
      <w:r>
        <w:rPr>
          <w:rFonts w:hint="eastAsia"/>
          <w:b/>
          <w:bCs/>
          <w:sz w:val="24"/>
        </w:rPr>
        <w:t>项目周期</w:t>
      </w:r>
    </w:p>
    <w:p w14:paraId="6F15DD95" w14:textId="4446F090" w:rsidR="0090739A" w:rsidRDefault="00000000">
      <w:pPr>
        <w:widowControl/>
        <w:spacing w:line="360" w:lineRule="auto"/>
        <w:ind w:firstLineChars="200" w:firstLine="480"/>
        <w:jc w:val="left"/>
        <w:rPr>
          <w:sz w:val="24"/>
        </w:rPr>
      </w:pPr>
      <w:r>
        <w:rPr>
          <w:rFonts w:ascii="宋体" w:eastAsia="宋体" w:hAnsi="宋体" w:cs="宋体" w:hint="eastAsia"/>
          <w:kern w:val="0"/>
          <w:sz w:val="24"/>
          <w:lang w:bidi="ar"/>
        </w:rPr>
        <w:t>本项目周期为</w:t>
      </w:r>
      <w:r w:rsidR="004B059C">
        <w:rPr>
          <w:rFonts w:ascii="宋体" w:eastAsia="宋体" w:hAnsi="宋体" w:cs="宋体" w:hint="eastAsia"/>
          <w:kern w:val="0"/>
          <w:sz w:val="24"/>
          <w:lang w:bidi="ar"/>
        </w:rPr>
        <w:t>12</w:t>
      </w:r>
      <w:r>
        <w:rPr>
          <w:rFonts w:ascii="宋体" w:eastAsia="宋体" w:hAnsi="宋体" w:cs="宋体" w:hint="eastAsia"/>
          <w:kern w:val="0"/>
          <w:sz w:val="24"/>
          <w:lang w:bidi="ar"/>
        </w:rPr>
        <w:t>个月。</w:t>
      </w:r>
    </w:p>
    <w:p w14:paraId="1436B3F4" w14:textId="77777777" w:rsidR="0090739A" w:rsidRDefault="00000000">
      <w:pPr>
        <w:numPr>
          <w:ilvl w:val="0"/>
          <w:numId w:val="3"/>
        </w:numPr>
        <w:spacing w:line="360" w:lineRule="auto"/>
        <w:rPr>
          <w:b/>
          <w:bCs/>
          <w:sz w:val="24"/>
        </w:rPr>
      </w:pPr>
      <w:r>
        <w:rPr>
          <w:rFonts w:hint="eastAsia"/>
          <w:b/>
          <w:bCs/>
          <w:sz w:val="24"/>
        </w:rPr>
        <w:t>项目概述</w:t>
      </w:r>
    </w:p>
    <w:p w14:paraId="42A9C2CE" w14:textId="77777777" w:rsidR="0090739A" w:rsidRDefault="00000000">
      <w:pPr>
        <w:spacing w:line="360" w:lineRule="auto"/>
        <w:ind w:firstLineChars="200" w:firstLine="480"/>
        <w:rPr>
          <w:sz w:val="24"/>
        </w:rPr>
      </w:pPr>
      <w:r>
        <w:rPr>
          <w:rFonts w:hint="eastAsia"/>
          <w:sz w:val="24"/>
        </w:rPr>
        <w:t>肌骨健康与全身其他疾病的双向强关联。对代谢、内分泌、心血管、精神心理、消化、呼吸、肿瘤疾病的双向相互影响，且可面向人群年龄谱系宽、覆盖人群范围广。本项目以肌骨营养为切入点，构建</w:t>
      </w:r>
      <w:r>
        <w:rPr>
          <w:sz w:val="24"/>
        </w:rPr>
        <w:t>覆盖</w:t>
      </w:r>
      <w:r>
        <w:rPr>
          <w:sz w:val="24"/>
        </w:rPr>
        <w:t>“</w:t>
      </w:r>
      <w:r>
        <w:rPr>
          <w:sz w:val="24"/>
        </w:rPr>
        <w:t>筛查</w:t>
      </w:r>
      <w:r>
        <w:rPr>
          <w:sz w:val="24"/>
        </w:rPr>
        <w:t>-</w:t>
      </w:r>
      <w:r>
        <w:rPr>
          <w:sz w:val="24"/>
        </w:rPr>
        <w:t>分层</w:t>
      </w:r>
      <w:r>
        <w:rPr>
          <w:sz w:val="24"/>
        </w:rPr>
        <w:t>-</w:t>
      </w:r>
      <w:r>
        <w:rPr>
          <w:sz w:val="24"/>
        </w:rPr>
        <w:t>评估</w:t>
      </w:r>
      <w:r>
        <w:rPr>
          <w:sz w:val="24"/>
        </w:rPr>
        <w:t>-</w:t>
      </w:r>
      <w:r>
        <w:rPr>
          <w:sz w:val="24"/>
        </w:rPr>
        <w:t>干预</w:t>
      </w:r>
      <w:r>
        <w:rPr>
          <w:sz w:val="24"/>
        </w:rPr>
        <w:t>-</w:t>
      </w:r>
      <w:r>
        <w:rPr>
          <w:sz w:val="24"/>
        </w:rPr>
        <w:t>随访</w:t>
      </w:r>
      <w:r>
        <w:rPr>
          <w:sz w:val="24"/>
        </w:rPr>
        <w:t>”</w:t>
      </w:r>
      <w:r>
        <w:rPr>
          <w:sz w:val="24"/>
        </w:rPr>
        <w:t>全周期的肌骨营养专病管理平台</w:t>
      </w:r>
      <w:r>
        <w:rPr>
          <w:rFonts w:hint="eastAsia"/>
          <w:sz w:val="24"/>
        </w:rPr>
        <w:t>，并将肌骨营养作为一个新兴临床学科培育，探索由治疗向健康、由完全</w:t>
      </w:r>
      <w:r>
        <w:rPr>
          <w:rFonts w:hint="eastAsia"/>
          <w:sz w:val="24"/>
        </w:rPr>
        <w:t>DRGs</w:t>
      </w:r>
      <w:r>
        <w:rPr>
          <w:rFonts w:hint="eastAsia"/>
          <w:sz w:val="24"/>
        </w:rPr>
        <w:t>控费向更丰富健康服务支付方式、单科局部对症转向轻</w:t>
      </w:r>
      <w:r>
        <w:rPr>
          <w:rFonts w:hint="eastAsia"/>
          <w:sz w:val="24"/>
        </w:rPr>
        <w:t>MDT</w:t>
      </w:r>
      <w:r>
        <w:rPr>
          <w:rFonts w:hint="eastAsia"/>
          <w:sz w:val="24"/>
        </w:rPr>
        <w:t>整体综合管理、单中心诊治向区域（番禺区）多中心综合防控、医院单兵作战向政产学研医资产业协作的转型，形成学科内涵建设和高质量发展的领军示范，带动医院实现数值化转型。</w:t>
      </w:r>
    </w:p>
    <w:p w14:paraId="74FEDEE2" w14:textId="77777777" w:rsidR="0090739A" w:rsidRDefault="00000000">
      <w:pPr>
        <w:numPr>
          <w:ilvl w:val="0"/>
          <w:numId w:val="2"/>
        </w:numPr>
        <w:spacing w:line="360" w:lineRule="auto"/>
        <w:rPr>
          <w:b/>
          <w:bCs/>
          <w:sz w:val="28"/>
          <w:szCs w:val="28"/>
        </w:rPr>
      </w:pPr>
      <w:r>
        <w:rPr>
          <w:rFonts w:hint="eastAsia"/>
          <w:b/>
          <w:bCs/>
          <w:sz w:val="28"/>
          <w:szCs w:val="28"/>
        </w:rPr>
        <w:t>项目背景</w:t>
      </w:r>
    </w:p>
    <w:p w14:paraId="5C1234F5" w14:textId="77777777" w:rsidR="0090739A" w:rsidRDefault="00000000">
      <w:pPr>
        <w:numPr>
          <w:ilvl w:val="0"/>
          <w:numId w:val="4"/>
        </w:numPr>
        <w:spacing w:line="360" w:lineRule="auto"/>
        <w:rPr>
          <w:b/>
          <w:bCs/>
          <w:sz w:val="24"/>
        </w:rPr>
      </w:pPr>
      <w:r>
        <w:rPr>
          <w:rFonts w:hint="eastAsia"/>
          <w:b/>
          <w:bCs/>
          <w:sz w:val="24"/>
        </w:rPr>
        <w:t>项目必要性</w:t>
      </w:r>
    </w:p>
    <w:p w14:paraId="2CF908C1" w14:textId="77777777" w:rsidR="0090739A" w:rsidRDefault="00000000">
      <w:pPr>
        <w:widowControl/>
        <w:spacing w:line="360" w:lineRule="auto"/>
        <w:ind w:firstLineChars="200" w:firstLine="480"/>
        <w:rPr>
          <w:rFonts w:ascii="宋体" w:eastAsia="宋体" w:hAnsi="宋体" w:cs="宋体" w:hint="eastAsia"/>
          <w:kern w:val="0"/>
          <w:sz w:val="24"/>
          <w:lang w:bidi="ar"/>
        </w:rPr>
      </w:pPr>
      <w:r>
        <w:rPr>
          <w:rFonts w:ascii="宋体" w:eastAsia="宋体" w:hAnsi="宋体" w:cs="宋体" w:hint="eastAsia"/>
          <w:kern w:val="0"/>
          <w:sz w:val="24"/>
          <w:lang w:bidi="ar"/>
        </w:rPr>
        <w:t>肌骨营养筛查及智能管理软件项目的核心立项依据在于：肌少症、营养不良与骨质疏松等老年肌骨退行性病变具有高患病率、高致残率、高漏诊率与高医疗负担的特点，而传统筛查与管理模式受限于基层可及性差、主观性强、难以连续随访；与此同时，国家政策与多部国内指南明确提出推动智能化、数字化、AI与可穿戴设备在老年肌骨疾病早筛、营养评估与长期管理中的应用，且近年多项研究已证实基于AI的风险预测、远程监测与闭环干预能够显著提升筛查敏感性、降低漏诊、优化资源配置并改善功能结局，因此开发集</w:t>
      </w:r>
      <w:r>
        <w:rPr>
          <w:rFonts w:ascii="宋体" w:eastAsia="宋体" w:hAnsi="宋体" w:cs="宋体"/>
          <w:kern w:val="0"/>
          <w:sz w:val="24"/>
          <w:lang w:bidi="ar"/>
        </w:rPr>
        <w:t>筛查-分层-评估-干预-随访</w:t>
      </w:r>
      <w:r>
        <w:rPr>
          <w:rFonts w:ascii="宋体" w:eastAsia="宋体" w:hAnsi="宋体" w:cs="宋体" w:hint="eastAsia"/>
          <w:kern w:val="0"/>
          <w:sz w:val="24"/>
          <w:lang w:bidi="ar"/>
        </w:rPr>
        <w:t>于一体的肌骨营养智能管理软件具备明确的临床必要性、政策合规性与技术可行性。</w:t>
      </w:r>
    </w:p>
    <w:p w14:paraId="3374C22B" w14:textId="77777777" w:rsidR="0090739A" w:rsidRDefault="00000000">
      <w:pPr>
        <w:widowControl/>
        <w:spacing w:line="360" w:lineRule="auto"/>
        <w:ind w:firstLineChars="200" w:firstLine="480"/>
        <w:rPr>
          <w:rFonts w:ascii="宋体" w:eastAsia="宋体" w:hAnsi="宋体" w:cs="宋体" w:hint="eastAsia"/>
          <w:kern w:val="0"/>
          <w:sz w:val="24"/>
          <w:lang w:bidi="ar"/>
        </w:rPr>
      </w:pPr>
      <w:r>
        <w:rPr>
          <w:rFonts w:ascii="宋体" w:eastAsia="宋体" w:hAnsi="宋体" w:cs="宋体"/>
          <w:kern w:val="0"/>
          <w:sz w:val="24"/>
          <w:lang w:bidi="ar"/>
        </w:rPr>
        <w:t>肌骨营养不良的高患病率与严重危害</w:t>
      </w:r>
      <w:r>
        <w:rPr>
          <w:rFonts w:ascii="宋体" w:eastAsia="宋体" w:hAnsi="宋体" w:cs="宋体" w:hint="eastAsia"/>
          <w:kern w:val="0"/>
          <w:sz w:val="24"/>
          <w:lang w:bidi="ar"/>
        </w:rPr>
        <w:t>。</w:t>
      </w:r>
      <w:r>
        <w:rPr>
          <w:rFonts w:ascii="宋体" w:eastAsia="宋体" w:hAnsi="宋体" w:cs="宋体"/>
          <w:kern w:val="0"/>
          <w:sz w:val="24"/>
          <w:lang w:bidi="ar"/>
        </w:rPr>
        <w:t>肌少症与营养不良在老年人群中普遍存在，且相互叠加，显著增加跌倒、骨折、功能依赖、住院与死亡风险。《社区</w:t>
      </w:r>
      <w:r>
        <w:rPr>
          <w:rFonts w:ascii="宋体" w:eastAsia="宋体" w:hAnsi="宋体" w:cs="宋体"/>
          <w:kern w:val="0"/>
          <w:sz w:val="24"/>
          <w:lang w:bidi="ar"/>
        </w:rPr>
        <w:lastRenderedPageBreak/>
        <w:t>老年人肌肉减少症筛查专家共识》指出，肌少症显著增加抑郁、跌倒、骨折、心脑血管共病、功能依赖、残疾、住院频率，并降低健康相关生活质量、增加全因死亡率；同时，肌少症是营养不良的重要危险因素，二者常处于早期或隐匿阶段，易被忽视，错失干预时机。NEJM综述强调，成人住院或进入养老机构后应在24</w:t>
      </w:r>
      <w:r>
        <w:rPr>
          <w:rFonts w:ascii="宋体" w:eastAsia="宋体" w:hAnsi="宋体" w:cs="宋体" w:hint="eastAsia"/>
          <w:kern w:val="0"/>
          <w:sz w:val="24"/>
          <w:lang w:bidi="ar"/>
        </w:rPr>
        <w:t>-</w:t>
      </w:r>
      <w:r>
        <w:rPr>
          <w:rFonts w:ascii="宋体" w:eastAsia="宋体" w:hAnsi="宋体" w:cs="宋体"/>
          <w:kern w:val="0"/>
          <w:sz w:val="24"/>
          <w:lang w:bidi="ar"/>
        </w:rPr>
        <w:t>48小时内进行营养风险筛查，常用工具包括NRS 2002、MUST、SNAQ、MST等，老年群体可使用MNA-SF；并指出GLIM诊断框架强调体重下降、低BMI、低肌肉量等表型指标与摄入不足/炎症负荷等病因指标的组合判断。此外，JAMA关于骨质疏松的文章指出，低骨密度与骨折风险密切相关，FRAX等工具纳入年龄、性别、BMI、既往骨折、吸烟、饮酒、糖皮质激素使用、类风湿关节炎等风险因素，用于个体化骨折风险评估。</w:t>
      </w:r>
    </w:p>
    <w:p w14:paraId="1DD2548F" w14:textId="77777777" w:rsidR="0090739A" w:rsidRDefault="00000000">
      <w:pPr>
        <w:numPr>
          <w:ilvl w:val="0"/>
          <w:numId w:val="4"/>
        </w:numPr>
        <w:spacing w:line="360" w:lineRule="auto"/>
        <w:rPr>
          <w:b/>
          <w:bCs/>
          <w:sz w:val="24"/>
        </w:rPr>
      </w:pPr>
      <w:r>
        <w:rPr>
          <w:rFonts w:hint="eastAsia"/>
          <w:b/>
          <w:bCs/>
          <w:sz w:val="24"/>
        </w:rPr>
        <w:t>政策依据</w:t>
      </w:r>
    </w:p>
    <w:p w14:paraId="6AB364E1" w14:textId="77777777" w:rsidR="0090739A" w:rsidRDefault="00000000">
      <w:pPr>
        <w:widowControl/>
        <w:spacing w:line="360" w:lineRule="auto"/>
        <w:ind w:firstLineChars="200" w:firstLine="480"/>
        <w:rPr>
          <w:rFonts w:ascii="宋体" w:eastAsia="宋体" w:hAnsi="宋体" w:cs="宋体" w:hint="eastAsia"/>
          <w:kern w:val="0"/>
          <w:sz w:val="24"/>
          <w:lang w:bidi="ar"/>
        </w:rPr>
      </w:pPr>
      <w:r>
        <w:rPr>
          <w:rFonts w:ascii="宋体" w:eastAsia="宋体" w:hAnsi="宋体" w:cs="宋体"/>
          <w:kern w:val="0"/>
          <w:sz w:val="24"/>
          <w:lang w:bidi="ar"/>
        </w:rPr>
        <w:t>《健康中国行动（2019—2030年）》明确提出推动全民健康生活深入开展。国家卫生健康委办公厅</w:t>
      </w:r>
      <w:r>
        <w:rPr>
          <w:rFonts w:ascii="宋体" w:eastAsia="宋体" w:hAnsi="宋体" w:cs="宋体" w:hint="eastAsia"/>
          <w:kern w:val="0"/>
          <w:sz w:val="24"/>
          <w:lang w:bidi="ar"/>
        </w:rPr>
        <w:t>《</w:t>
      </w:r>
      <w:r>
        <w:rPr>
          <w:rFonts w:ascii="宋体" w:eastAsia="宋体" w:hAnsi="宋体" w:cs="宋体"/>
          <w:kern w:val="0"/>
          <w:sz w:val="24"/>
          <w:lang w:bidi="ar"/>
        </w:rPr>
        <w:t>关于进一步推进临床营养工作的通知</w:t>
      </w:r>
      <w:r>
        <w:rPr>
          <w:rFonts w:ascii="宋体" w:eastAsia="宋体" w:hAnsi="宋体" w:cs="宋体" w:hint="eastAsia"/>
          <w:kern w:val="0"/>
          <w:sz w:val="24"/>
          <w:lang w:bidi="ar"/>
        </w:rPr>
        <w:t>》要求各医疗机构强化整体诊疗观念，推动建立覆盖“疾病-营养-疼痛-心理-康复”等方面的综合诊疗模式，将相关工作统筹融入诊疗工作中，系统提高医疗水平。</w:t>
      </w:r>
      <w:r>
        <w:rPr>
          <w:rFonts w:ascii="宋体" w:eastAsia="宋体" w:hAnsi="宋体" w:cs="宋体"/>
          <w:kern w:val="0"/>
          <w:sz w:val="24"/>
          <w:lang w:bidi="ar"/>
        </w:rPr>
        <w:t>国家卫生健康委于2026年正式发布《成人肌少症食养指南（2026年版）》，针对肌少症人群提出食养基本原则和方案</w:t>
      </w:r>
      <w:r>
        <w:rPr>
          <w:rFonts w:ascii="宋体" w:eastAsia="宋体" w:hAnsi="宋体" w:cs="宋体" w:hint="eastAsia"/>
          <w:kern w:val="0"/>
          <w:sz w:val="24"/>
          <w:lang w:bidi="ar"/>
        </w:rPr>
        <w:t>，</w:t>
      </w:r>
      <w:r>
        <w:rPr>
          <w:rFonts w:ascii="宋体" w:eastAsia="宋体" w:hAnsi="宋体" w:cs="宋体"/>
          <w:kern w:val="0"/>
          <w:sz w:val="24"/>
          <w:lang w:bidi="ar"/>
        </w:rPr>
        <w:t>标志着肌少症营养管理已上升为国家公共卫生战略</w:t>
      </w:r>
      <w:r>
        <w:rPr>
          <w:rFonts w:ascii="宋体" w:eastAsia="宋体" w:hAnsi="宋体" w:cs="宋体" w:hint="eastAsia"/>
          <w:kern w:val="0"/>
          <w:sz w:val="24"/>
          <w:lang w:bidi="ar"/>
        </w:rPr>
        <w:t>。</w:t>
      </w:r>
    </w:p>
    <w:p w14:paraId="3B48130B" w14:textId="77777777" w:rsidR="0090739A" w:rsidRDefault="00000000">
      <w:pPr>
        <w:numPr>
          <w:ilvl w:val="0"/>
          <w:numId w:val="2"/>
        </w:numPr>
        <w:spacing w:line="360" w:lineRule="auto"/>
        <w:rPr>
          <w:b/>
          <w:bCs/>
          <w:sz w:val="28"/>
          <w:szCs w:val="28"/>
        </w:rPr>
      </w:pPr>
      <w:r>
        <w:rPr>
          <w:rFonts w:hint="eastAsia"/>
          <w:b/>
          <w:bCs/>
          <w:sz w:val="28"/>
          <w:szCs w:val="28"/>
        </w:rPr>
        <w:t>主要功能</w:t>
      </w:r>
    </w:p>
    <w:p w14:paraId="59990C7F" w14:textId="77777777" w:rsidR="0090739A" w:rsidRDefault="00000000">
      <w:pPr>
        <w:widowControl/>
        <w:numPr>
          <w:ilvl w:val="0"/>
          <w:numId w:val="5"/>
        </w:numPr>
        <w:spacing w:line="360" w:lineRule="auto"/>
        <w:jc w:val="left"/>
        <w:rPr>
          <w:rFonts w:ascii="宋体" w:eastAsia="宋体" w:hAnsi="宋体" w:cs="宋体" w:hint="eastAsia"/>
          <w:b/>
          <w:bCs/>
          <w:kern w:val="0"/>
          <w:sz w:val="24"/>
          <w:lang w:bidi="ar"/>
        </w:rPr>
      </w:pPr>
      <w:r>
        <w:rPr>
          <w:rFonts w:ascii="宋体" w:eastAsia="宋体" w:hAnsi="宋体" w:cs="宋体" w:hint="eastAsia"/>
          <w:b/>
          <w:bCs/>
          <w:kern w:val="0"/>
          <w:sz w:val="24"/>
          <w:lang w:bidi="ar"/>
        </w:rPr>
        <w:t>专病肌骨营养患者筛查</w:t>
      </w:r>
    </w:p>
    <w:p w14:paraId="405AD479" w14:textId="77777777" w:rsidR="0090739A" w:rsidRDefault="00000000">
      <w:pPr>
        <w:widowControl/>
        <w:spacing w:line="360" w:lineRule="auto"/>
        <w:ind w:firstLineChars="200" w:firstLine="480"/>
        <w:rPr>
          <w:rFonts w:ascii="宋体" w:eastAsia="宋体" w:hAnsi="宋体" w:cs="宋体" w:hint="eastAsia"/>
          <w:kern w:val="0"/>
          <w:sz w:val="24"/>
          <w:lang w:bidi="ar"/>
        </w:rPr>
      </w:pPr>
      <w:r>
        <w:rPr>
          <w:rFonts w:ascii="宋体" w:eastAsia="宋体" w:hAnsi="宋体" w:cs="宋体" w:hint="eastAsia"/>
          <w:kern w:val="0"/>
          <w:sz w:val="24"/>
          <w:lang w:bidi="ar"/>
        </w:rPr>
        <w:t>针对风湿病、糖尿病、脂肪肝确诊患者，建立自动化、多维度的肌骨营养风险筛查机制。系统对接院内HIS、LIS、慢病档案，自动抓取患者基础信息、检验指标、病程用药史，结合握力、步速、体成分、营养量表等专项筛查数据，智能识别合并肌量流失、营养不良、肌骨功能减退的高危患者。系统自动区分入组人群与排除人群，实现批量筛查、门诊快速筛查、住院普查，建立项目专项管理档案，解决既往筛查不规范、覆盖不全、主观性强的问题。</w:t>
      </w:r>
    </w:p>
    <w:p w14:paraId="6E24BF17" w14:textId="77777777" w:rsidR="0090739A" w:rsidRDefault="00000000">
      <w:pPr>
        <w:widowControl/>
        <w:numPr>
          <w:ilvl w:val="0"/>
          <w:numId w:val="5"/>
        </w:numPr>
        <w:spacing w:line="360" w:lineRule="auto"/>
        <w:jc w:val="left"/>
        <w:rPr>
          <w:rFonts w:ascii="宋体" w:eastAsia="宋体" w:hAnsi="宋体" w:cs="宋体" w:hint="eastAsia"/>
          <w:b/>
          <w:bCs/>
          <w:kern w:val="0"/>
          <w:sz w:val="24"/>
          <w:lang w:bidi="ar"/>
        </w:rPr>
      </w:pPr>
      <w:r>
        <w:rPr>
          <w:rFonts w:ascii="宋体" w:eastAsia="宋体" w:hAnsi="宋体" w:cs="宋体" w:hint="eastAsia"/>
          <w:b/>
          <w:bCs/>
          <w:kern w:val="0"/>
          <w:sz w:val="24"/>
          <w:lang w:bidi="ar"/>
        </w:rPr>
        <w:t>肌骨营养风险分层</w:t>
      </w:r>
    </w:p>
    <w:p w14:paraId="012193C1"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肌骨营养项目的疾病风险分层涵盖</w:t>
      </w:r>
      <w:r>
        <w:rPr>
          <w:rFonts w:ascii="宋体" w:eastAsia="宋体" w:hAnsi="宋体" w:cs="宋体"/>
          <w:kern w:val="0"/>
          <w:sz w:val="24"/>
          <w:lang w:bidi="ar"/>
        </w:rPr>
        <w:t>从基础筛查到精准评估，再到分层干预的完整逻辑链</w:t>
      </w:r>
      <w:r>
        <w:rPr>
          <w:rFonts w:ascii="宋体" w:eastAsia="宋体" w:hAnsi="宋体" w:cs="宋体" w:hint="eastAsia"/>
          <w:kern w:val="0"/>
          <w:sz w:val="24"/>
          <w:lang w:bidi="ar"/>
        </w:rPr>
        <w:t>，</w:t>
      </w:r>
      <w:r>
        <w:rPr>
          <w:rFonts w:ascii="宋体" w:eastAsia="宋体" w:hAnsi="宋体" w:cs="宋体"/>
          <w:kern w:val="0"/>
          <w:sz w:val="24"/>
          <w:lang w:bidi="ar"/>
        </w:rPr>
        <w:t>综合利用</w:t>
      </w:r>
      <w:r>
        <w:rPr>
          <w:rFonts w:ascii="宋体" w:eastAsia="宋体" w:hAnsi="宋体" w:cs="宋体" w:hint="eastAsia"/>
          <w:kern w:val="0"/>
          <w:sz w:val="24"/>
          <w:lang w:bidi="ar"/>
        </w:rPr>
        <w:t>检查检验、</w:t>
      </w:r>
      <w:r>
        <w:rPr>
          <w:rFonts w:ascii="宋体" w:eastAsia="宋体" w:hAnsi="宋体" w:cs="宋体"/>
          <w:kern w:val="0"/>
          <w:sz w:val="24"/>
          <w:lang w:bidi="ar"/>
        </w:rPr>
        <w:t>临床量表、</w:t>
      </w:r>
      <w:r>
        <w:rPr>
          <w:rFonts w:ascii="宋体" w:eastAsia="宋体" w:hAnsi="宋体" w:cs="宋体" w:hint="eastAsia"/>
          <w:kern w:val="0"/>
          <w:sz w:val="24"/>
          <w:lang w:bidi="ar"/>
        </w:rPr>
        <w:t>人</w:t>
      </w:r>
      <w:r>
        <w:rPr>
          <w:rFonts w:ascii="宋体" w:eastAsia="宋体" w:hAnsi="宋体" w:cs="宋体"/>
          <w:kern w:val="0"/>
          <w:sz w:val="24"/>
          <w:lang w:bidi="ar"/>
        </w:rPr>
        <w:t>体成分分析</w:t>
      </w:r>
      <w:r>
        <w:rPr>
          <w:rFonts w:ascii="宋体" w:eastAsia="宋体" w:hAnsi="宋体" w:cs="宋体" w:hint="eastAsia"/>
          <w:kern w:val="0"/>
          <w:sz w:val="24"/>
          <w:lang w:bidi="ar"/>
        </w:rPr>
        <w:t>等数据</w:t>
      </w:r>
      <w:r>
        <w:rPr>
          <w:rFonts w:ascii="宋体" w:eastAsia="宋体" w:hAnsi="宋体" w:cs="宋体"/>
          <w:kern w:val="0"/>
          <w:sz w:val="24"/>
          <w:lang w:bidi="ar"/>
        </w:rPr>
        <w:t>，将患者动态地划分为不同风险等级，</w:t>
      </w:r>
      <w:r>
        <w:rPr>
          <w:rFonts w:ascii="宋体" w:eastAsia="宋体" w:hAnsi="宋体" w:cs="宋体" w:hint="eastAsia"/>
          <w:kern w:val="0"/>
          <w:sz w:val="24"/>
          <w:lang w:bidi="ar"/>
        </w:rPr>
        <w:t>同时根据诊疗及检查检验等数据变化，动态评估，</w:t>
      </w:r>
      <w:r>
        <w:rPr>
          <w:rFonts w:ascii="宋体" w:eastAsia="宋体" w:hAnsi="宋体" w:cs="宋体"/>
          <w:kern w:val="0"/>
          <w:sz w:val="24"/>
          <w:lang w:bidi="ar"/>
        </w:rPr>
        <w:t>实现医疗资源的精准投放和</w:t>
      </w:r>
      <w:r>
        <w:rPr>
          <w:rFonts w:ascii="宋体" w:eastAsia="宋体" w:hAnsi="宋体" w:cs="宋体" w:hint="eastAsia"/>
          <w:kern w:val="0"/>
          <w:sz w:val="24"/>
          <w:lang w:bidi="ar"/>
        </w:rPr>
        <w:t>个性化</w:t>
      </w:r>
      <w:r>
        <w:rPr>
          <w:rFonts w:ascii="宋体" w:eastAsia="宋体" w:hAnsi="宋体" w:cs="宋体"/>
          <w:kern w:val="0"/>
          <w:sz w:val="24"/>
          <w:lang w:bidi="ar"/>
        </w:rPr>
        <w:t>干预方案，从而更有效地预防和管理肌骨营养相关问题。</w:t>
      </w:r>
    </w:p>
    <w:p w14:paraId="1AF077D8" w14:textId="77777777" w:rsidR="0090739A" w:rsidRDefault="00000000">
      <w:pPr>
        <w:widowControl/>
        <w:numPr>
          <w:ilvl w:val="0"/>
          <w:numId w:val="5"/>
        </w:numPr>
        <w:spacing w:line="360" w:lineRule="auto"/>
        <w:jc w:val="left"/>
        <w:rPr>
          <w:rFonts w:ascii="宋体" w:eastAsia="宋体" w:hAnsi="宋体" w:cs="宋体" w:hint="eastAsia"/>
          <w:b/>
          <w:bCs/>
          <w:kern w:val="0"/>
          <w:sz w:val="24"/>
          <w:lang w:bidi="ar"/>
        </w:rPr>
      </w:pPr>
      <w:r>
        <w:rPr>
          <w:rFonts w:ascii="宋体" w:eastAsia="宋体" w:hAnsi="宋体" w:cs="宋体" w:hint="eastAsia"/>
          <w:b/>
          <w:bCs/>
          <w:kern w:val="0"/>
          <w:sz w:val="24"/>
          <w:lang w:bidi="ar"/>
        </w:rPr>
        <w:t>干预及随访</w:t>
      </w:r>
    </w:p>
    <w:p w14:paraId="6F41BD35"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根据患者风险等级设置差异化随访周期与随访内容，实现线上线下结合的全流程管理。系统自动触发随访提醒、数据填报、指标复测、趋势监测，对肌骨功能持续下降、营养指标恶化、病情波动患者实现智能预警。全程记录随访数据、干预调整记录、康复结局，动态更新患者健康档案，实现慢病肌骨营养状态的长期动态管控、疗效评价与闭环管理。</w:t>
      </w:r>
    </w:p>
    <w:p w14:paraId="29BB736B" w14:textId="77777777" w:rsidR="0090739A" w:rsidRDefault="00000000">
      <w:pPr>
        <w:numPr>
          <w:ilvl w:val="0"/>
          <w:numId w:val="2"/>
        </w:numPr>
        <w:spacing w:line="360" w:lineRule="auto"/>
        <w:rPr>
          <w:b/>
          <w:bCs/>
          <w:sz w:val="28"/>
          <w:szCs w:val="28"/>
        </w:rPr>
      </w:pPr>
      <w:r>
        <w:rPr>
          <w:rFonts w:hint="eastAsia"/>
          <w:b/>
          <w:bCs/>
          <w:sz w:val="28"/>
          <w:szCs w:val="28"/>
        </w:rPr>
        <w:t>实施服务要求</w:t>
      </w:r>
    </w:p>
    <w:p w14:paraId="6361FD78" w14:textId="77777777" w:rsidR="0090739A" w:rsidRDefault="00000000">
      <w:pPr>
        <w:tabs>
          <w:tab w:val="left" w:pos="780"/>
        </w:tabs>
        <w:spacing w:beforeLines="50" w:before="156" w:line="360" w:lineRule="auto"/>
        <w:ind w:firstLineChars="200" w:firstLine="480"/>
        <w:outlineLvl w:val="0"/>
        <w:rPr>
          <w:rFonts w:ascii="宋体" w:eastAsia="宋体" w:hAnsi="宋体" w:cs="宋体" w:hint="eastAsia"/>
          <w:kern w:val="0"/>
          <w:sz w:val="24"/>
          <w:lang w:bidi="ar"/>
        </w:rPr>
      </w:pPr>
      <w:r>
        <w:rPr>
          <w:rFonts w:ascii="宋体" w:eastAsia="宋体" w:hAnsi="宋体" w:cs="宋体" w:hint="eastAsia"/>
          <w:kern w:val="0"/>
          <w:sz w:val="24"/>
          <w:lang w:bidi="ar"/>
        </w:rPr>
        <w:t>项目实施期内承建商提供1名专职工程师配合开发、实施，工作时间与院方工作时间一致。项目承建商需根据院方的详细需求，提交项目系统的安装、调试及培训实施方案，方案得到院方确认后实施，保证系统按时、正常地投入运行。</w:t>
      </w:r>
    </w:p>
    <w:p w14:paraId="1E130853"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项目承建商应为院方进行培训，包括使用培训和维护培训。承建商应提出详细的培训计划，提供培训教材。技术培训的内容必须覆盖产品的安装、日常操作和管理维护，以及基本的故障诊断与排错。包括数据库与开发技术培训、系统维护培训、高级用户培训、用户培训，并保证培训效果。</w:t>
      </w:r>
    </w:p>
    <w:p w14:paraId="566CC110"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验收由承建商给出具体的验收计划、测试的内容和方法，经院方审核通过后，方可进行验收测试。</w:t>
      </w:r>
    </w:p>
    <w:p w14:paraId="3CC69A12" w14:textId="77777777" w:rsidR="0090739A" w:rsidRDefault="00000000">
      <w:pPr>
        <w:numPr>
          <w:ilvl w:val="0"/>
          <w:numId w:val="2"/>
        </w:numPr>
        <w:spacing w:line="360" w:lineRule="auto"/>
        <w:rPr>
          <w:b/>
          <w:bCs/>
          <w:sz w:val="28"/>
          <w:szCs w:val="28"/>
        </w:rPr>
      </w:pPr>
      <w:r>
        <w:rPr>
          <w:rFonts w:hint="eastAsia"/>
          <w:b/>
          <w:bCs/>
          <w:sz w:val="28"/>
          <w:szCs w:val="28"/>
        </w:rPr>
        <w:t>后续维护服务</w:t>
      </w:r>
    </w:p>
    <w:p w14:paraId="49523A9E"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软件维护期从合同标的验收合格之日算起，期限为1年。在维护期内，承建商提供技术支持和指导，以及软件的局部改进完善以及故障情况下的现场问题解决，需要提供完整的操作手册及工程师常见问题自检手册，支持配合医院后续的本地化功能开发。</w:t>
      </w:r>
    </w:p>
    <w:p w14:paraId="7FBE0522"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维保期内承建商为院方提供维护及服务的部门及固定的专职技术人员，工作时间与院方工作时间一致，并且提供7*24小时响应服务。</w:t>
      </w:r>
    </w:p>
    <w:p w14:paraId="6D4E6DF0"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在维护期结束前，须由承建商和院方进行一次全面检查，任何缺陷必须由承建商负责修复，在修复之后，承建商应将缺陷原因、修复内容、完成修理及恢复正常的时间和日期等报告给院方，形成项目总结报告。</w:t>
      </w:r>
    </w:p>
    <w:p w14:paraId="384D7E1F" w14:textId="77777777" w:rsidR="0090739A" w:rsidRDefault="00000000">
      <w:pPr>
        <w:widowControl/>
        <w:spacing w:line="360" w:lineRule="auto"/>
        <w:ind w:firstLineChars="200" w:firstLine="480"/>
        <w:jc w:val="left"/>
        <w:rPr>
          <w:rFonts w:ascii="宋体" w:eastAsia="宋体" w:hAnsi="宋体" w:cs="宋体" w:hint="eastAsia"/>
          <w:kern w:val="0"/>
          <w:sz w:val="24"/>
          <w:lang w:bidi="ar"/>
        </w:rPr>
      </w:pPr>
      <w:r>
        <w:rPr>
          <w:rFonts w:ascii="宋体" w:eastAsia="宋体" w:hAnsi="宋体" w:cs="宋体" w:hint="eastAsia"/>
          <w:kern w:val="0"/>
          <w:sz w:val="24"/>
          <w:lang w:bidi="ar"/>
        </w:rPr>
        <w:t>超过维护期的，双方另行协商签订维护合同，服务方报价不超过合同软件部分金额的8%。</w:t>
      </w:r>
    </w:p>
    <w:p w14:paraId="18C599AC" w14:textId="77777777" w:rsidR="0090739A" w:rsidRDefault="00000000">
      <w:pPr>
        <w:numPr>
          <w:ilvl w:val="0"/>
          <w:numId w:val="2"/>
        </w:numPr>
        <w:spacing w:line="360" w:lineRule="auto"/>
        <w:rPr>
          <w:b/>
          <w:bCs/>
          <w:sz w:val="28"/>
          <w:szCs w:val="28"/>
        </w:rPr>
      </w:pPr>
      <w:r>
        <w:rPr>
          <w:rFonts w:hint="eastAsia"/>
          <w:b/>
          <w:bCs/>
          <w:sz w:val="28"/>
          <w:szCs w:val="28"/>
        </w:rPr>
        <w:t>合同款支付方式</w:t>
      </w:r>
    </w:p>
    <w:p w14:paraId="424651AD" w14:textId="5C03E3F6" w:rsidR="0090739A" w:rsidRPr="00EC3245" w:rsidRDefault="00000000" w:rsidP="00EC3245">
      <w:pPr>
        <w:pStyle w:val="a5"/>
        <w:widowControl/>
        <w:numPr>
          <w:ilvl w:val="0"/>
          <w:numId w:val="17"/>
        </w:numPr>
        <w:spacing w:line="360" w:lineRule="auto"/>
        <w:jc w:val="left"/>
        <w:rPr>
          <w:rFonts w:ascii="宋体" w:eastAsia="宋体" w:hAnsi="宋体" w:cs="宋体" w:hint="eastAsia"/>
          <w:kern w:val="0"/>
          <w:sz w:val="24"/>
          <w:lang w:bidi="ar"/>
        </w:rPr>
      </w:pPr>
      <w:r w:rsidRPr="00EC3245">
        <w:rPr>
          <w:rFonts w:ascii="宋体" w:eastAsia="宋体" w:hAnsi="宋体" w:cs="宋体" w:hint="eastAsia"/>
          <w:kern w:val="0"/>
          <w:sz w:val="24"/>
          <w:lang w:bidi="ar"/>
        </w:rPr>
        <w:t>合同签订后，在收到承建商开具相应金额正式发票后，支付合同总金额的30%。</w:t>
      </w:r>
    </w:p>
    <w:p w14:paraId="4A2DD9A8" w14:textId="12096E18" w:rsidR="00EC3245" w:rsidRDefault="00EC3245" w:rsidP="00EC3245">
      <w:pPr>
        <w:pStyle w:val="a5"/>
        <w:widowControl/>
        <w:numPr>
          <w:ilvl w:val="0"/>
          <w:numId w:val="17"/>
        </w:numPr>
        <w:spacing w:line="360" w:lineRule="auto"/>
        <w:jc w:val="left"/>
        <w:rPr>
          <w:rFonts w:ascii="宋体" w:eastAsia="宋体" w:hAnsi="宋体" w:cs="宋体" w:hint="eastAsia"/>
          <w:kern w:val="0"/>
          <w:sz w:val="24"/>
          <w:lang w:bidi="ar"/>
        </w:rPr>
      </w:pPr>
      <w:r>
        <w:rPr>
          <w:rFonts w:ascii="宋体" w:eastAsia="宋体" w:hAnsi="宋体" w:cs="宋体" w:hint="eastAsia"/>
          <w:kern w:val="0"/>
          <w:sz w:val="24"/>
          <w:lang w:bidi="ar"/>
        </w:rPr>
        <w:t>系统完成上线前准备工作，形成《上线准备报告》后，</w:t>
      </w:r>
      <w:r w:rsidRPr="00EC3245">
        <w:rPr>
          <w:rFonts w:ascii="宋体" w:eastAsia="宋体" w:hAnsi="宋体" w:cs="宋体" w:hint="eastAsia"/>
          <w:kern w:val="0"/>
          <w:sz w:val="24"/>
          <w:lang w:bidi="ar"/>
        </w:rPr>
        <w:t>在收到承建商开具相应金额正式发票后，支付合同总金额的</w:t>
      </w:r>
      <w:r>
        <w:rPr>
          <w:rFonts w:ascii="宋体" w:eastAsia="宋体" w:hAnsi="宋体" w:cs="宋体" w:hint="eastAsia"/>
          <w:kern w:val="0"/>
          <w:sz w:val="24"/>
          <w:lang w:bidi="ar"/>
        </w:rPr>
        <w:t>4</w:t>
      </w:r>
      <w:r w:rsidRPr="00EC3245">
        <w:rPr>
          <w:rFonts w:ascii="宋体" w:eastAsia="宋体" w:hAnsi="宋体" w:cs="宋体" w:hint="eastAsia"/>
          <w:kern w:val="0"/>
          <w:sz w:val="24"/>
          <w:lang w:bidi="ar"/>
        </w:rPr>
        <w:t>0%。</w:t>
      </w:r>
    </w:p>
    <w:p w14:paraId="37CFB9EB" w14:textId="0F85EB94" w:rsidR="0090739A" w:rsidRPr="00EC3245" w:rsidRDefault="00EC3245" w:rsidP="00EC3245">
      <w:pPr>
        <w:pStyle w:val="a5"/>
        <w:widowControl/>
        <w:numPr>
          <w:ilvl w:val="0"/>
          <w:numId w:val="17"/>
        </w:numPr>
        <w:spacing w:line="360" w:lineRule="auto"/>
        <w:jc w:val="left"/>
        <w:rPr>
          <w:rFonts w:ascii="宋体" w:eastAsia="宋体" w:hAnsi="宋体" w:cs="宋体" w:hint="eastAsia"/>
          <w:kern w:val="0"/>
          <w:sz w:val="24"/>
          <w:lang w:bidi="ar"/>
        </w:rPr>
      </w:pPr>
      <w:r>
        <w:rPr>
          <w:rFonts w:ascii="宋体" w:eastAsia="宋体" w:hAnsi="宋体" w:cs="宋体" w:hint="eastAsia"/>
          <w:kern w:val="0"/>
          <w:sz w:val="24"/>
          <w:lang w:bidi="ar"/>
        </w:rPr>
        <w:t>软件验收通过后，形成《验收报告》后，在收到承建商开具相应金额正式发票后，支付合同总金额的30%。</w:t>
      </w:r>
    </w:p>
    <w:sectPr w:rsidR="0090739A" w:rsidRPr="00EC324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F4AE23"/>
    <w:multiLevelType w:val="singleLevel"/>
    <w:tmpl w:val="86F4AE23"/>
    <w:lvl w:ilvl="0">
      <w:start w:val="1"/>
      <w:numFmt w:val="decimal"/>
      <w:suff w:val="space"/>
      <w:lvlText w:val="%1."/>
      <w:lvlJc w:val="left"/>
    </w:lvl>
  </w:abstractNum>
  <w:abstractNum w:abstractNumId="1" w15:restartNumberingAfterBreak="0">
    <w:nsid w:val="91C772CD"/>
    <w:multiLevelType w:val="singleLevel"/>
    <w:tmpl w:val="91C772CD"/>
    <w:lvl w:ilvl="0">
      <w:start w:val="1"/>
      <w:numFmt w:val="decimal"/>
      <w:suff w:val="space"/>
      <w:lvlText w:val="%1."/>
      <w:lvlJc w:val="left"/>
    </w:lvl>
  </w:abstractNum>
  <w:abstractNum w:abstractNumId="2" w15:restartNumberingAfterBreak="0">
    <w:nsid w:val="92348509"/>
    <w:multiLevelType w:val="singleLevel"/>
    <w:tmpl w:val="92348509"/>
    <w:lvl w:ilvl="0">
      <w:start w:val="1"/>
      <w:numFmt w:val="decimal"/>
      <w:suff w:val="space"/>
      <w:lvlText w:val="%1."/>
      <w:lvlJc w:val="left"/>
    </w:lvl>
  </w:abstractNum>
  <w:abstractNum w:abstractNumId="3" w15:restartNumberingAfterBreak="0">
    <w:nsid w:val="9CB22FCB"/>
    <w:multiLevelType w:val="singleLevel"/>
    <w:tmpl w:val="9CB22FCB"/>
    <w:lvl w:ilvl="0">
      <w:start w:val="1"/>
      <w:numFmt w:val="decimal"/>
      <w:suff w:val="space"/>
      <w:lvlText w:val="%1."/>
      <w:lvlJc w:val="left"/>
    </w:lvl>
  </w:abstractNum>
  <w:abstractNum w:abstractNumId="4" w15:restartNumberingAfterBreak="0">
    <w:nsid w:val="AF7443B4"/>
    <w:multiLevelType w:val="singleLevel"/>
    <w:tmpl w:val="AF7443B4"/>
    <w:lvl w:ilvl="0">
      <w:start w:val="1"/>
      <w:numFmt w:val="decimal"/>
      <w:suff w:val="space"/>
      <w:lvlText w:val="%1."/>
      <w:lvlJc w:val="left"/>
    </w:lvl>
  </w:abstractNum>
  <w:abstractNum w:abstractNumId="5" w15:restartNumberingAfterBreak="0">
    <w:nsid w:val="C3765D24"/>
    <w:multiLevelType w:val="singleLevel"/>
    <w:tmpl w:val="C3765D24"/>
    <w:lvl w:ilvl="0">
      <w:start w:val="1"/>
      <w:numFmt w:val="chineseCounting"/>
      <w:suff w:val="nothing"/>
      <w:lvlText w:val="%1、"/>
      <w:lvlJc w:val="left"/>
      <w:rPr>
        <w:rFonts w:hint="eastAsia"/>
      </w:rPr>
    </w:lvl>
  </w:abstractNum>
  <w:abstractNum w:abstractNumId="6" w15:restartNumberingAfterBreak="0">
    <w:nsid w:val="DB1B0A23"/>
    <w:multiLevelType w:val="singleLevel"/>
    <w:tmpl w:val="DB1B0A23"/>
    <w:lvl w:ilvl="0">
      <w:start w:val="1"/>
      <w:numFmt w:val="decimal"/>
      <w:suff w:val="space"/>
      <w:lvlText w:val="%1."/>
      <w:lvlJc w:val="left"/>
    </w:lvl>
  </w:abstractNum>
  <w:abstractNum w:abstractNumId="7" w15:restartNumberingAfterBreak="0">
    <w:nsid w:val="EF16EEBD"/>
    <w:multiLevelType w:val="singleLevel"/>
    <w:tmpl w:val="EF16EEBD"/>
    <w:lvl w:ilvl="0">
      <w:start w:val="1"/>
      <w:numFmt w:val="decimal"/>
      <w:lvlText w:val="%1."/>
      <w:lvlJc w:val="left"/>
      <w:pPr>
        <w:tabs>
          <w:tab w:val="left" w:pos="312"/>
        </w:tabs>
      </w:pPr>
    </w:lvl>
  </w:abstractNum>
  <w:abstractNum w:abstractNumId="8" w15:restartNumberingAfterBreak="0">
    <w:nsid w:val="FC450E45"/>
    <w:multiLevelType w:val="singleLevel"/>
    <w:tmpl w:val="FC450E45"/>
    <w:lvl w:ilvl="0">
      <w:start w:val="1"/>
      <w:numFmt w:val="decimal"/>
      <w:suff w:val="space"/>
      <w:lvlText w:val="%1."/>
      <w:lvlJc w:val="left"/>
    </w:lvl>
  </w:abstractNum>
  <w:abstractNum w:abstractNumId="9" w15:restartNumberingAfterBreak="0">
    <w:nsid w:val="083A400B"/>
    <w:multiLevelType w:val="singleLevel"/>
    <w:tmpl w:val="083A400B"/>
    <w:lvl w:ilvl="0">
      <w:start w:val="1"/>
      <w:numFmt w:val="decimal"/>
      <w:suff w:val="space"/>
      <w:lvlText w:val="%1."/>
      <w:lvlJc w:val="left"/>
    </w:lvl>
  </w:abstractNum>
  <w:abstractNum w:abstractNumId="10" w15:restartNumberingAfterBreak="0">
    <w:nsid w:val="19BD782D"/>
    <w:multiLevelType w:val="singleLevel"/>
    <w:tmpl w:val="19BD782D"/>
    <w:lvl w:ilvl="0">
      <w:start w:val="1"/>
      <w:numFmt w:val="decimal"/>
      <w:suff w:val="space"/>
      <w:lvlText w:val="%1."/>
      <w:lvlJc w:val="left"/>
    </w:lvl>
  </w:abstractNum>
  <w:abstractNum w:abstractNumId="11" w15:restartNumberingAfterBreak="0">
    <w:nsid w:val="1A95539C"/>
    <w:multiLevelType w:val="singleLevel"/>
    <w:tmpl w:val="1A95539C"/>
    <w:lvl w:ilvl="0">
      <w:start w:val="1"/>
      <w:numFmt w:val="decimal"/>
      <w:suff w:val="space"/>
      <w:lvlText w:val="%1."/>
      <w:lvlJc w:val="left"/>
    </w:lvl>
  </w:abstractNum>
  <w:abstractNum w:abstractNumId="12" w15:restartNumberingAfterBreak="0">
    <w:nsid w:val="29015205"/>
    <w:multiLevelType w:val="multilevel"/>
    <w:tmpl w:val="29015205"/>
    <w:lvl w:ilvl="0">
      <w:start w:val="1"/>
      <w:numFmt w:val="decimal"/>
      <w:pStyle w:val="1"/>
      <w:lvlText w:val="%1"/>
      <w:lvlJc w:val="left"/>
      <w:pPr>
        <w:ind w:left="432" w:hanging="432"/>
      </w:pPr>
      <w:rPr>
        <w:rFonts w:hint="eastAsia"/>
      </w:rPr>
    </w:lvl>
    <w:lvl w:ilvl="1">
      <w:start w:val="1"/>
      <w:numFmt w:val="decimal"/>
      <w:lvlText w:val="4.%2"/>
      <w:lvlJc w:val="left"/>
      <w:pPr>
        <w:ind w:left="576" w:hanging="576"/>
      </w:pPr>
      <w:rPr>
        <w:rFonts w:hint="eastAsia"/>
      </w:rPr>
    </w:lvl>
    <w:lvl w:ilvl="2">
      <w:start w:val="1"/>
      <w:numFmt w:val="decimal"/>
      <w:lvlText w:val="6.2.%3"/>
      <w:lvlJc w:val="left"/>
      <w:pPr>
        <w:ind w:left="720" w:hanging="720"/>
      </w:pPr>
      <w:rPr>
        <w:rFonts w:hint="eastAsia"/>
      </w:rPr>
    </w:lvl>
    <w:lvl w:ilvl="3">
      <w:start w:val="1"/>
      <w:numFmt w:val="decimal"/>
      <w:lvlText w:val="5.1.1.%4"/>
      <w:lvlJc w:val="left"/>
      <w:pPr>
        <w:ind w:left="864" w:hanging="864"/>
      </w:pPr>
      <w:rPr>
        <w:rFonts w:hint="eastAsia"/>
      </w:rPr>
    </w:lvl>
    <w:lvl w:ilvl="4">
      <w:start w:val="1"/>
      <w:numFmt w:val="decimal"/>
      <w:lvlText w:val="5.1.1.1.%5"/>
      <w:lvlJc w:val="left"/>
      <w:pPr>
        <w:ind w:left="2142"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13" w15:restartNumberingAfterBreak="0">
    <w:nsid w:val="30FD4B5E"/>
    <w:multiLevelType w:val="singleLevel"/>
    <w:tmpl w:val="30FD4B5E"/>
    <w:lvl w:ilvl="0">
      <w:start w:val="1"/>
      <w:numFmt w:val="decimal"/>
      <w:suff w:val="space"/>
      <w:lvlText w:val="%1."/>
      <w:lvlJc w:val="left"/>
    </w:lvl>
  </w:abstractNum>
  <w:abstractNum w:abstractNumId="14" w15:restartNumberingAfterBreak="0">
    <w:nsid w:val="55FF3B47"/>
    <w:multiLevelType w:val="singleLevel"/>
    <w:tmpl w:val="55FF3B47"/>
    <w:lvl w:ilvl="0">
      <w:start w:val="1"/>
      <w:numFmt w:val="decimal"/>
      <w:lvlText w:val="%1."/>
      <w:lvlJc w:val="left"/>
      <w:pPr>
        <w:tabs>
          <w:tab w:val="left" w:pos="312"/>
        </w:tabs>
      </w:pPr>
    </w:lvl>
  </w:abstractNum>
  <w:abstractNum w:abstractNumId="15" w15:restartNumberingAfterBreak="0">
    <w:nsid w:val="57037F10"/>
    <w:multiLevelType w:val="singleLevel"/>
    <w:tmpl w:val="57037F10"/>
    <w:lvl w:ilvl="0">
      <w:start w:val="1"/>
      <w:numFmt w:val="decimal"/>
      <w:suff w:val="space"/>
      <w:lvlText w:val="%1."/>
      <w:lvlJc w:val="left"/>
    </w:lvl>
  </w:abstractNum>
  <w:abstractNum w:abstractNumId="16" w15:restartNumberingAfterBreak="0">
    <w:nsid w:val="7CCE3A00"/>
    <w:multiLevelType w:val="hybridMultilevel"/>
    <w:tmpl w:val="0616B9AE"/>
    <w:lvl w:ilvl="0" w:tplc="B1186744">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19686792">
    <w:abstractNumId w:val="12"/>
  </w:num>
  <w:num w:numId="2" w16cid:durableId="1865946483">
    <w:abstractNumId w:val="5"/>
  </w:num>
  <w:num w:numId="3" w16cid:durableId="233391304">
    <w:abstractNumId w:val="11"/>
  </w:num>
  <w:num w:numId="4" w16cid:durableId="346638349">
    <w:abstractNumId w:val="8"/>
  </w:num>
  <w:num w:numId="5" w16cid:durableId="467207406">
    <w:abstractNumId w:val="14"/>
  </w:num>
  <w:num w:numId="6" w16cid:durableId="665284813">
    <w:abstractNumId w:val="4"/>
  </w:num>
  <w:num w:numId="7" w16cid:durableId="1019821306">
    <w:abstractNumId w:val="1"/>
  </w:num>
  <w:num w:numId="8" w16cid:durableId="690031208">
    <w:abstractNumId w:val="10"/>
  </w:num>
  <w:num w:numId="9" w16cid:durableId="738089786">
    <w:abstractNumId w:val="15"/>
  </w:num>
  <w:num w:numId="10" w16cid:durableId="348724893">
    <w:abstractNumId w:val="2"/>
  </w:num>
  <w:num w:numId="11" w16cid:durableId="1015688698">
    <w:abstractNumId w:val="6"/>
  </w:num>
  <w:num w:numId="12" w16cid:durableId="1446466719">
    <w:abstractNumId w:val="3"/>
  </w:num>
  <w:num w:numId="13" w16cid:durableId="1002783104">
    <w:abstractNumId w:val="9"/>
  </w:num>
  <w:num w:numId="14" w16cid:durableId="111364990">
    <w:abstractNumId w:val="0"/>
  </w:num>
  <w:num w:numId="15" w16cid:durableId="1186291725">
    <w:abstractNumId w:val="7"/>
  </w:num>
  <w:num w:numId="16" w16cid:durableId="535238000">
    <w:abstractNumId w:val="13"/>
  </w:num>
  <w:num w:numId="17" w16cid:durableId="3956647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39A"/>
    <w:rsid w:val="00083BD4"/>
    <w:rsid w:val="000E7840"/>
    <w:rsid w:val="004B059C"/>
    <w:rsid w:val="00834163"/>
    <w:rsid w:val="0090739A"/>
    <w:rsid w:val="00C60C55"/>
    <w:rsid w:val="00EC3245"/>
    <w:rsid w:val="00EC5B72"/>
    <w:rsid w:val="325112AB"/>
    <w:rsid w:val="41AB69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AD74D"/>
  <w15:docId w15:val="{0A5883D1-E917-4C8B-A7E7-8FDC84E31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numPr>
        <w:numId w:val="1"/>
      </w:numPr>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正文首行缩进 212"/>
    <w:basedOn w:val="111"/>
    <w:next w:val="a"/>
    <w:qFormat/>
    <w:pPr>
      <w:spacing w:after="0" w:line="360" w:lineRule="auto"/>
      <w:ind w:left="0" w:firstLine="420"/>
    </w:pPr>
    <w:rPr>
      <w:rFonts w:ascii="宋体" w:eastAsia="宋体" w:hAnsi="宋体" w:cs="Times New Roman"/>
      <w:szCs w:val="20"/>
    </w:rPr>
  </w:style>
  <w:style w:type="paragraph" w:customStyle="1" w:styleId="111">
    <w:name w:val="正文文本缩进111"/>
    <w:basedOn w:val="a"/>
    <w:next w:val="1110"/>
    <w:unhideWhenUsed/>
    <w:qFormat/>
    <w:pPr>
      <w:spacing w:after="120"/>
      <w:ind w:left="420"/>
    </w:pPr>
  </w:style>
  <w:style w:type="paragraph" w:customStyle="1" w:styleId="1110">
    <w:name w:val="寄信人地址111"/>
    <w:basedOn w:val="a"/>
    <w:qFormat/>
    <w:rPr>
      <w:rFonts w:ascii="Arial" w:eastAsia="宋体" w:hAnsi="Arial" w:cs="宋体"/>
    </w:rPr>
  </w:style>
  <w:style w:type="paragraph" w:styleId="a5">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381</Words>
  <Characters>2176</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jing1</dc:creator>
  <cp:lastModifiedBy>happy0801</cp:lastModifiedBy>
  <cp:revision>7</cp:revision>
  <dcterms:created xsi:type="dcterms:W3CDTF">2026-09-08T02:29:00Z</dcterms:created>
  <dcterms:modified xsi:type="dcterms:W3CDTF">2026-09-08T02:33:00Z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eyJoZGlkIjoiNzVkNjQ3MGFjZGNkMGY3Yjg5NzYxNmEzNmMzMzg4NDEiLCJ1c2VySWQiOiIyNjg1NDUyMDAifQ==</vt:lpwstr>
  </property>
  <property fmtid="{D5CDD505-2E9C-101B-9397-08002B2CF9AE}" pid="4" name="ICV">
    <vt:lpwstr>37B8CB91DA994AFAABE457EB55F10C4E_12</vt:lpwstr>
  </property>
</Properties>
</file>