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根据贵方发布的《广医附属番禺中心医院肌骨营养专病和重点共病全流程智能管理（一期）项目》市场调查公告，本人代表供应商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6968" w:type="dxa"/>
        <w:tblInd w:w="-10" w:type="dxa"/>
        <w:tblLayout w:type="autofit"/>
        <w:tblCellMar>
          <w:top w:w="0" w:type="dxa"/>
          <w:left w:w="108" w:type="dxa"/>
          <w:bottom w:w="0" w:type="dxa"/>
          <w:right w:w="108" w:type="dxa"/>
        </w:tblCellMar>
      </w:tblPr>
      <w:tblGrid>
        <w:gridCol w:w="3698"/>
        <w:gridCol w:w="3270"/>
      </w:tblGrid>
      <w:tr>
        <w:tblPrEx>
          <w:tblCellMar>
            <w:top w:w="0" w:type="dxa"/>
            <w:left w:w="108" w:type="dxa"/>
            <w:bottom w:w="0" w:type="dxa"/>
            <w:right w:w="108" w:type="dxa"/>
          </w:tblCellMar>
        </w:tblPrEx>
        <w:trPr>
          <w:trHeight w:val="409" w:hRule="atLeast"/>
        </w:trPr>
        <w:tc>
          <w:tcPr>
            <w:tcW w:w="3698" w:type="dxa"/>
            <w:tcBorders>
              <w:top w:val="single" w:color="auto" w:sz="8" w:space="0"/>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总报价</w:t>
            </w:r>
          </w:p>
        </w:tc>
        <w:tc>
          <w:tcPr>
            <w:tcW w:w="3270" w:type="dxa"/>
            <w:tcBorders>
              <w:top w:val="single" w:color="auto" w:sz="8" w:space="0"/>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1.其中硬件部分</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w:t>
            </w:r>
            <w:r>
              <w:rPr>
                <w:rFonts w:ascii="等线" w:hAnsi="等线" w:eastAsia="等线"/>
                <w:color w:val="000000"/>
                <w:sz w:val="21"/>
                <w:szCs w:val="21"/>
              </w:rPr>
              <w:t>2.</w:t>
            </w:r>
            <w:r>
              <w:rPr>
                <w:rFonts w:hint="eastAsia" w:ascii="等线" w:hAnsi="等线" w:eastAsia="等线"/>
                <w:color w:val="000000"/>
                <w:sz w:val="21"/>
                <w:szCs w:val="21"/>
              </w:rPr>
              <w:t>其他费用</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免费维保期</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出保后费率</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bl>
    <w:p>
      <w:pPr>
        <w:rPr>
          <w:bCs/>
          <w:szCs w:val="21"/>
        </w:rPr>
      </w:pPr>
    </w:p>
    <w:p>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5</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《广医附属番禺中心医院肌骨营养专病和重点共病全流程智能管理（一期）项目》</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pStyle w:val="2"/>
        <w:keepNext w:val="0"/>
        <w:keepLines w:val="0"/>
        <w:numPr>
          <w:ilvl w:val="0"/>
          <w:numId w:val="0"/>
        </w:numPr>
        <w:spacing w:before="0" w:after="0"/>
        <w:ind w:left="430" w:hanging="429" w:hangingChars="204"/>
        <w:rPr>
          <w:bCs w:val="0"/>
          <w:kern w:val="2"/>
          <w:sz w:val="21"/>
          <w:szCs w:val="21"/>
        </w:rPr>
      </w:pPr>
      <w:r>
        <w:rPr>
          <w:rFonts w:hint="eastAsia"/>
          <w:bCs w:val="0"/>
          <w:kern w:val="2"/>
          <w:sz w:val="21"/>
          <w:szCs w:val="21"/>
        </w:rPr>
        <w:t>附件3  报价明细一览表</w:t>
      </w:r>
    </w:p>
    <w:p/>
    <w:p>
      <w:pPr>
        <w:spacing w:line="360" w:lineRule="auto"/>
        <w:rPr>
          <w:rFonts w:cs="Arial"/>
          <w:szCs w:val="21"/>
        </w:rPr>
      </w:pPr>
      <w:r>
        <w:rPr>
          <w:rFonts w:hint="eastAsia"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广医附属番禺中心医院肌骨营养专病和重点共病全流程智能管理（一期）项目</w:t>
      </w:r>
      <w:r>
        <w:rPr>
          <w:rFonts w:hint="eastAsia" w:cs="Arial"/>
          <w:szCs w:val="21"/>
        </w:rPr>
        <w:t>》报价如下：</w:t>
      </w:r>
    </w:p>
    <w:p>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snapToGrid w:val="0"/>
                <w:szCs w:val="21"/>
              </w:rPr>
            </w:pPr>
            <w:r>
              <w:rPr>
                <w:rFonts w:hint="eastAsia"/>
                <w:b/>
                <w:snapToGrid w:val="0"/>
                <w:sz w:val="21"/>
                <w:szCs w:val="21"/>
              </w:rPr>
              <w:t>配件、功能、接口名称</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p>
        </w:tc>
        <w:tc>
          <w:tcPr>
            <w:tcW w:w="2950" w:type="dxa"/>
            <w:tcBorders>
              <w:left w:val="single" w:color="auto" w:sz="4" w:space="0"/>
              <w:right w:val="single" w:color="auto" w:sz="4" w:space="0"/>
            </w:tcBorders>
            <w:vAlign w:val="center"/>
          </w:tcPr>
          <w:p>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pPr>
              <w:jc w:val="center"/>
              <w:rPr>
                <w:bCs/>
                <w:szCs w:val="21"/>
              </w:rPr>
            </w:pPr>
          </w:p>
        </w:tc>
      </w:tr>
    </w:tbl>
    <w:p>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pPr>
        <w:rPr>
          <w:sz w:val="28"/>
          <w:szCs w:val="28"/>
        </w:rPr>
      </w:pPr>
    </w:p>
    <w:p>
      <w:pPr>
        <w:rPr>
          <w:sz w:val="28"/>
          <w:szCs w:val="28"/>
        </w:rPr>
      </w:pPr>
    </w:p>
    <w:p>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spacing w:line="360" w:lineRule="auto"/>
        <w:jc w:val="right"/>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pPr>
        <w:spacing w:line="560" w:lineRule="exact"/>
      </w:pPr>
      <w:r>
        <w:rPr>
          <w:rFonts w:hint="eastAsia"/>
        </w:rPr>
        <w:t>提供具体明细解决方案，结合软硬件、建设效果等阐明技术亮点及同行成功案例。</w:t>
      </w:r>
    </w:p>
    <w:p>
      <w:pPr>
        <w:spacing w:line="360" w:lineRule="auto"/>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r>
        <w:rPr>
          <w:rFonts w:hint="eastAsia"/>
          <w:b/>
        </w:rPr>
        <w:t>附件</w:t>
      </w:r>
      <w:r>
        <w:rPr>
          <w:b/>
        </w:rPr>
        <w:t>6</w:t>
      </w:r>
      <w:r>
        <w:rPr>
          <w:rFonts w:hint="eastAsia"/>
          <w:b/>
        </w:rPr>
        <w:t>、其他商务资料</w:t>
      </w:r>
    </w:p>
    <w:p>
      <w:pPr>
        <w:spacing w:line="360" w:lineRule="auto"/>
        <w:jc w:val="center"/>
        <w:rPr>
          <w:b/>
        </w:rPr>
      </w:pPr>
    </w:p>
    <w:p>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pPr>
        <w:spacing w:line="360" w:lineRule="auto"/>
        <w:ind w:left="720" w:hanging="720" w:hangingChars="300"/>
        <w:rPr>
          <w:bCs/>
          <w:color w:val="FF0000"/>
        </w:rPr>
      </w:pPr>
      <w:r>
        <w:rPr>
          <w:rFonts w:hint="eastAsia"/>
          <w:bCs/>
          <w:color w:val="FF0000"/>
          <w:shd w:val="clear" w:color="auto" w:fill="FFFFFF"/>
        </w:rPr>
        <w:t>3、实施团队人数、人员安排及持证情况</w:t>
      </w:r>
    </w:p>
    <w:p>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0CCB"/>
    <w:rsid w:val="0025517C"/>
    <w:rsid w:val="00256B9C"/>
    <w:rsid w:val="00270428"/>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A26DA"/>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6288E"/>
    <w:rsid w:val="006768F3"/>
    <w:rsid w:val="00696DB9"/>
    <w:rsid w:val="00697BEA"/>
    <w:rsid w:val="006A41DA"/>
    <w:rsid w:val="006E0823"/>
    <w:rsid w:val="00704D9A"/>
    <w:rsid w:val="00714261"/>
    <w:rsid w:val="00762F69"/>
    <w:rsid w:val="007639BB"/>
    <w:rsid w:val="00776CC6"/>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B683A"/>
    <w:rsid w:val="00BC1846"/>
    <w:rsid w:val="00BC6E03"/>
    <w:rsid w:val="00BD1705"/>
    <w:rsid w:val="00BD1ED9"/>
    <w:rsid w:val="00C1205F"/>
    <w:rsid w:val="00C405E0"/>
    <w:rsid w:val="00C53114"/>
    <w:rsid w:val="00C55C7B"/>
    <w:rsid w:val="00C83A35"/>
    <w:rsid w:val="00CA5C62"/>
    <w:rsid w:val="00CA7450"/>
    <w:rsid w:val="00CF2B02"/>
    <w:rsid w:val="00D03030"/>
    <w:rsid w:val="00D4011C"/>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1F9FAA9B"/>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CDE343A"/>
    <w:rsid w:val="6DB85E1E"/>
    <w:rsid w:val="6E317B88"/>
    <w:rsid w:val="6FCC5BB0"/>
    <w:rsid w:val="6FE1A74F"/>
    <w:rsid w:val="77EB3293"/>
    <w:rsid w:val="77FF5919"/>
    <w:rsid w:val="7DC26844"/>
    <w:rsid w:val="9FEF8FEA"/>
    <w:rsid w:val="B962A566"/>
    <w:rsid w:val="F2F7E655"/>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7E0F0011-E808-44EC-A18C-760D91E65376}">
  <ds:schemaRefs/>
</ds:datastoreItem>
</file>

<file path=docProps/app.xml><?xml version="1.0" encoding="utf-8"?>
<Properties xmlns="http://schemas.openxmlformats.org/officeDocument/2006/extended-properties" xmlns:vt="http://schemas.openxmlformats.org/officeDocument/2006/docPropsVTypes">
  <Company>china</Company>
  <Pages>7</Pages>
  <Words>274</Words>
  <Characters>1562</Characters>
  <Lines>13</Lines>
  <Paragraphs>3</Paragraphs>
  <TotalTime>161</TotalTime>
  <ScaleCrop>false</ScaleCrop>
  <LinksUpToDate>false</LinksUpToDate>
  <CharactersWithSpaces>1833</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2024-12-06T07:29:00Z</dcterms:created>
  <dc:creator>X GJ</dc:creator>
  <cp:lastModifiedBy>zhengyiqiang</cp:lastModifiedBy>
  <dcterms:modified xsi:type="dcterms:W3CDTF">2026-10-07T16:58:21Z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